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6998970" cy="4810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810760"/>
                    </a:xfrm>
                    <a:prstGeom prst="rect">
                      <a:avLst/>
                    </a:prstGeom>
                    <a:noFill/>
                  </pic:spPr>
                </pic:pic>
              </a:graphicData>
            </a:graphic>
          </wp:anchor>
        </w:drawing>
      </w:r>
    </w:p>
    <w:p>
      <w:pPr>
        <w:spacing w:after="0" w:line="1079"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Page Tyler</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CIPHER DIGITAL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VANDERBILT AVENUE, FLOOR 54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Cipher Digital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CIFR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br w:type="column"/>
      </w:r>
    </w:p>
    <w:p>
      <w:pPr>
        <w:ind w:left="7" w:right="740" w:hanging="7"/>
        <w:spacing w:after="0" w:line="282" w:lineRule="auto"/>
        <w:tabs>
          <w:tab w:leader="none" w:pos="14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27"/>
        <w:spacing w:after="0"/>
        <w:tabs>
          <w:tab w:leader="none" w:pos="206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7"/>
        <w:spacing w:after="0"/>
        <w:tabs>
          <w:tab w:leader="none" w:pos="206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0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2" w:lineRule="exact"/>
        <w:rPr>
          <w:sz w:val="24"/>
          <w:szCs w:val="24"/>
          <w:color w:val="auto"/>
        </w:rPr>
      </w:pPr>
    </w:p>
    <w:p>
      <w:pPr>
        <w:sectPr>
          <w:pgSz w:w="11900" w:h="16838" w:orient="portrait"/>
          <w:cols w:equalWidth="0" w:num="3">
            <w:col w:w="3180" w:space="720"/>
            <w:col w:w="3113" w:space="720"/>
            <w:col w:w="3347"/>
          </w:cols>
          <w:pgMar w:left="460" w:top="213"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gridSpan w:val="6"/>
          </w:tcPr>
          <w:p>
            <w:pPr>
              <w:jc w:val="center"/>
              <w:ind w:right="93"/>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9"/>
          </w:tcPr>
          <w:p>
            <w:pPr>
              <w:ind w:left="4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5"/>
              </w:rPr>
              <w:t>NY</w:t>
            </w:r>
          </w:p>
        </w:tc>
        <w:tc>
          <w:tcPr>
            <w:tcW w:w="96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10017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30"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2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4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2"/>
          </w:tcPr>
          <w:p>
            <w:pPr>
              <w:jc w:val="center"/>
              <w:ind w:left="5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80" w:type="dxa"/>
            <w:vAlign w:val="bottom"/>
            <w:gridSpan w:val="3"/>
          </w:tcPr>
          <w:p>
            <w:pPr>
              <w:ind w:left="7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gridSpan w:val="4"/>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06/22/2026</w:t>
            </w:r>
          </w:p>
        </w:tc>
        <w:tc>
          <w:tcPr>
            <w:tcW w:w="10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1,419,236</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20" w:type="dxa"/>
            <w:vAlign w:val="bottom"/>
            <w:gridSpan w:val="3"/>
          </w:tcPr>
          <w:p>
            <w:pPr>
              <w:jc w:val="center"/>
              <w:ind w:right="324"/>
              <w:spacing w:after="0"/>
              <w:rPr>
                <w:sz w:val="20"/>
                <w:szCs w:val="20"/>
                <w:color w:val="auto"/>
              </w:rPr>
            </w:pPr>
            <w:r>
              <w:rPr>
                <w:rFonts w:ascii="Times New Roman" w:cs="Times New Roman" w:eastAsia="Times New Roman" w:hAnsi="Times New Roman"/>
                <w:sz w:val="16"/>
                <w:szCs w:val="16"/>
                <w:color w:val="0000FF"/>
              </w:rPr>
              <w:t>9,689,582</w:t>
            </w:r>
          </w:p>
        </w:tc>
        <w:tc>
          <w:tcPr>
            <w:tcW w:w="54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06/22/2026</w:t>
            </w:r>
          </w:p>
        </w:tc>
        <w:tc>
          <w:tcPr>
            <w:tcW w:w="1000" w:type="dxa"/>
            <w:vAlign w:val="bottom"/>
          </w:tcPr>
          <w:p>
            <w:pPr>
              <w:spacing w:after="0"/>
              <w:rPr>
                <w:sz w:val="21"/>
                <w:szCs w:val="21"/>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724,520</w:t>
            </w:r>
          </w:p>
        </w:tc>
        <w:tc>
          <w:tcPr>
            <w:tcW w:w="8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Pr>
          <w:p>
            <w:pPr>
              <w:jc w:val="center"/>
              <w:ind w:right="1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28.14</w:t>
            </w:r>
          </w:p>
        </w:tc>
        <w:tc>
          <w:tcPr>
            <w:tcW w:w="1520" w:type="dxa"/>
            <w:vAlign w:val="bottom"/>
            <w:gridSpan w:val="3"/>
          </w:tcPr>
          <w:p>
            <w:pPr>
              <w:jc w:val="center"/>
              <w:ind w:right="324"/>
              <w:spacing w:after="0"/>
              <w:rPr>
                <w:sz w:val="20"/>
                <w:szCs w:val="20"/>
                <w:color w:val="auto"/>
              </w:rPr>
            </w:pPr>
            <w:r>
              <w:rPr>
                <w:rFonts w:ascii="Times New Roman" w:cs="Times New Roman" w:eastAsia="Times New Roman" w:hAnsi="Times New Roman"/>
                <w:sz w:val="16"/>
                <w:szCs w:val="16"/>
                <w:color w:val="0000FF"/>
              </w:rPr>
              <w:t>8,965,062</w:t>
            </w:r>
          </w:p>
        </w:tc>
        <w:tc>
          <w:tcPr>
            <w:tcW w:w="54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gridSpan w:val="3"/>
            <w:vMerge w:val="restart"/>
          </w:tcPr>
          <w:p>
            <w:pPr>
              <w:jc w:val="center"/>
              <w:ind w:right="324"/>
              <w:spacing w:after="0"/>
              <w:rPr>
                <w:sz w:val="20"/>
                <w:szCs w:val="20"/>
                <w:color w:val="auto"/>
              </w:rPr>
            </w:pPr>
            <w:r>
              <w:rPr>
                <w:rFonts w:ascii="Times New Roman" w:cs="Times New Roman" w:eastAsia="Times New Roman" w:hAnsi="Times New Roman"/>
                <w:sz w:val="16"/>
                <w:szCs w:val="16"/>
                <w:color w:val="0000FF"/>
              </w:rPr>
              <w:t>400,000</w:t>
            </w:r>
          </w:p>
        </w:tc>
        <w:tc>
          <w:tcPr>
            <w:tcW w:w="540" w:type="dxa"/>
            <w:vAlign w:val="bottom"/>
            <w:vMerge w:val="restart"/>
          </w:tcPr>
          <w:p>
            <w:pPr>
              <w:jc w:val="center"/>
              <w:ind w:right="296"/>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80" w:type="dxa"/>
            <w:vAlign w:val="bottom"/>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4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20"/>
                <w:szCs w:val="20"/>
                <w:color w:val="auto"/>
              </w:rPr>
            </w:pPr>
          </w:p>
        </w:tc>
        <w:tc>
          <w:tcPr>
            <w:tcW w:w="96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0000FF"/>
              </w:rPr>
              <w:t>06/22/2026</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1000" w:type="dxa"/>
            <w:vAlign w:val="bottom"/>
          </w:tcPr>
          <w:p>
            <w:pPr>
              <w:ind w:left="420"/>
              <w:spacing w:after="0"/>
              <w:rPr>
                <w:sz w:val="20"/>
                <w:szCs w:val="20"/>
                <w:color w:val="auto"/>
              </w:rPr>
            </w:pPr>
            <w:r>
              <w:rPr>
                <w:rFonts w:ascii="Times New Roman" w:cs="Times New Roman" w:eastAsia="Times New Roman" w:hAnsi="Times New Roman"/>
                <w:sz w:val="12"/>
                <w:szCs w:val="12"/>
                <w:color w:val="0000FF"/>
              </w:rPr>
              <w:t>1,419,236</w:t>
            </w: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1,419,236</w:t>
            </w:r>
          </w:p>
        </w:tc>
        <w:tc>
          <w:tcPr>
            <w:tcW w:w="740" w:type="dxa"/>
            <w:vAlign w:val="bottom"/>
            <w:gridSpan w:val="2"/>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 Units</w:t>
            </w: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2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-1530985</wp:posOffset>
            </wp:positionV>
            <wp:extent cx="28575" cy="1536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3670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 stock unit ("PSU") represents a contingent right to receive one share of Issuer's Common Stock.</w:t>
      </w:r>
    </w:p>
    <w:p>
      <w:pPr>
        <w:spacing w:after="0" w:line="47" w:lineRule="exact"/>
        <w:rPr>
          <w:rFonts w:ascii="Times New Roman" w:cs="Times New Roman" w:eastAsia="Times New Roman" w:hAnsi="Times New Roman"/>
          <w:sz w:val="12"/>
          <w:szCs w:val="12"/>
          <w:color w:val="008000"/>
        </w:rPr>
      </w:pPr>
    </w:p>
    <w:p>
      <w:pPr>
        <w:ind w:left="40" w:right="28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12, 2026, the Reporting Person transferred 400,000 shares of the Issuer's Common Stock to Impa Holdings LLC. The Reporting Person serves as the managing member of Impa Holdings LLC, and 100% of its membership interests are held by a trust for the benefit of certain members of the Reporting Person's immediate family over which the Reporting Person has investment authority.</w:t>
      </w:r>
    </w:p>
    <w:p>
      <w:pPr>
        <w:spacing w:after="0" w:line="4"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PSUs vest, if at all, in three tranches based on the Issuer's achievement of certain market capitalization thresholds. The third tranche of the PSUs vested on June 22, 2026. The PSUs have no expiration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6"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William Iwaschuk, Attorney-</w:t>
      </w:r>
      <w:r>
        <w:rPr>
          <w:sz w:val="20"/>
          <w:szCs w:val="20"/>
          <w:color w:val="auto"/>
        </w:rPr>
        <w:tab/>
      </w:r>
      <w:r>
        <w:rPr>
          <w:rFonts w:ascii="Times New Roman" w:cs="Times New Roman" w:eastAsia="Times New Roman" w:hAnsi="Times New Roman"/>
          <w:sz w:val="24"/>
          <w:szCs w:val="24"/>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201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Tyler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8991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9160"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660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7623" TargetMode="External"/><Relationship Id="rId14" Type="http://schemas.openxmlformats.org/officeDocument/2006/relationships/hyperlink" Target="http://www.sec.gov/cgi-bin/browse-edgar?action=getcompany&amp;CIK=0001819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2026-06-23T19:14:50Z</dcterms:created>
  <dcterms:modified xsi:type="dcterms:W3CDTF">2026-06-23T19:14:50Z</dcterms:modified>
</cp:coreProperties>
</file>