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580"/>
        <w:spacing w:after="0"/>
        <w:tabs>
          <w:tab w:leader="none" w:pos="674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3803650</wp:posOffset>
            </wp:positionH>
            <wp:positionV relativeFrom="paragraph">
              <wp:posOffset>-7620</wp:posOffset>
            </wp:positionV>
            <wp:extent cx="1038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822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CIPHER MINING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85-1614529</w:t>
            </w:r>
          </w:p>
        </w:tc>
      </w:tr>
      <w:tr>
        <w:trPr>
          <w:trHeight w:val="144"/>
        </w:trPr>
        <w:tc>
          <w:tcPr>
            <w:tcW w:w="4780" w:type="dxa"/>
            <w:vAlign w:val="bottom"/>
          </w:tcPr>
          <w:p>
            <w:pPr>
              <w:jc w:val="center"/>
              <w:ind w:right="1744"/>
              <w:spacing w:after="0" w:line="144" w:lineRule="exact"/>
              <w:rPr>
                <w:sz w:val="20"/>
                <w:szCs w:val="20"/>
                <w:color w:val="auto"/>
              </w:rPr>
            </w:pPr>
            <w:r>
              <w:rPr>
                <w:rFonts w:ascii="Arial" w:cs="Arial" w:eastAsia="Arial" w:hAnsi="Arial"/>
                <w:sz w:val="13"/>
                <w:szCs w:val="13"/>
                <w:b w:val="1"/>
                <w:bCs w:val="1"/>
                <w:color w:val="auto"/>
                <w:w w:val="87"/>
              </w:rPr>
              <w:t>(State or other jurisdiction of</w:t>
            </w:r>
          </w:p>
        </w:tc>
        <w:tc>
          <w:tcPr>
            <w:tcW w:w="2800" w:type="dxa"/>
            <w:vAlign w:val="bottom"/>
          </w:tcPr>
          <w:p>
            <w:pPr>
              <w:jc w:val="center"/>
              <w:ind w:left="1746"/>
              <w:spacing w:after="0" w:line="144"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8"/>
              </w:rPr>
              <w:t>incorporation or organization)</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89"/>
              </w:rPr>
              <w:t>Identification No.)</w:t>
            </w:r>
          </w:p>
        </w:tc>
      </w:tr>
      <w:tr>
        <w:trPr>
          <w:trHeight w:val="322"/>
        </w:trPr>
        <w:tc>
          <w:tcPr>
            <w:tcW w:w="4780" w:type="dxa"/>
            <w:vAlign w:val="bottom"/>
          </w:tcPr>
          <w:p>
            <w:pPr>
              <w:jc w:val="center"/>
              <w:ind w:right="1764"/>
              <w:spacing w:after="0"/>
              <w:rPr>
                <w:sz w:val="20"/>
                <w:szCs w:val="20"/>
                <w:color w:val="auto"/>
              </w:rPr>
            </w:pPr>
            <w:r>
              <w:rPr>
                <w:rFonts w:ascii="Arial" w:cs="Arial" w:eastAsia="Arial" w:hAnsi="Arial"/>
                <w:sz w:val="18"/>
                <w:szCs w:val="18"/>
                <w:b w:val="1"/>
                <w:bCs w:val="1"/>
                <w:color w:val="auto"/>
                <w:w w:val="90"/>
              </w:rPr>
              <w:t>1 Vanderbilt Avenue, Floor 54, Suite C</w:t>
            </w:r>
          </w:p>
        </w:tc>
        <w:tc>
          <w:tcPr>
            <w:tcW w:w="2800" w:type="dxa"/>
            <w:vAlign w:val="bottom"/>
          </w:tcPr>
          <w:p>
            <w:pPr>
              <w:spacing w:after="0"/>
              <w:rPr>
                <w:sz w:val="24"/>
                <w:szCs w:val="24"/>
                <w:color w:val="auto"/>
              </w:rPr>
            </w:pPr>
          </w:p>
        </w:tc>
      </w:tr>
      <w:tr>
        <w:trPr>
          <w:trHeight w:val="234"/>
        </w:trPr>
        <w:tc>
          <w:tcPr>
            <w:tcW w:w="4780" w:type="dxa"/>
            <w:vAlign w:val="bottom"/>
          </w:tcPr>
          <w:p>
            <w:pPr>
              <w:jc w:val="center"/>
              <w:ind w:right="1744"/>
              <w:spacing w:after="0"/>
              <w:rPr>
                <w:sz w:val="20"/>
                <w:szCs w:val="20"/>
                <w:color w:val="auto"/>
              </w:rPr>
            </w:pPr>
            <w:r>
              <w:rPr>
                <w:rFonts w:ascii="Arial" w:cs="Arial" w:eastAsia="Arial" w:hAnsi="Arial"/>
                <w:sz w:val="18"/>
                <w:szCs w:val="18"/>
                <w:b w:val="1"/>
                <w:bCs w:val="1"/>
                <w:color w:val="auto"/>
                <w:w w:val="91"/>
              </w:rPr>
              <w:t>New York, New York</w:t>
            </w:r>
          </w:p>
        </w:tc>
        <w:tc>
          <w:tcPr>
            <w:tcW w:w="2800" w:type="dxa"/>
            <w:vAlign w:val="bottom"/>
          </w:tcPr>
          <w:p>
            <w:pPr>
              <w:jc w:val="right"/>
              <w:ind w:right="186"/>
              <w:spacing w:after="0"/>
              <w:rPr>
                <w:sz w:val="20"/>
                <w:szCs w:val="20"/>
                <w:color w:val="auto"/>
              </w:rPr>
            </w:pPr>
            <w:r>
              <w:rPr>
                <w:rFonts w:ascii="Arial" w:cs="Arial" w:eastAsia="Arial" w:hAnsi="Arial"/>
                <w:sz w:val="18"/>
                <w:szCs w:val="18"/>
                <w:b w:val="1"/>
                <w:bCs w:val="1"/>
                <w:color w:val="auto"/>
              </w:rPr>
              <w:t>10017</w:t>
            </w:r>
          </w:p>
        </w:tc>
      </w:tr>
      <w:tr>
        <w:trPr>
          <w:trHeight w:val="173"/>
        </w:trPr>
        <w:tc>
          <w:tcPr>
            <w:tcW w:w="4780" w:type="dxa"/>
            <w:vAlign w:val="bottom"/>
          </w:tcPr>
          <w:p>
            <w:pPr>
              <w:jc w:val="center"/>
              <w:ind w:right="174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800" w:type="dxa"/>
            <w:vAlign w:val="bottom"/>
          </w:tcPr>
          <w:p>
            <w:pPr>
              <w:jc w:val="center"/>
              <w:ind w:left="1746"/>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r>
        <w:trPr>
          <w:trHeight w:val="221"/>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w w:val="90"/>
              </w:rPr>
              <w:t>Warrants, each whole warrant exercisable for one share of</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Pr>
          <w:p>
            <w:pPr>
              <w:jc w:val="center"/>
              <w:spacing w:after="0"/>
              <w:rPr>
                <w:sz w:val="20"/>
                <w:szCs w:val="20"/>
                <w:color w:val="auto"/>
              </w:rPr>
            </w:pPr>
            <w:r>
              <w:rPr>
                <w:rFonts w:ascii="Arial" w:cs="Arial" w:eastAsia="Arial" w:hAnsi="Arial"/>
                <w:sz w:val="16"/>
                <w:szCs w:val="16"/>
                <w:b w:val="1"/>
                <w:bCs w:val="1"/>
                <w:color w:val="auto"/>
                <w:w w:val="89"/>
              </w:rPr>
              <w:t>Common Stock at an exercise price of $11.50 per whole share</w:t>
            </w: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w:t>
            </w:r>
          </w:p>
        </w:tc>
        <w:tc>
          <w:tcPr>
            <w:tcW w:w="14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18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40"/>
        <w:spacing w:after="0" w:line="26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4, 2023, the registrant had 250,955,743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7"/>
          </w:tcPr>
          <w:p>
            <w:pPr>
              <w:spacing w:after="0"/>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 of Changes in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vMerge w:val="continue"/>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9"/>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our future results of operations and financial position, business strategy, timing and likelihood of success, potential expansion of bitcoin mining data centers, expectations regarding the operations of mining centers, and management plans and objectives are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w:t>
      </w:r>
    </w:p>
    <w:p>
      <w:pPr>
        <w:spacing w:after="0" w:line="78" w:lineRule="exact"/>
        <w:rPr>
          <w:sz w:val="20"/>
          <w:szCs w:val="20"/>
          <w:color w:val="auto"/>
        </w:rPr>
      </w:pPr>
    </w:p>
    <w:p>
      <w:pPr>
        <w:ind w:left="1020" w:right="1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75"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the markets in which we operate are new and rapidly evolving, which makes it difficult to evaluate our future prospects and the risks and challenges we may encounter.</w:t>
      </w:r>
    </w:p>
    <w:p>
      <w:pPr>
        <w:spacing w:after="0" w:line="62" w:lineRule="exact"/>
        <w:rPr>
          <w:rFonts w:ascii="Arial" w:cs="Arial" w:eastAsia="Arial" w:hAnsi="Arial"/>
          <w:sz w:val="18"/>
          <w:szCs w:val="18"/>
          <w:color w:val="auto"/>
        </w:rPr>
      </w:pPr>
    </w:p>
    <w:p>
      <w:pPr>
        <w:ind w:left="1020" w:right="38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grow our hashrate, we may be unable to compete, and our results of operations could suffer.</w:t>
      </w:r>
    </w:p>
    <w:p>
      <w:pPr>
        <w:spacing w:after="0" w:line="117" w:lineRule="exact"/>
        <w:rPr>
          <w:rFonts w:ascii="Arial" w:cs="Arial" w:eastAsia="Arial" w:hAnsi="Arial"/>
          <w:sz w:val="18"/>
          <w:szCs w:val="18"/>
          <w:color w:val="auto"/>
        </w:rPr>
      </w:pPr>
    </w:p>
    <w:p>
      <w:pPr>
        <w:ind w:left="1020" w:right="120" w:hanging="503"/>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operations in Texas and, thus, are particularly exposed to changes in the regulatory environment, market conditions and natural disasters in this state.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due to the highly volatile nature of cryptocurrencies in general and, specifically, bitcoin.</w:t>
      </w:r>
    </w:p>
    <w:p>
      <w:pPr>
        <w:spacing w:after="0" w:line="117" w:lineRule="exact"/>
        <w:rPr>
          <w:rFonts w:ascii="Arial" w:cs="Arial" w:eastAsia="Arial" w:hAnsi="Arial"/>
          <w:sz w:val="18"/>
          <w:szCs w:val="18"/>
          <w:color w:val="auto"/>
        </w:rPr>
      </w:pPr>
    </w:p>
    <w:p>
      <w:pPr>
        <w:ind w:left="1020" w:right="140" w:hanging="503"/>
        <w:spacing w:after="0" w:line="34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third parties to provide us with certain critical equipment and may rely on components and raw materials that may be subject to price fluctuations or shortages, including ASIC chips that have been subject to periods of significant shortage and high innovation pace.</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affected by price fluctuations in the wholesale and retail power markets.</w:t>
      </w:r>
    </w:p>
    <w:p>
      <w:pPr>
        <w:spacing w:after="0" w:line="117"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75"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related to disruptions or other failures in the supply chain for bitcoin mining hardware and related data center hardware, and difficulties in obtaining new hardware.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Bitcoin miners and other necessary hardware are subject to malfunction, technological obsolescence and physical degradation.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automated processes with respect to curtailment may adversely affect our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both"/>
        <w:ind w:left="10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important factors discussed in Part I, Item 1A, “Risk Factors” in our Annual Report on Form 10-K for the year ended December 31, 2022 filed with the Securities and Exchange Commission (the “SEC”) on March 14, 2023 (the “2022 Form 10-K”) and our future reports filed with the SEC.</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corporate website address is https://www.ciphermining.com (“Corporate Website”). The contents of, or information accessible through, our Corporate Website are not part of this Quarterly Report.</w:t>
      </w:r>
    </w:p>
    <w:p>
      <w:pPr>
        <w:spacing w:after="0" w:line="13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9"/>
              </w:rPr>
              <w:t>June 30, 2023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December 31, 2022</w:t>
            </w:r>
          </w:p>
        </w:tc>
        <w:tc>
          <w:tcPr>
            <w:tcW w:w="140" w:type="dxa"/>
            <w:vAlign w:val="bottom"/>
          </w:tcPr>
          <w:p>
            <w:pPr>
              <w:spacing w:after="0"/>
              <w:rPr>
                <w:sz w:val="19"/>
                <w:szCs w:val="19"/>
                <w:color w:val="auto"/>
              </w:rPr>
            </w:pPr>
          </w:p>
        </w:tc>
      </w:tr>
      <w:tr>
        <w:trPr>
          <w:trHeight w:val="220"/>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spacing w:after="0"/>
              <w:rPr>
                <w:sz w:val="20"/>
                <w:szCs w:val="20"/>
                <w:color w:val="auto"/>
              </w:rPr>
            </w:pP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1,741</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11,927</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Receivables, related party</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1,614</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1,102</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7,254</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Bitcoin</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10,536</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6,283</w:t>
            </w:r>
          </w:p>
        </w:tc>
        <w:tc>
          <w:tcPr>
            <w:tcW w:w="140" w:type="dxa"/>
            <w:vAlign w:val="bottom"/>
            <w:shd w:val="clear" w:color="auto" w:fill="CCECFF"/>
          </w:tcPr>
          <w:p>
            <w:pPr>
              <w:spacing w:after="0"/>
              <w:rPr>
                <w:sz w:val="20"/>
                <w:szCs w:val="20"/>
                <w:color w:val="auto"/>
              </w:rPr>
            </w:pPr>
          </w:p>
        </w:tc>
      </w:tr>
      <w:tr>
        <w:trPr>
          <w:trHeight w:val="226"/>
        </w:trPr>
        <w:tc>
          <w:tcPr>
            <w:tcW w:w="7360" w:type="dxa"/>
            <w:vAlign w:val="bottom"/>
          </w:tcPr>
          <w:p>
            <w:pPr>
              <w:ind w:left="200"/>
              <w:spacing w:after="0"/>
              <w:rPr>
                <w:sz w:val="20"/>
                <w:szCs w:val="20"/>
                <w:color w:val="auto"/>
              </w:rPr>
            </w:pPr>
            <w:r>
              <w:rPr>
                <w:rFonts w:ascii="Arial" w:cs="Arial" w:eastAsia="Arial" w:hAnsi="Arial"/>
                <w:sz w:val="16"/>
                <w:szCs w:val="16"/>
                <w:color w:val="auto"/>
              </w:rPr>
              <w:t>Derivative asset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25,786</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21,071</w:t>
            </w:r>
          </w:p>
        </w:tc>
        <w:tc>
          <w:tcPr>
            <w:tcW w:w="140" w:type="dxa"/>
            <w:vAlign w:val="bottom"/>
          </w:tcPr>
          <w:p>
            <w:pPr>
              <w:spacing w:after="0"/>
              <w:rPr>
                <w:sz w:val="19"/>
                <w:szCs w:val="19"/>
                <w:color w:val="auto"/>
              </w:rPr>
            </w:pPr>
          </w:p>
        </w:tc>
      </w:tr>
      <w:tr>
        <w:trPr>
          <w:trHeight w:val="226"/>
        </w:trPr>
        <w:tc>
          <w:tcPr>
            <w:tcW w:w="7360" w:type="dxa"/>
            <w:vAlign w:val="bottom"/>
            <w:shd w:val="clear" w:color="auto" w:fill="CCECFF"/>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CFF"/>
          </w:tcPr>
          <w:p>
            <w:pPr>
              <w:spacing w:after="0"/>
              <w:rPr>
                <w:sz w:val="19"/>
                <w:szCs w:val="19"/>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42,317</w:t>
            </w:r>
          </w:p>
        </w:tc>
        <w:tc>
          <w:tcPr>
            <w:tcW w:w="5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47,735</w:t>
            </w:r>
          </w:p>
        </w:tc>
        <w:tc>
          <w:tcPr>
            <w:tcW w:w="140" w:type="dxa"/>
            <w:vAlign w:val="bottom"/>
            <w:shd w:val="clear" w:color="auto" w:fill="CCECFF"/>
          </w:tcPr>
          <w:p>
            <w:pPr>
              <w:spacing w:after="0"/>
              <w:rPr>
                <w:sz w:val="19"/>
                <w:szCs w:val="19"/>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267,790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191,784</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color w:val="auto"/>
              </w:rPr>
              <w:t>Deposits on equipment</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1,675</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73,018</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Investment in equity investees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33,098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37,478</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color w:val="auto"/>
              </w:rPr>
              <w:t>Derivative asset</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49,466</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45,631</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5,087</w:t>
            </w:r>
          </w:p>
        </w:tc>
        <w:tc>
          <w:tcPr>
            <w:tcW w:w="140" w:type="dxa"/>
            <w:vAlign w:val="bottom"/>
          </w:tcPr>
          <w:p>
            <w:pPr>
              <w:spacing w:after="0"/>
              <w:rPr>
                <w:sz w:val="19"/>
                <w:szCs w:val="19"/>
                <w:color w:val="auto"/>
              </w:rPr>
            </w:pPr>
          </w:p>
        </w:tc>
      </w:tr>
      <w:tr>
        <w:trPr>
          <w:trHeight w:val="236"/>
        </w:trPr>
        <w:tc>
          <w:tcPr>
            <w:tcW w:w="7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Security deposits</w:t>
            </w:r>
          </w:p>
        </w:tc>
        <w:tc>
          <w:tcPr>
            <w:tcW w:w="220" w:type="dxa"/>
            <w:vAlign w:val="bottom"/>
            <w:tcBorders>
              <w:bottom w:val="single" w:sz="8" w:color="auto"/>
            </w:tcBorders>
            <w:shd w:val="clear" w:color="auto" w:fill="CCECFF"/>
          </w:tcPr>
          <w:p>
            <w:pPr>
              <w:spacing w:after="0"/>
              <w:rPr>
                <w:sz w:val="20"/>
                <w:szCs w:val="20"/>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17,742</w:t>
            </w:r>
          </w:p>
        </w:tc>
        <w:tc>
          <w:tcPr>
            <w:tcW w:w="5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17,730</w:t>
            </w:r>
          </w:p>
        </w:tc>
        <w:tc>
          <w:tcPr>
            <w:tcW w:w="140" w:type="dxa"/>
            <w:vAlign w:val="bottom"/>
            <w:tcBorders>
              <w:bottom w:val="single" w:sz="8" w:color="CCECFF"/>
            </w:tcBorders>
            <w:shd w:val="clear" w:color="auto" w:fill="CCECFF"/>
          </w:tcPr>
          <w:p>
            <w:pPr>
              <w:spacing w:after="0"/>
              <w:rPr>
                <w:sz w:val="20"/>
                <w:szCs w:val="20"/>
                <w:color w:val="auto"/>
              </w:rPr>
            </w:pPr>
          </w:p>
        </w:tc>
      </w:tr>
      <w:tr>
        <w:trPr>
          <w:trHeight w:val="226"/>
        </w:trPr>
        <w:tc>
          <w:tcPr>
            <w:tcW w:w="7360" w:type="dxa"/>
            <w:vAlign w:val="bottom"/>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416,723</w:t>
            </w: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418,463</w:t>
            </w:r>
          </w:p>
        </w:tc>
        <w:tc>
          <w:tcPr>
            <w:tcW w:w="14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C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2,053</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14,286</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0"/>
              <w:spacing w:after="0"/>
              <w:rPr>
                <w:sz w:val="20"/>
                <w:szCs w:val="20"/>
                <w:color w:val="auto"/>
              </w:rPr>
            </w:pPr>
            <w:r>
              <w:rPr>
                <w:rFonts w:ascii="Arial" w:cs="Arial" w:eastAsia="Arial" w:hAnsi="Arial"/>
                <w:sz w:val="16"/>
                <w:szCs w:val="16"/>
                <w:color w:val="auto"/>
              </w:rPr>
              <w:t>Accounts payable, related party</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1,554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3,083</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22,746</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19,353</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0"/>
              <w:spacing w:after="0"/>
              <w:rPr>
                <w:sz w:val="20"/>
                <w:szCs w:val="20"/>
                <w:color w:val="auto"/>
              </w:rPr>
            </w:pPr>
            <w:r>
              <w:rPr>
                <w:rFonts w:ascii="Arial" w:cs="Arial" w:eastAsia="Arial" w:hAnsi="Arial"/>
                <w:sz w:val="16"/>
                <w:szCs w:val="16"/>
                <w:color w:val="auto"/>
              </w:rPr>
              <w:t>Finance lease liability, current portion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11,189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2,567</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Operating lease liability, current portion</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1,087</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1,030</w:t>
            </w:r>
          </w:p>
        </w:tc>
        <w:tc>
          <w:tcPr>
            <w:tcW w:w="140" w:type="dxa"/>
            <w:vAlign w:val="bottom"/>
            <w:shd w:val="clear" w:color="auto" w:fill="CCECFF"/>
          </w:tcPr>
          <w:p>
            <w:pPr>
              <w:spacing w:after="0"/>
              <w:rPr>
                <w:sz w:val="20"/>
                <w:szCs w:val="20"/>
                <w:color w:val="auto"/>
              </w:rPr>
            </w:pPr>
          </w:p>
        </w:tc>
      </w:tr>
      <w:tr>
        <w:trPr>
          <w:trHeight w:val="227"/>
        </w:trPr>
        <w:tc>
          <w:tcPr>
            <w:tcW w:w="7360" w:type="dxa"/>
            <w:vAlign w:val="bottom"/>
          </w:tcPr>
          <w:p>
            <w:pPr>
              <w:ind w:left="200"/>
              <w:spacing w:after="0"/>
              <w:rPr>
                <w:sz w:val="20"/>
                <w:szCs w:val="20"/>
                <w:color w:val="auto"/>
              </w:rPr>
            </w:pPr>
            <w:r>
              <w:rPr>
                <w:rFonts w:ascii="Arial" w:cs="Arial" w:eastAsia="Arial" w:hAnsi="Arial"/>
                <w:sz w:val="16"/>
                <w:szCs w:val="16"/>
                <w:color w:val="auto"/>
              </w:rPr>
              <w:t>Warrant liability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r>
      <w:tr>
        <w:trPr>
          <w:trHeight w:val="226"/>
        </w:trPr>
        <w:tc>
          <w:tcPr>
            <w:tcW w:w="7360" w:type="dxa"/>
            <w:vAlign w:val="bottom"/>
            <w:shd w:val="clear" w:color="auto" w:fill="CCECFF"/>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CFF"/>
          </w:tcPr>
          <w:p>
            <w:pPr>
              <w:spacing w:after="0"/>
              <w:rPr>
                <w:sz w:val="19"/>
                <w:szCs w:val="19"/>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38,695</w:t>
            </w:r>
          </w:p>
        </w:tc>
        <w:tc>
          <w:tcPr>
            <w:tcW w:w="5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40,326</w:t>
            </w:r>
          </w:p>
        </w:tc>
        <w:tc>
          <w:tcPr>
            <w:tcW w:w="140" w:type="dxa"/>
            <w:vAlign w:val="bottom"/>
            <w:shd w:val="clear" w:color="auto" w:fill="CCECFF"/>
          </w:tcPr>
          <w:p>
            <w:pPr>
              <w:spacing w:after="0"/>
              <w:rPr>
                <w:sz w:val="19"/>
                <w:szCs w:val="19"/>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17,538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16,682</w:t>
            </w:r>
          </w:p>
        </w:tc>
        <w:tc>
          <w:tcPr>
            <w:tcW w:w="140" w:type="dxa"/>
            <w:vAlign w:val="bottom"/>
          </w:tcPr>
          <w:p>
            <w:pPr>
              <w:spacing w:after="0"/>
              <w:rPr>
                <w:sz w:val="19"/>
                <w:szCs w:val="19"/>
                <w:color w:val="auto"/>
              </w:rPr>
            </w:pPr>
          </w:p>
        </w:tc>
      </w:tr>
      <w:tr>
        <w:trPr>
          <w:trHeight w:val="239"/>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color w:val="auto"/>
              </w:rPr>
              <w:t>Finance lease liability</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10,836</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12,229</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3,936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4,494</w:t>
            </w:r>
          </w:p>
        </w:tc>
        <w:tc>
          <w:tcPr>
            <w:tcW w:w="140" w:type="dxa"/>
            <w:vAlign w:val="bottom"/>
          </w:tcPr>
          <w:p>
            <w:pPr>
              <w:spacing w:after="0"/>
              <w:rPr>
                <w:sz w:val="19"/>
                <w:szCs w:val="19"/>
                <w:color w:val="auto"/>
              </w:rPr>
            </w:pPr>
          </w:p>
        </w:tc>
      </w:tr>
      <w:tr>
        <w:trPr>
          <w:trHeight w:val="236"/>
        </w:trPr>
        <w:tc>
          <w:tcPr>
            <w:tcW w:w="7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shd w:val="clear" w:color="auto" w:fill="CCECFF"/>
          </w:tcPr>
          <w:p>
            <w:pPr>
              <w:spacing w:after="0"/>
              <w:rPr>
                <w:sz w:val="20"/>
                <w:szCs w:val="20"/>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2,508</w:t>
            </w:r>
          </w:p>
        </w:tc>
        <w:tc>
          <w:tcPr>
            <w:tcW w:w="5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1,840</w:t>
            </w:r>
          </w:p>
        </w:tc>
        <w:tc>
          <w:tcPr>
            <w:tcW w:w="140" w:type="dxa"/>
            <w:vAlign w:val="bottom"/>
            <w:tcBorders>
              <w:bottom w:val="single" w:sz="8" w:color="CCECFF"/>
            </w:tcBorders>
            <w:shd w:val="clear" w:color="auto" w:fill="CCECFF"/>
          </w:tcPr>
          <w:p>
            <w:pPr>
              <w:spacing w:after="0"/>
              <w:rPr>
                <w:sz w:val="20"/>
                <w:szCs w:val="20"/>
                <w:color w:val="auto"/>
              </w:rPr>
            </w:pPr>
          </w:p>
        </w:tc>
      </w:tr>
      <w:tr>
        <w:trPr>
          <w:trHeight w:val="223"/>
        </w:trPr>
        <w:tc>
          <w:tcPr>
            <w:tcW w:w="736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73,513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75,571</w:t>
            </w:r>
          </w:p>
        </w:tc>
        <w:tc>
          <w:tcPr>
            <w:tcW w:w="140" w:type="dxa"/>
            <w:vAlign w:val="bottom"/>
          </w:tcPr>
          <w:p>
            <w:pPr>
              <w:spacing w:after="0"/>
              <w:rPr>
                <w:sz w:val="19"/>
                <w:szCs w:val="19"/>
                <w:color w:val="auto"/>
              </w:rPr>
            </w:pPr>
          </w:p>
        </w:tc>
      </w:tr>
      <w:tr>
        <w:trPr>
          <w:trHeight w:val="226"/>
        </w:trPr>
        <w:tc>
          <w:tcPr>
            <w:tcW w:w="7360" w:type="dxa"/>
            <w:vAlign w:val="bottom"/>
            <w:shd w:val="clear" w:color="auto" w:fill="CCECFF"/>
          </w:tcPr>
          <w:p>
            <w:pPr>
              <w:ind w:left="20"/>
              <w:spacing w:after="0"/>
              <w:rPr>
                <w:sz w:val="20"/>
                <w:szCs w:val="20"/>
                <w:color w:val="auto"/>
              </w:rPr>
            </w:pPr>
            <w:r>
              <w:rPr>
                <w:rFonts w:ascii="Arial" w:cs="Arial" w:eastAsia="Arial" w:hAnsi="Arial"/>
                <w:sz w:val="16"/>
                <w:szCs w:val="16"/>
                <w:color w:val="auto"/>
              </w:rPr>
              <w:t>Commitments and contingencies (</w:t>
            </w:r>
            <w:r>
              <w:rPr>
                <w:rFonts w:ascii="Arial" w:cs="Arial" w:eastAsia="Arial" w:hAnsi="Arial"/>
                <w:sz w:val="16"/>
                <w:szCs w:val="16"/>
                <w:i w:val="1"/>
                <w:iCs w:val="1"/>
                <w:color w:val="auto"/>
              </w:rPr>
              <w:t>Note 12</w:t>
            </w:r>
            <w:r>
              <w:rPr>
                <w:rFonts w:ascii="Arial" w:cs="Arial" w:eastAsia="Arial" w:hAnsi="Arial"/>
                <w:sz w:val="16"/>
                <w:szCs w:val="16"/>
                <w:color w:val="auto"/>
              </w:rPr>
              <w:t>)</w:t>
            </w:r>
          </w:p>
        </w:tc>
        <w:tc>
          <w:tcPr>
            <w:tcW w:w="220" w:type="dxa"/>
            <w:vAlign w:val="bottom"/>
            <w:shd w:val="clear" w:color="auto" w:fill="CCECFF"/>
          </w:tcPr>
          <w:p>
            <w:pPr>
              <w:spacing w:after="0"/>
              <w:rPr>
                <w:sz w:val="19"/>
                <w:szCs w:val="19"/>
                <w:color w:val="auto"/>
              </w:rPr>
            </w:pPr>
          </w:p>
        </w:tc>
        <w:tc>
          <w:tcPr>
            <w:tcW w:w="1400" w:type="dxa"/>
            <w:vAlign w:val="bottom"/>
            <w:shd w:val="clear" w:color="auto" w:fill="CCECFF"/>
          </w:tcPr>
          <w:p>
            <w:pPr>
              <w:spacing w:after="0"/>
              <w:rPr>
                <w:sz w:val="19"/>
                <w:szCs w:val="19"/>
                <w:color w:val="auto"/>
              </w:rPr>
            </w:pPr>
          </w:p>
        </w:tc>
        <w:tc>
          <w:tcPr>
            <w:tcW w:w="5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20"/>
        </w:trPr>
        <w:tc>
          <w:tcPr>
            <w:tcW w:w="73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w w:val="92"/>
              </w:rPr>
              <w:t>Preferred stock, $0.001 par value; 10,000,000 shares authorized, none issued and outstanding as of June 30,</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spacing w:after="0"/>
              <w:rPr>
                <w:sz w:val="18"/>
                <w:szCs w:val="18"/>
                <w:color w:val="auto"/>
              </w:rPr>
            </w:pPr>
          </w:p>
        </w:tc>
        <w:tc>
          <w:tcPr>
            <w:tcW w:w="5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5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r>
      <w:tr>
        <w:trPr>
          <w:trHeight w:val="226"/>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2023 and December 31, 2022</w:t>
            </w:r>
          </w:p>
        </w:tc>
        <w:tc>
          <w:tcPr>
            <w:tcW w:w="220" w:type="dxa"/>
            <w:vAlign w:val="bottom"/>
            <w:shd w:val="clear" w:color="auto" w:fill="CCECFF"/>
          </w:tcPr>
          <w:p>
            <w:pPr>
              <w:spacing w:after="0"/>
              <w:rPr>
                <w:sz w:val="19"/>
                <w:szCs w:val="19"/>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19"/>
                <w:szCs w:val="19"/>
                <w:color w:val="auto"/>
              </w:rPr>
            </w:pPr>
          </w:p>
        </w:tc>
      </w:tr>
      <w:tr>
        <w:trPr>
          <w:trHeight w:val="206"/>
        </w:trPr>
        <w:tc>
          <w:tcPr>
            <w:tcW w:w="7360" w:type="dxa"/>
            <w:vAlign w:val="bottom"/>
          </w:tcPr>
          <w:p>
            <w:pPr>
              <w:ind w:left="200"/>
              <w:spacing w:after="0"/>
              <w:rPr>
                <w:sz w:val="20"/>
                <w:szCs w:val="20"/>
                <w:color w:val="auto"/>
              </w:rPr>
            </w:pPr>
            <w:r>
              <w:rPr>
                <w:rFonts w:ascii="Arial" w:cs="Arial" w:eastAsia="Arial" w:hAnsi="Arial"/>
                <w:sz w:val="16"/>
                <w:szCs w:val="16"/>
                <w:color w:val="auto"/>
                <w:w w:val="90"/>
              </w:rPr>
              <w:t>Common stock, $0.001 par value, 500,000,000 shares authorized, 254,795,626 and 251,095,305 shares issued</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w w:val="99"/>
              </w:rPr>
              <w:t>as of June 30, 2023 and December 31, 2022, respectively, and 250,413,891 and 247,551,958 shares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6"/>
                <w:szCs w:val="16"/>
                <w:color w:val="auto"/>
              </w:rPr>
              <w:t>outstanding as of June 30, 2023 and December 31, 2022, respectively</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c>
          <w:tcPr>
            <w:tcW w:w="140" w:type="dxa"/>
            <w:vAlign w:val="bottom"/>
          </w:tcPr>
          <w:p>
            <w:pPr>
              <w:spacing w:after="0"/>
              <w:rPr>
                <w:sz w:val="18"/>
                <w:szCs w:val="18"/>
                <w:color w:val="auto"/>
              </w:rPr>
            </w:pPr>
          </w:p>
        </w:tc>
      </w:tr>
      <w:tr>
        <w:trPr>
          <w:trHeight w:val="239"/>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CFF"/>
          </w:tcPr>
          <w:p>
            <w:pPr>
              <w:spacing w:after="0"/>
              <w:rPr>
                <w:sz w:val="20"/>
                <w:szCs w:val="20"/>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473,471</w:t>
            </w:r>
          </w:p>
        </w:tc>
        <w:tc>
          <w:tcPr>
            <w:tcW w:w="5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453,854</w:t>
            </w:r>
          </w:p>
        </w:tc>
        <w:tc>
          <w:tcPr>
            <w:tcW w:w="140" w:type="dxa"/>
            <w:vAlign w:val="bottom"/>
            <w:shd w:val="clear" w:color="auto" w:fill="CCECFF"/>
          </w:tcPr>
          <w:p>
            <w:pPr>
              <w:spacing w:after="0"/>
              <w:rPr>
                <w:sz w:val="20"/>
                <w:szCs w:val="20"/>
                <w:color w:val="auto"/>
              </w:rPr>
            </w:pPr>
          </w:p>
        </w:tc>
      </w:tr>
      <w:tr>
        <w:trPr>
          <w:trHeight w:val="220"/>
        </w:trPr>
        <w:tc>
          <w:tcPr>
            <w:tcW w:w="736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9"/>
                <w:szCs w:val="19"/>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6"/>
                <w:szCs w:val="16"/>
                <w:color w:val="auto"/>
              </w:rPr>
              <w:t>(130,511 )</w:t>
            </w:r>
          </w:p>
        </w:tc>
        <w:tc>
          <w:tcPr>
            <w:tcW w:w="1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(111,209 )</w:t>
            </w:r>
          </w:p>
        </w:tc>
      </w:tr>
      <w:tr>
        <w:trPr>
          <w:trHeight w:val="236"/>
        </w:trPr>
        <w:tc>
          <w:tcPr>
            <w:tcW w:w="7360" w:type="dxa"/>
            <w:vAlign w:val="bottom"/>
            <w:shd w:val="clear" w:color="auto" w:fill="CCECFF"/>
          </w:tcPr>
          <w:p>
            <w:pPr>
              <w:ind w:left="200"/>
              <w:spacing w:after="0"/>
              <w:rPr>
                <w:sz w:val="20"/>
                <w:szCs w:val="20"/>
                <w:color w:val="auto"/>
              </w:rPr>
            </w:pPr>
            <w:r>
              <w:rPr>
                <w:rFonts w:ascii="Arial" w:cs="Arial" w:eastAsia="Arial" w:hAnsi="Arial"/>
                <w:sz w:val="16"/>
                <w:szCs w:val="16"/>
                <w:color w:val="auto"/>
                <w:w w:val="90"/>
              </w:rPr>
              <w:t>Treasury stock, at par, 4,381,735 and 3,543,347 shares at June 30, 2023 and December 31, 2022, respectively</w:t>
            </w:r>
          </w:p>
        </w:tc>
        <w:tc>
          <w:tcPr>
            <w:tcW w:w="220" w:type="dxa"/>
            <w:vAlign w:val="bottom"/>
            <w:shd w:val="clear" w:color="auto" w:fill="CCECFF"/>
          </w:tcPr>
          <w:p>
            <w:pPr>
              <w:spacing w:after="0"/>
              <w:rPr>
                <w:sz w:val="20"/>
                <w:szCs w:val="20"/>
                <w:color w:val="auto"/>
              </w:rPr>
            </w:pPr>
          </w:p>
        </w:tc>
        <w:tc>
          <w:tcPr>
            <w:tcW w:w="1900" w:type="dxa"/>
            <w:vAlign w:val="bottom"/>
            <w:gridSpan w:val="2"/>
            <w:shd w:val="clear" w:color="auto" w:fill="CCECFF"/>
          </w:tcPr>
          <w:p>
            <w:pPr>
              <w:jc w:val="right"/>
              <w:ind w:right="420"/>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CFF"/>
          </w:tcPr>
          <w:p>
            <w:pPr>
              <w:spacing w:after="0"/>
              <w:rPr>
                <w:sz w:val="20"/>
                <w:szCs w:val="20"/>
                <w:color w:val="auto"/>
              </w:rPr>
            </w:pPr>
          </w:p>
        </w:tc>
        <w:tc>
          <w:tcPr>
            <w:tcW w:w="16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(4 )</w:t>
            </w:r>
          </w:p>
        </w:tc>
      </w:tr>
      <w:tr>
        <w:trPr>
          <w:trHeight w:val="223"/>
        </w:trPr>
        <w:tc>
          <w:tcPr>
            <w:tcW w:w="7360" w:type="dxa"/>
            <w:vAlign w:val="bottom"/>
            <w:tcBorders>
              <w:top w:val="single" w:sz="8" w:color="CCEC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343,210</w:t>
            </w:r>
          </w:p>
        </w:tc>
        <w:tc>
          <w:tcPr>
            <w:tcW w:w="50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342,892</w:t>
            </w:r>
          </w:p>
        </w:tc>
        <w:tc>
          <w:tcPr>
            <w:tcW w:w="140" w:type="dxa"/>
            <w:vAlign w:val="bottom"/>
            <w:tcBorders>
              <w:top w:val="single" w:sz="8" w:color="CCECFF"/>
            </w:tcBorders>
          </w:tcPr>
          <w:p>
            <w:pPr>
              <w:spacing w:after="0"/>
              <w:rPr>
                <w:sz w:val="19"/>
                <w:szCs w:val="19"/>
                <w:color w:val="auto"/>
              </w:rPr>
            </w:pPr>
          </w:p>
        </w:tc>
      </w:tr>
      <w:tr>
        <w:trPr>
          <w:trHeight w:val="266"/>
        </w:trPr>
        <w:tc>
          <w:tcPr>
            <w:tcW w:w="73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416,723</w:t>
            </w:r>
          </w:p>
        </w:tc>
        <w:tc>
          <w:tcPr>
            <w:tcW w:w="500" w:type="dxa"/>
            <w:vAlign w:val="bottom"/>
            <w:tcBorders>
              <w:bottom w:val="single" w:sz="8" w:color="CCECFF"/>
            </w:tcBorders>
            <w:shd w:val="clear" w:color="auto" w:fill="CCECFF"/>
          </w:tcPr>
          <w:p>
            <w:pPr>
              <w:spacing w:after="0"/>
              <w:rPr>
                <w:sz w:val="23"/>
                <w:szCs w:val="23"/>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418,463</w:t>
            </w:r>
          </w:p>
        </w:tc>
        <w:tc>
          <w:tcPr>
            <w:tcW w:w="14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-3985895</wp:posOffset>
            </wp:positionV>
            <wp:extent cx="9398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-3985895</wp:posOffset>
            </wp:positionV>
            <wp:extent cx="8572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-1902460</wp:posOffset>
            </wp:positionV>
            <wp:extent cx="939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-1902460</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-333375</wp:posOffset>
            </wp:positionV>
            <wp:extent cx="939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-333375</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93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w w:val="99"/>
              </w:rPr>
              <w:t>Three Months Ended June 30,</w:t>
            </w:r>
          </w:p>
        </w:tc>
        <w:tc>
          <w:tcPr>
            <w:tcW w:w="280" w:type="dxa"/>
            <w:vAlign w:val="bottom"/>
          </w:tcPr>
          <w:p>
            <w:pPr>
              <w:spacing w:after="0"/>
              <w:rPr>
                <w:sz w:val="19"/>
                <w:szCs w:val="19"/>
                <w:color w:val="auto"/>
              </w:rPr>
            </w:pPr>
          </w:p>
        </w:tc>
        <w:tc>
          <w:tcPr>
            <w:tcW w:w="29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4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27"/>
        </w:trPr>
        <w:tc>
          <w:tcPr>
            <w:tcW w:w="458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6"/>
                <w:szCs w:val="16"/>
                <w:color w:val="auto"/>
              </w:rPr>
              <w:t>Revenue - bitcoin mining</w:t>
            </w:r>
          </w:p>
        </w:tc>
        <w:tc>
          <w:tcPr>
            <w:tcW w:w="280" w:type="dxa"/>
            <w:vAlign w:val="bottom"/>
            <w:tcBorders>
              <w:bottom w:val="single" w:sz="8" w:color="auto"/>
            </w:tcBorders>
            <w:shd w:val="clear" w:color="auto" w:fill="CCEC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31,224</w:t>
            </w:r>
          </w:p>
        </w:tc>
        <w:tc>
          <w:tcPr>
            <w:tcW w:w="4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53,119</w:t>
            </w:r>
          </w:p>
        </w:tc>
        <w:tc>
          <w:tcPr>
            <w:tcW w:w="4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CFF"/>
            </w:tcBorders>
            <w:shd w:val="clear" w:color="auto" w:fill="CCECFF"/>
          </w:tcPr>
          <w:p>
            <w:pPr>
              <w:spacing w:after="0"/>
              <w:rPr>
                <w:sz w:val="19"/>
                <w:szCs w:val="19"/>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6"/>
                <w:szCs w:val="16"/>
                <w:color w:val="auto"/>
              </w:rPr>
              <w:t>Costs and operating expenses (income)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15,868</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24,009</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21,335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16,704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38,755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34,094</w:t>
            </w:r>
          </w:p>
        </w:tc>
        <w:tc>
          <w:tcPr>
            <w:tcW w:w="140" w:type="dxa"/>
            <w:vAlign w:val="bottom"/>
          </w:tcPr>
          <w:p>
            <w:pPr>
              <w:spacing w:after="0"/>
              <w:rPr>
                <w:sz w:val="19"/>
                <w:szCs w:val="19"/>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14,412</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26,067</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CFF"/>
          </w:tcPr>
          <w:p>
            <w:pPr>
              <w:spacing w:after="0"/>
              <w:rPr>
                <w:sz w:val="20"/>
                <w:szCs w:val="20"/>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6"/>
                <w:szCs w:val="16"/>
                <w:color w:val="auto"/>
              </w:rPr>
              <w:t>Change in fair value of derivative asset</w:t>
            </w: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(3,222 )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(8,550 )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Power sales</w:t>
            </w: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(5,651 )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(5,749 )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6"/>
                <w:szCs w:val="16"/>
                <w:color w:val="auto"/>
              </w:rPr>
              <w:t>Equity in losses of equity investees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12,079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12,232</w:t>
            </w:r>
          </w:p>
        </w:tc>
        <w:tc>
          <w:tcPr>
            <w:tcW w:w="140" w:type="dxa"/>
            <w:vAlign w:val="bottom"/>
          </w:tcPr>
          <w:p>
            <w:pPr>
              <w:spacing w:after="0"/>
              <w:rPr>
                <w:sz w:val="19"/>
                <w:szCs w:val="19"/>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Realized gain on sale of bitcoin</w:t>
            </w: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(4,185 )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(8,206 )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6"/>
                <w:szCs w:val="16"/>
                <w:color w:val="auto"/>
              </w:rPr>
              <w:t>Impairment of bitcoin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4,633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9"/>
                <w:szCs w:val="19"/>
                <w:color w:val="auto"/>
              </w:rPr>
            </w:pPr>
          </w:p>
        </w:tc>
      </w:tr>
      <w:tr>
        <w:trPr>
          <w:trHeight w:val="236"/>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Other gains</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(2,260 )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3"/>
        </w:trPr>
        <w:tc>
          <w:tcPr>
            <w:tcW w:w="4580" w:type="dxa"/>
            <w:vAlign w:val="bottom"/>
            <w:tcBorders>
              <w:top w:val="single" w:sz="8" w:color="CCECFF"/>
            </w:tcBorders>
          </w:tcPr>
          <w:p>
            <w:pPr>
              <w:ind w:left="42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42,816</w:t>
            </w:r>
          </w:p>
        </w:tc>
        <w:tc>
          <w:tcPr>
            <w:tcW w:w="44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29,326</w:t>
            </w:r>
          </w:p>
        </w:tc>
        <w:tc>
          <w:tcPr>
            <w:tcW w:w="44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70,880</w:t>
            </w:r>
          </w:p>
        </w:tc>
        <w:tc>
          <w:tcPr>
            <w:tcW w:w="44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46,880</w:t>
            </w:r>
          </w:p>
        </w:tc>
        <w:tc>
          <w:tcPr>
            <w:tcW w:w="140" w:type="dxa"/>
            <w:vAlign w:val="bottom"/>
            <w:tcBorders>
              <w:top w:val="single" w:sz="8" w:color="CCECFF"/>
            </w:tcBorders>
          </w:tcPr>
          <w:p>
            <w:pPr>
              <w:spacing w:after="0"/>
              <w:rPr>
                <w:sz w:val="19"/>
                <w:szCs w:val="19"/>
                <w:color w:val="auto"/>
              </w:rPr>
            </w:pPr>
          </w:p>
        </w:tc>
      </w:tr>
      <w:tr>
        <w:trPr>
          <w:trHeight w:val="223"/>
        </w:trPr>
        <w:tc>
          <w:tcPr>
            <w:tcW w:w="4580" w:type="dxa"/>
            <w:vAlign w:val="bottom"/>
            <w:shd w:val="clear" w:color="auto" w:fill="CCECFF"/>
          </w:tcPr>
          <w:p>
            <w:pPr>
              <w:ind w:left="60"/>
              <w:spacing w:after="0"/>
              <w:rPr>
                <w:sz w:val="20"/>
                <w:szCs w:val="20"/>
                <w:color w:val="auto"/>
              </w:rPr>
            </w:pPr>
            <w:r>
              <w:rPr>
                <w:rFonts w:ascii="Arial" w:cs="Arial" w:eastAsia="Arial" w:hAnsi="Arial"/>
                <w:sz w:val="16"/>
                <w:szCs w:val="16"/>
                <w:color w:val="auto"/>
              </w:rPr>
              <w:t>Operating loss</w:t>
            </w: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(11,592 )</w:t>
            </w: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(29,326 )</w:t>
            </w: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(17,761 )</w:t>
            </w:r>
          </w:p>
        </w:tc>
        <w:tc>
          <w:tcPr>
            <w:tcW w:w="28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(46,880 )</w:t>
            </w:r>
          </w:p>
        </w:tc>
      </w:tr>
      <w:tr>
        <w:trPr>
          <w:trHeight w:val="216"/>
        </w:trPr>
        <w:tc>
          <w:tcPr>
            <w:tcW w:w="4580" w:type="dxa"/>
            <w:vAlign w:val="bottom"/>
            <w:tcBorders>
              <w:top w:val="single" w:sz="8" w:color="CCECFF"/>
            </w:tcBorders>
          </w:tcPr>
          <w:p>
            <w:pPr>
              <w:ind w:left="60"/>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44</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101</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CFF"/>
          </w:tcPr>
          <w:p>
            <w:pPr>
              <w:spacing w:after="0"/>
              <w:rPr>
                <w:sz w:val="20"/>
                <w:szCs w:val="20"/>
                <w:color w:val="auto"/>
              </w:rPr>
            </w:pPr>
          </w:p>
        </w:tc>
      </w:tr>
      <w:tr>
        <w:trPr>
          <w:trHeight w:val="220"/>
        </w:trPr>
        <w:tc>
          <w:tcPr>
            <w:tcW w:w="45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(485 )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(886 )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458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(22 )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63</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(59 )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CFF"/>
          </w:tcPr>
          <w:p>
            <w:pPr>
              <w:spacing w:after="0"/>
              <w:rPr>
                <w:sz w:val="20"/>
                <w:szCs w:val="20"/>
                <w:color w:val="auto"/>
              </w:rPr>
            </w:pPr>
          </w:p>
        </w:tc>
      </w:tr>
      <w:tr>
        <w:trPr>
          <w:trHeight w:val="227"/>
        </w:trPr>
        <w:tc>
          <w:tcPr>
            <w:tcW w:w="458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(12 )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(12 )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4580" w:type="dxa"/>
            <w:vAlign w:val="bottom"/>
            <w:shd w:val="clear" w:color="auto" w:fill="CCECFF"/>
          </w:tcPr>
          <w:p>
            <w:pPr>
              <w:ind w:left="420"/>
              <w:spacing w:after="0"/>
              <w:rPr>
                <w:sz w:val="20"/>
                <w:szCs w:val="20"/>
                <w:color w:val="auto"/>
              </w:rPr>
            </w:pPr>
            <w:r>
              <w:rPr>
                <w:rFonts w:ascii="Arial" w:cs="Arial" w:eastAsia="Arial" w:hAnsi="Arial"/>
                <w:sz w:val="16"/>
                <w:szCs w:val="16"/>
                <w:color w:val="auto"/>
              </w:rPr>
              <w:t>Total other income (expense)</w:t>
            </w: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(494 )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107</w:t>
            </w:r>
          </w:p>
        </w:tc>
        <w:tc>
          <w:tcPr>
            <w:tcW w:w="4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(856 )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CECFF"/>
          </w:tcPr>
          <w:p>
            <w:pPr>
              <w:spacing w:after="0"/>
              <w:rPr>
                <w:sz w:val="19"/>
                <w:szCs w:val="19"/>
                <w:color w:val="auto"/>
              </w:rPr>
            </w:pPr>
          </w:p>
        </w:tc>
      </w:tr>
      <w:tr>
        <w:trPr>
          <w:trHeight w:val="20"/>
        </w:trPr>
        <w:tc>
          <w:tcPr>
            <w:tcW w:w="45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16"/>
        </w:trPr>
        <w:tc>
          <w:tcPr>
            <w:tcW w:w="4580" w:type="dxa"/>
            <w:vAlign w:val="bottom"/>
          </w:tcPr>
          <w:p>
            <w:pPr>
              <w:ind w:left="60"/>
              <w:spacing w:after="0"/>
              <w:rPr>
                <w:sz w:val="20"/>
                <w:szCs w:val="20"/>
                <w:color w:val="auto"/>
              </w:rPr>
            </w:pPr>
            <w:r>
              <w:rPr>
                <w:rFonts w:ascii="Arial" w:cs="Arial" w:eastAsia="Arial" w:hAnsi="Arial"/>
                <w:sz w:val="16"/>
                <w:szCs w:val="16"/>
                <w:color w:val="auto"/>
              </w:rPr>
              <w:t>Loss before taxes</w:t>
            </w:r>
          </w:p>
        </w:tc>
        <w:tc>
          <w:tcPr>
            <w:tcW w:w="2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 xml:space="preserve">(12,086 </w:t>
            </w:r>
            <w:r>
              <w:rPr>
                <w:rFonts w:ascii="Arial" w:cs="Arial" w:eastAsia="Arial" w:hAnsi="Arial"/>
                <w:sz w:val="16"/>
                <w:szCs w:val="16"/>
                <w:color w:val="auto"/>
                <w:highlight w:val="white"/>
              </w:rPr>
              <w:t>)</w:t>
            </w:r>
          </w:p>
        </w:tc>
        <w:tc>
          <w:tcPr>
            <w:tcW w:w="2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(29,219 )</w:t>
            </w:r>
          </w:p>
        </w:tc>
        <w:tc>
          <w:tcPr>
            <w:tcW w:w="2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(18,617 )</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(46,718 )</w:t>
            </w:r>
          </w:p>
        </w:tc>
      </w:tr>
      <w:tr>
        <w:trPr>
          <w:trHeight w:val="239"/>
        </w:trPr>
        <w:tc>
          <w:tcPr>
            <w:tcW w:w="4580" w:type="dxa"/>
            <w:vAlign w:val="bottom"/>
            <w:shd w:val="clear" w:color="auto" w:fill="CCECFF"/>
          </w:tcPr>
          <w:p>
            <w:pPr>
              <w:ind w:left="60"/>
              <w:spacing w:after="0"/>
              <w:rPr>
                <w:sz w:val="20"/>
                <w:szCs w:val="20"/>
                <w:color w:val="auto"/>
              </w:rPr>
            </w:pPr>
            <w:r>
              <w:rPr>
                <w:rFonts w:ascii="Arial" w:cs="Arial" w:eastAsia="Arial" w:hAnsi="Arial"/>
                <w:sz w:val="16"/>
                <w:szCs w:val="16"/>
                <w:color w:val="auto"/>
              </w:rPr>
              <w:t>Current income tax expense</w:t>
            </w: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(31 )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(48 )</w:t>
            </w:r>
          </w:p>
        </w:tc>
        <w:tc>
          <w:tcPr>
            <w:tcW w:w="280" w:type="dxa"/>
            <w:vAlign w:val="bottom"/>
            <w:shd w:val="clear" w:color="auto" w:fill="CCECFF"/>
          </w:tcPr>
          <w:p>
            <w:pPr>
              <w:spacing w:after="0"/>
              <w:rPr>
                <w:sz w:val="20"/>
                <w:szCs w:val="20"/>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6"/>
        </w:trPr>
        <w:tc>
          <w:tcPr>
            <w:tcW w:w="4580" w:type="dxa"/>
            <w:vAlign w:val="bottom"/>
          </w:tcPr>
          <w:p>
            <w:pPr>
              <w:ind w:left="6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(584 )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(637 )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4580" w:type="dxa"/>
            <w:vAlign w:val="bottom"/>
            <w:shd w:val="clear" w:color="auto" w:fill="CCECFF"/>
          </w:tcPr>
          <w:p>
            <w:pPr>
              <w:ind w:left="160"/>
              <w:spacing w:after="0"/>
              <w:rPr>
                <w:sz w:val="20"/>
                <w:szCs w:val="20"/>
                <w:color w:val="auto"/>
              </w:rPr>
            </w:pPr>
            <w:r>
              <w:rPr>
                <w:rFonts w:ascii="Arial" w:cs="Arial" w:eastAsia="Arial" w:hAnsi="Arial"/>
                <w:sz w:val="16"/>
                <w:szCs w:val="16"/>
                <w:color w:val="auto"/>
              </w:rPr>
              <w:t>Total income tax expense</w:t>
            </w: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(615 )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(685 )</w:t>
            </w: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19"/>
                <w:szCs w:val="19"/>
                <w:color w:val="auto"/>
              </w:rPr>
            </w:pPr>
          </w:p>
        </w:tc>
      </w:tr>
      <w:tr>
        <w:trPr>
          <w:trHeight w:val="20"/>
        </w:trPr>
        <w:tc>
          <w:tcPr>
            <w:tcW w:w="45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26"/>
        </w:trPr>
        <w:tc>
          <w:tcPr>
            <w:tcW w:w="4580" w:type="dxa"/>
            <w:vAlign w:val="bottom"/>
          </w:tcPr>
          <w:p>
            <w:pPr>
              <w:ind w:left="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 xml:space="preserve">(12,701 </w:t>
            </w:r>
            <w:r>
              <w:rPr>
                <w:rFonts w:ascii="Arial" w:cs="Arial" w:eastAsia="Arial" w:hAnsi="Arial"/>
                <w:sz w:val="16"/>
                <w:szCs w:val="16"/>
                <w:color w:val="auto"/>
                <w:highlight w:val="white"/>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(29,219 )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(19,302 )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(46,718 )</w:t>
            </w:r>
          </w:p>
        </w:tc>
      </w:tr>
      <w:tr>
        <w:trPr>
          <w:trHeight w:val="20"/>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580" w:type="dxa"/>
            <w:vAlign w:val="bottom"/>
            <w:shd w:val="clear" w:color="auto" w:fill="CCECFF"/>
          </w:tcPr>
          <w:p>
            <w:pPr>
              <w:ind w:left="60"/>
              <w:spacing w:after="0"/>
              <w:rPr>
                <w:sz w:val="20"/>
                <w:szCs w:val="20"/>
                <w:color w:val="auto"/>
              </w:rPr>
            </w:pPr>
            <w:r>
              <w:rPr>
                <w:rFonts w:ascii="Arial" w:cs="Arial" w:eastAsia="Arial" w:hAnsi="Arial"/>
                <w:sz w:val="16"/>
                <w:szCs w:val="16"/>
                <w:color w:val="auto"/>
              </w:rPr>
              <w:t>Net loss per share - basic and diluted</w:t>
            </w:r>
          </w:p>
        </w:tc>
        <w:tc>
          <w:tcPr>
            <w:tcW w:w="280" w:type="dxa"/>
            <w:vAlign w:val="bottom"/>
            <w:shd w:val="clear" w:color="auto" w:fill="CCECFF"/>
          </w:tcPr>
          <w:p>
            <w:pPr>
              <w:jc w:val="right"/>
              <w:ind w:right="1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(0.05 )</w:t>
            </w:r>
          </w:p>
        </w:tc>
        <w:tc>
          <w:tcPr>
            <w:tcW w:w="280" w:type="dxa"/>
            <w:vAlign w:val="bottom"/>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(0.12 )</w:t>
            </w:r>
          </w:p>
        </w:tc>
        <w:tc>
          <w:tcPr>
            <w:tcW w:w="280" w:type="dxa"/>
            <w:vAlign w:val="bottom"/>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CFF"/>
          </w:tcPr>
          <w:p>
            <w:pPr>
              <w:jc w:val="right"/>
              <w:ind w:right="380"/>
              <w:spacing w:after="0"/>
              <w:rPr>
                <w:sz w:val="20"/>
                <w:szCs w:val="20"/>
                <w:color w:val="auto"/>
              </w:rPr>
            </w:pPr>
            <w:r>
              <w:rPr>
                <w:rFonts w:ascii="Arial" w:cs="Arial" w:eastAsia="Arial" w:hAnsi="Arial"/>
                <w:sz w:val="16"/>
                <w:szCs w:val="16"/>
                <w:color w:val="auto"/>
              </w:rPr>
              <w:t>(0.08 )</w:t>
            </w:r>
          </w:p>
        </w:tc>
        <w:tc>
          <w:tcPr>
            <w:tcW w:w="280" w:type="dxa"/>
            <w:vAlign w:val="bottom"/>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(0.19 )</w:t>
            </w:r>
          </w:p>
        </w:tc>
      </w:tr>
      <w:tr>
        <w:trPr>
          <w:trHeight w:val="210"/>
        </w:trPr>
        <w:tc>
          <w:tcPr>
            <w:tcW w:w="4580" w:type="dxa"/>
            <w:vAlign w:val="bottom"/>
            <w:tcBorders>
              <w:top w:val="single" w:sz="8" w:color="CCECFF"/>
            </w:tcBorders>
          </w:tcPr>
          <w:p>
            <w:pPr>
              <w:ind w:left="60"/>
              <w:spacing w:after="0"/>
              <w:rPr>
                <w:sz w:val="20"/>
                <w:szCs w:val="20"/>
                <w:color w:val="auto"/>
              </w:rPr>
            </w:pPr>
            <w:r>
              <w:rPr>
                <w:rFonts w:ascii="Arial" w:cs="Arial" w:eastAsia="Arial" w:hAnsi="Arial"/>
                <w:sz w:val="16"/>
                <w:szCs w:val="16"/>
                <w:color w:val="auto"/>
              </w:rPr>
              <w:t>Weighted average shares outstanding - basic and diluted</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249,127,664</w:t>
            </w: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247,730,410</w:t>
            </w: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248,892,181</w:t>
            </w:r>
          </w:p>
        </w:tc>
        <w:tc>
          <w:tcPr>
            <w:tcW w:w="440" w:type="dxa"/>
            <w:vAlign w:val="bottom"/>
            <w:tcBorders>
              <w:top w:val="single" w:sz="8" w:color="CCEC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248,945,581</w:t>
            </w:r>
          </w:p>
        </w:tc>
        <w:tc>
          <w:tcPr>
            <w:tcW w:w="140" w:type="dxa"/>
            <w:vAlign w:val="bottom"/>
            <w:tcBorders>
              <w:top w:val="single" w:sz="8" w:color="CCECFF"/>
            </w:tcBorders>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-3788410</wp:posOffset>
            </wp:positionV>
            <wp:extent cx="768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-3788410</wp:posOffset>
            </wp:positionV>
            <wp:extent cx="8572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-3788410</wp:posOffset>
            </wp:positionV>
            <wp:extent cx="8572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-3788410</wp:posOffset>
            </wp:positionV>
            <wp:extent cx="8572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-2322195</wp:posOffset>
            </wp:positionV>
            <wp:extent cx="7683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-2322195</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-2322195</wp:posOffset>
            </wp:positionV>
            <wp:extent cx="8572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-2322195</wp:posOffset>
            </wp:positionV>
            <wp:extent cx="8572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-2013585</wp:posOffset>
            </wp:positionV>
            <wp:extent cx="768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-2013585</wp:posOffset>
            </wp:positionV>
            <wp:extent cx="8572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-2013585</wp:posOffset>
            </wp:positionV>
            <wp:extent cx="857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-2013585</wp:posOffset>
            </wp:positionV>
            <wp:extent cx="8572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-1122045</wp:posOffset>
            </wp:positionV>
            <wp:extent cx="857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-1122045</wp:posOffset>
            </wp:positionV>
            <wp:extent cx="8572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-1122045</wp:posOffset>
            </wp:positionV>
            <wp:extent cx="857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-521970</wp:posOffset>
            </wp:positionV>
            <wp:extent cx="8572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-521970</wp:posOffset>
            </wp:positionV>
            <wp:extent cx="8572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-521970</wp:posOffset>
            </wp:positionV>
            <wp:extent cx="8572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-196215</wp:posOffset>
            </wp:positionV>
            <wp:extent cx="340360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3600" cy="1968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940" w:type="dxa"/>
            <w:vAlign w:val="bottom"/>
            <w:gridSpan w:val="4"/>
          </w:tcPr>
          <w:p>
            <w:pPr>
              <w:jc w:val="right"/>
              <w:ind w:right="489"/>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Additional</w:t>
            </w:r>
          </w:p>
        </w:tc>
        <w:tc>
          <w:tcPr>
            <w:tcW w:w="1160" w:type="dxa"/>
            <w:vAlign w:val="bottom"/>
            <w:gridSpan w:val="3"/>
          </w:tcPr>
          <w:p>
            <w:pPr>
              <w:jc w:val="right"/>
              <w:ind w:right="308"/>
              <w:spacing w:after="0"/>
              <w:rPr>
                <w:sz w:val="20"/>
                <w:szCs w:val="20"/>
                <w:color w:val="auto"/>
              </w:rPr>
            </w:pPr>
            <w:r>
              <w:rPr>
                <w:rFonts w:ascii="Arial" w:cs="Arial" w:eastAsia="Arial" w:hAnsi="Arial"/>
                <w:sz w:val="13"/>
                <w:szCs w:val="13"/>
                <w:b w:val="1"/>
                <w:bCs w:val="1"/>
                <w:color w:val="auto"/>
                <w:w w:val="93"/>
              </w:rPr>
              <w:t>Accumulated</w:t>
            </w:r>
          </w:p>
        </w:tc>
        <w:tc>
          <w:tcPr>
            <w:tcW w:w="2380" w:type="dxa"/>
            <w:vAlign w:val="bottom"/>
            <w:gridSpan w:val="5"/>
          </w:tcPr>
          <w:p>
            <w:pPr>
              <w:jc w:val="right"/>
              <w:ind w:right="888"/>
              <w:spacing w:after="0"/>
              <w:rPr>
                <w:sz w:val="20"/>
                <w:szCs w:val="20"/>
                <w:color w:val="auto"/>
              </w:rPr>
            </w:pPr>
            <w:r>
              <w:rPr>
                <w:rFonts w:ascii="Arial" w:cs="Arial" w:eastAsia="Arial" w:hAnsi="Arial"/>
                <w:sz w:val="13"/>
                <w:szCs w:val="13"/>
                <w:b w:val="1"/>
                <w:bCs w:val="1"/>
                <w:color w:val="auto"/>
              </w:rPr>
              <w:t>Treasury Stock</w:t>
            </w:r>
          </w:p>
        </w:tc>
        <w:tc>
          <w:tcPr>
            <w:tcW w:w="3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3"/>
                <w:szCs w:val="13"/>
                <w:color w:val="auto"/>
              </w:rPr>
            </w:pPr>
          </w:p>
        </w:tc>
        <w:tc>
          <w:tcPr>
            <w:tcW w:w="1000" w:type="dxa"/>
            <w:vAlign w:val="bottom"/>
            <w:gridSpan w:val="2"/>
          </w:tcPr>
          <w:p>
            <w:pPr>
              <w:jc w:val="right"/>
              <w:ind w:right="488"/>
              <w:spacing w:after="0"/>
              <w:rPr>
                <w:sz w:val="20"/>
                <w:szCs w:val="20"/>
                <w:color w:val="auto"/>
              </w:rPr>
            </w:pPr>
            <w:r>
              <w:rPr>
                <w:rFonts w:ascii="Arial" w:cs="Arial" w:eastAsia="Arial" w:hAnsi="Arial"/>
                <w:sz w:val="13"/>
                <w:szCs w:val="13"/>
                <w:b w:val="1"/>
                <w:bCs w:val="1"/>
                <w:color w:val="auto"/>
              </w:rPr>
              <w:t>Deficit</w:t>
            </w:r>
          </w:p>
        </w:tc>
        <w:tc>
          <w:tcPr>
            <w:tcW w:w="1220" w:type="dxa"/>
            <w:vAlign w:val="bottom"/>
            <w:tcBorders>
              <w:top w:val="single" w:sz="8" w:color="auto"/>
            </w:tcBorders>
            <w:gridSpan w:val="2"/>
          </w:tcPr>
          <w:p>
            <w:pPr>
              <w:jc w:val="right"/>
              <w:ind w:right="57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3"/>
                <w:szCs w:val="13"/>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69"/>
        </w:trPr>
        <w:tc>
          <w:tcPr>
            <w:tcW w:w="26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253,050,088</w:t>
            </w:r>
          </w:p>
        </w:tc>
        <w:tc>
          <w:tcPr>
            <w:tcW w:w="3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253</w:t>
            </w:r>
          </w:p>
        </w:tc>
        <w:tc>
          <w:tcPr>
            <w:tcW w:w="3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462,181</w:t>
            </w:r>
          </w:p>
        </w:tc>
        <w:tc>
          <w:tcPr>
            <w:tcW w:w="3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(117,810</w:t>
            </w:r>
          </w:p>
        </w:tc>
        <w:tc>
          <w:tcPr>
            <w:tcW w:w="320" w:type="dxa"/>
            <w:vAlign w:val="bottom"/>
            <w:shd w:val="clear" w:color="auto" w:fill="CCECFF"/>
          </w:tcPr>
          <w:p>
            <w:pPr>
              <w:jc w:val="right"/>
              <w:ind w:right="188"/>
              <w:spacing w:after="0"/>
              <w:rPr>
                <w:sz w:val="20"/>
                <w:szCs w:val="20"/>
                <w:color w:val="auto"/>
              </w:rPr>
            </w:pPr>
            <w:r>
              <w:rPr>
                <w:rFonts w:ascii="Arial" w:cs="Arial" w:eastAsia="Arial" w:hAnsi="Arial"/>
                <w:sz w:val="14"/>
                <w:szCs w:val="14"/>
                <w:b w:val="1"/>
                <w:bCs w:val="1"/>
                <w:color w:val="auto"/>
                <w:w w:val="84"/>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(4,144,081</w:t>
            </w:r>
          </w:p>
        </w:tc>
        <w:tc>
          <w:tcPr>
            <w:tcW w:w="360" w:type="dxa"/>
            <w:vAlign w:val="bottom"/>
            <w:shd w:val="clear" w:color="auto" w:fill="CCECFF"/>
          </w:tcPr>
          <w:p>
            <w:pPr>
              <w:jc w:val="right"/>
              <w:ind w:right="2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shd w:val="clear" w:color="auto" w:fill="CCECFF"/>
          </w:tcPr>
          <w:p>
            <w:pPr>
              <w:jc w:val="right"/>
              <w:ind w:right="228"/>
              <w:spacing w:after="0"/>
              <w:rPr>
                <w:sz w:val="20"/>
                <w:szCs w:val="20"/>
                <w:color w:val="auto"/>
              </w:rPr>
            </w:pPr>
            <w:r>
              <w:rPr>
                <w:rFonts w:ascii="Arial" w:cs="Arial" w:eastAsia="Arial" w:hAnsi="Arial"/>
                <w:sz w:val="14"/>
                <w:szCs w:val="14"/>
                <w:b w:val="1"/>
                <w:bCs w:val="1"/>
                <w:color w:val="auto"/>
                <w:w w:val="84"/>
              </w:rPr>
              <w:t>)</w:t>
            </w:r>
          </w:p>
        </w:tc>
        <w:tc>
          <w:tcPr>
            <w:tcW w:w="300" w:type="dxa"/>
            <w:vAlign w:val="bottom"/>
            <w:tcBorders>
              <w:top w:val="single" w:sz="8" w:color="auto"/>
            </w:tcBorders>
            <w:shd w:val="clear" w:color="auto" w:fill="CCECFF"/>
          </w:tcPr>
          <w:p>
            <w:pPr>
              <w:jc w:val="right"/>
              <w:ind w:right="131"/>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344,620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80" w:type="dxa"/>
            <w:vAlign w:val="bottom"/>
          </w:tcPr>
          <w:p>
            <w:pPr>
              <w:ind w:left="120"/>
              <w:spacing w:after="0" w:line="143" w:lineRule="exact"/>
              <w:rPr>
                <w:sz w:val="20"/>
                <w:szCs w:val="20"/>
                <w:color w:val="auto"/>
              </w:rPr>
            </w:pPr>
            <w:r>
              <w:rPr>
                <w:rFonts w:ascii="Arial" w:cs="Arial" w:eastAsia="Arial" w:hAnsi="Arial"/>
                <w:sz w:val="14"/>
                <w:szCs w:val="14"/>
                <w:color w:val="auto"/>
                <w:w w:val="94"/>
              </w:rPr>
              <w:t>Issuance of common shares, net of offering</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tcPr>
          <w:p>
            <w:pPr>
              <w:ind w:left="120"/>
              <w:spacing w:after="0"/>
              <w:rPr>
                <w:sz w:val="20"/>
                <w:szCs w:val="20"/>
                <w:color w:val="auto"/>
              </w:rPr>
            </w:pPr>
            <w:r>
              <w:rPr>
                <w:rFonts w:ascii="Arial" w:cs="Arial" w:eastAsia="Arial" w:hAnsi="Arial"/>
                <w:sz w:val="14"/>
                <w:szCs w:val="14"/>
                <w:color w:val="auto"/>
              </w:rPr>
              <w:t>costs - At-the-market offering</w:t>
            </w:r>
          </w:p>
        </w:tc>
        <w:tc>
          <w:tcPr>
            <w:tcW w:w="880" w:type="dxa"/>
            <w:vAlign w:val="bottom"/>
          </w:tcPr>
          <w:p>
            <w:pPr>
              <w:jc w:val="right"/>
              <w:spacing w:after="0"/>
              <w:rPr>
                <w:sz w:val="20"/>
                <w:szCs w:val="20"/>
                <w:color w:val="auto"/>
              </w:rPr>
            </w:pPr>
            <w:r>
              <w:rPr>
                <w:rFonts w:ascii="Arial" w:cs="Arial" w:eastAsia="Arial" w:hAnsi="Arial"/>
                <w:sz w:val="14"/>
                <w:szCs w:val="14"/>
                <w:color w:val="auto"/>
              </w:rPr>
              <w:t>978,207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2,744</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80" w:type="dxa"/>
            <w:vAlign w:val="bottom"/>
            <w:shd w:val="clear" w:color="auto" w:fill="CCECFF"/>
          </w:tcPr>
          <w:p>
            <w:pPr>
              <w:ind w:left="120"/>
              <w:spacing w:after="0" w:line="143" w:lineRule="exact"/>
              <w:rPr>
                <w:sz w:val="20"/>
                <w:szCs w:val="20"/>
                <w:color w:val="auto"/>
              </w:rPr>
            </w:pPr>
            <w:r>
              <w:rPr>
                <w:rFonts w:ascii="Arial" w:cs="Arial" w:eastAsia="Arial" w:hAnsi="Arial"/>
                <w:sz w:val="14"/>
                <w:szCs w:val="14"/>
                <w:color w:val="auto"/>
              </w:rPr>
              <w:t>Delivery of common stock underlying</w:t>
            </w:r>
          </w:p>
        </w:tc>
        <w:tc>
          <w:tcPr>
            <w:tcW w:w="8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CFF"/>
          </w:tcPr>
          <w:p>
            <w:pPr>
              <w:ind w:left="120"/>
              <w:spacing w:after="0" w:line="149" w:lineRule="exact"/>
              <w:rPr>
                <w:sz w:val="20"/>
                <w:szCs w:val="20"/>
                <w:color w:val="auto"/>
              </w:rPr>
            </w:pPr>
            <w:r>
              <w:rPr>
                <w:rFonts w:ascii="Arial" w:cs="Arial" w:eastAsia="Arial" w:hAnsi="Arial"/>
                <w:sz w:val="14"/>
                <w:szCs w:val="14"/>
                <w:color w:val="auto"/>
                <w:w w:val="97"/>
              </w:rPr>
              <w:t>restricted stock units, net of shares settled</w:t>
            </w:r>
          </w:p>
        </w:tc>
        <w:tc>
          <w:tcPr>
            <w:tcW w:w="8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for tax withholding settlement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674,817</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(632 )</w:t>
            </w:r>
          </w:p>
        </w:tc>
        <w:tc>
          <w:tcPr>
            <w:tcW w:w="1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279"/>
              <w:spacing w:after="0"/>
              <w:rPr>
                <w:sz w:val="20"/>
                <w:szCs w:val="20"/>
                <w:color w:val="auto"/>
              </w:rPr>
            </w:pPr>
            <w:r>
              <w:rPr>
                <w:rFonts w:ascii="Arial" w:cs="Arial" w:eastAsia="Arial" w:hAnsi="Arial"/>
                <w:sz w:val="14"/>
                <w:szCs w:val="14"/>
                <w:color w:val="auto"/>
              </w:rPr>
              <w:t>(237,654 )</w:t>
            </w: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(632 )</w:t>
            </w:r>
          </w:p>
        </w:tc>
        <w:tc>
          <w:tcPr>
            <w:tcW w:w="0" w:type="dxa"/>
            <w:vAlign w:val="bottom"/>
          </w:tcPr>
          <w:p>
            <w:pPr>
              <w:spacing w:after="0"/>
              <w:rPr>
                <w:sz w:val="1"/>
                <w:szCs w:val="1"/>
                <w:color w:val="auto"/>
              </w:rPr>
            </w:pPr>
          </w:p>
        </w:tc>
      </w:tr>
      <w:tr>
        <w:trPr>
          <w:trHeight w:val="176"/>
        </w:trPr>
        <w:tc>
          <w:tcPr>
            <w:tcW w:w="26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92,514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9,178</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(12,701 )</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(12,701 )</w:t>
            </w:r>
          </w:p>
        </w:tc>
        <w:tc>
          <w:tcPr>
            <w:tcW w:w="0" w:type="dxa"/>
            <w:vAlign w:val="bottom"/>
          </w:tcPr>
          <w:p>
            <w:pPr>
              <w:spacing w:after="0"/>
              <w:rPr>
                <w:sz w:val="1"/>
                <w:szCs w:val="1"/>
                <w:color w:val="auto"/>
              </w:rPr>
            </w:pPr>
          </w:p>
        </w:tc>
      </w:tr>
      <w:tr>
        <w:trPr>
          <w:trHeight w:val="20"/>
        </w:trPr>
        <w:tc>
          <w:tcPr>
            <w:tcW w:w="2680" w:type="dxa"/>
            <w:vAlign w:val="bottom"/>
            <w:shd w:val="clear" w:color="auto" w:fill="CCEC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as of June 30, 2023</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254,795,626</w:t>
            </w:r>
          </w:p>
        </w:tc>
        <w:tc>
          <w:tcPr>
            <w:tcW w:w="36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254</w:t>
            </w:r>
          </w:p>
        </w:tc>
        <w:tc>
          <w:tcPr>
            <w:tcW w:w="3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473,471</w:t>
            </w:r>
          </w:p>
        </w:tc>
        <w:tc>
          <w:tcPr>
            <w:tcW w:w="360" w:type="dxa"/>
            <w:vAlign w:val="bottom"/>
          </w:tcPr>
          <w:p>
            <w:pPr>
              <w:spacing w:after="0"/>
              <w:rPr>
                <w:sz w:val="14"/>
                <w:szCs w:val="14"/>
                <w:color w:val="auto"/>
              </w:rPr>
            </w:pPr>
          </w:p>
        </w:tc>
        <w:tc>
          <w:tcPr>
            <w:tcW w:w="16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(130,511 )</w:t>
            </w:r>
          </w:p>
        </w:tc>
        <w:tc>
          <w:tcPr>
            <w:tcW w:w="1220" w:type="dxa"/>
            <w:vAlign w:val="bottom"/>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(4,381,735 )</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(4 )</w:t>
            </w:r>
          </w:p>
        </w:tc>
        <w:tc>
          <w:tcPr>
            <w:tcW w:w="30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343,210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-145415</wp:posOffset>
            </wp:positionV>
            <wp:extent cx="7683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-145415</wp:posOffset>
            </wp:positionV>
            <wp:extent cx="7683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-145415</wp:posOffset>
            </wp:positionV>
            <wp:extent cx="7747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-145415</wp:posOffset>
            </wp:positionV>
            <wp:extent cx="8572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-145415</wp:posOffset>
            </wp:positionV>
            <wp:extent cx="7683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-145415</wp:posOffset>
            </wp:positionV>
            <wp:extent cx="8572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7"/>
              </w:rPr>
              <w:t>Additional</w:t>
            </w:r>
          </w:p>
        </w:tc>
        <w:tc>
          <w:tcPr>
            <w:tcW w:w="11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4"/>
                <w:szCs w:val="14"/>
                <w:color w:val="auto"/>
              </w:rPr>
            </w:pPr>
          </w:p>
        </w:tc>
        <w:tc>
          <w:tcPr>
            <w:tcW w:w="2200" w:type="dxa"/>
            <w:vAlign w:val="bottom"/>
            <w:gridSpan w:val="5"/>
          </w:tcPr>
          <w:p>
            <w:pPr>
              <w:jc w:val="right"/>
              <w:ind w:right="940"/>
              <w:spacing w:after="0"/>
              <w:rPr>
                <w:sz w:val="20"/>
                <w:szCs w:val="20"/>
                <w:color w:val="auto"/>
              </w:rPr>
            </w:pPr>
            <w:r>
              <w:rPr>
                <w:rFonts w:ascii="Arial" w:cs="Arial" w:eastAsia="Arial" w:hAnsi="Arial"/>
                <w:sz w:val="13"/>
                <w:szCs w:val="13"/>
                <w:b w:val="1"/>
                <w:bCs w:val="1"/>
                <w:color w:val="auto"/>
              </w:rPr>
              <w:t>Treasury Stock</w:t>
            </w:r>
          </w:p>
        </w:tc>
        <w:tc>
          <w:tcPr>
            <w:tcW w:w="3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Paid-in Capital</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340" w:type="dxa"/>
            <w:vAlign w:val="bottom"/>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Stockholders’ 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00" w:type="dxa"/>
            <w:vAlign w:val="bottom"/>
            <w:vMerge w:val="restart"/>
            <w:shd w:val="clear" w:color="auto" w:fill="CCEC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880" w:type="dxa"/>
            <w:vAlign w:val="bottom"/>
            <w:shd w:val="clear" w:color="auto" w:fill="CCECFF"/>
          </w:tcPr>
          <w:p>
            <w:pPr>
              <w:jc w:val="right"/>
              <w:spacing w:after="0" w:line="133" w:lineRule="exact"/>
              <w:rPr>
                <w:sz w:val="20"/>
                <w:szCs w:val="20"/>
                <w:color w:val="auto"/>
              </w:rPr>
            </w:pPr>
            <w:r>
              <w:rPr>
                <w:rFonts w:ascii="Arial" w:cs="Arial" w:eastAsia="Arial" w:hAnsi="Arial"/>
                <w:sz w:val="14"/>
                <w:szCs w:val="14"/>
                <w:b w:val="1"/>
                <w:bCs w:val="1"/>
                <w:color w:val="auto"/>
              </w:rPr>
              <w:t>253,685,76</w:t>
            </w:r>
          </w:p>
        </w:tc>
        <w:tc>
          <w:tcPr>
            <w:tcW w:w="34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254</w:t>
            </w:r>
          </w:p>
        </w:tc>
        <w:tc>
          <w:tcPr>
            <w:tcW w:w="360" w:type="dxa"/>
            <w:vAlign w:val="bottom"/>
            <w:shd w:val="clear" w:color="auto" w:fill="CCECFF"/>
          </w:tcPr>
          <w:p>
            <w:pPr>
              <w:spacing w:after="0"/>
              <w:rPr>
                <w:sz w:val="11"/>
                <w:szCs w:val="11"/>
                <w:color w:val="auto"/>
              </w:rPr>
            </w:pPr>
          </w:p>
        </w:tc>
        <w:tc>
          <w:tcPr>
            <w:tcW w:w="1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431,899</w:t>
            </w:r>
          </w:p>
        </w:tc>
        <w:tc>
          <w:tcPr>
            <w:tcW w:w="380" w:type="dxa"/>
            <w:vAlign w:val="bottom"/>
            <w:shd w:val="clear" w:color="auto" w:fill="CCECFF"/>
          </w:tcPr>
          <w:p>
            <w:pPr>
              <w:spacing w:after="0"/>
              <w:rPr>
                <w:sz w:val="11"/>
                <w:szCs w:val="11"/>
                <w:color w:val="auto"/>
              </w:rPr>
            </w:pPr>
          </w:p>
        </w:tc>
        <w:tc>
          <w:tcPr>
            <w:tcW w:w="1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vMerge w:val="restart"/>
            <w:shd w:val="clear" w:color="auto" w:fill="CCECFF"/>
          </w:tcPr>
          <w:p>
            <w:pPr>
              <w:jc w:val="right"/>
              <w:ind w:right="300"/>
              <w:spacing w:after="0"/>
              <w:rPr>
                <w:sz w:val="20"/>
                <w:szCs w:val="20"/>
                <w:color w:val="auto"/>
              </w:rPr>
            </w:pPr>
            <w:r>
              <w:rPr>
                <w:rFonts w:ascii="Arial" w:cs="Arial" w:eastAsia="Arial" w:hAnsi="Arial"/>
                <w:sz w:val="14"/>
                <w:szCs w:val="14"/>
                <w:b w:val="1"/>
                <w:bCs w:val="1"/>
                <w:color w:val="auto"/>
              </w:rPr>
              <w:t>(89,655 )</w:t>
            </w:r>
          </w:p>
        </w:tc>
        <w:tc>
          <w:tcPr>
            <w:tcW w:w="120" w:type="dxa"/>
            <w:vAlign w:val="bottom"/>
            <w:shd w:val="clear" w:color="auto" w:fill="CCECFF"/>
          </w:tcPr>
          <w:p>
            <w:pPr>
              <w:spacing w:after="0"/>
              <w:rPr>
                <w:sz w:val="11"/>
                <w:szCs w:val="11"/>
                <w:color w:val="auto"/>
              </w:rPr>
            </w:pPr>
          </w:p>
        </w:tc>
        <w:tc>
          <w:tcPr>
            <w:tcW w:w="1040" w:type="dxa"/>
            <w:vAlign w:val="bottom"/>
            <w:gridSpan w:val="2"/>
            <w:vMerge w:val="restart"/>
            <w:shd w:val="clear" w:color="auto" w:fill="CCECFF"/>
          </w:tcPr>
          <w:p>
            <w:pPr>
              <w:jc w:val="right"/>
              <w:ind w:right="300"/>
              <w:spacing w:after="0"/>
              <w:rPr>
                <w:sz w:val="20"/>
                <w:szCs w:val="20"/>
                <w:color w:val="auto"/>
              </w:rPr>
            </w:pPr>
            <w:r>
              <w:rPr>
                <w:rFonts w:ascii="Arial" w:cs="Arial" w:eastAsia="Arial" w:hAnsi="Arial"/>
                <w:sz w:val="14"/>
                <w:szCs w:val="14"/>
                <w:b w:val="1"/>
                <w:bCs w:val="1"/>
                <w:color w:val="auto"/>
                <w:w w:val="95"/>
              </w:rPr>
              <w:t>(3,511,490 )</w:t>
            </w:r>
          </w:p>
        </w:tc>
        <w:tc>
          <w:tcPr>
            <w:tcW w:w="1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vMerge w:val="restart"/>
            <w:shd w:val="clear" w:color="auto" w:fill="CCECFF"/>
          </w:tcPr>
          <w:p>
            <w:pPr>
              <w:jc w:val="right"/>
              <w:ind w:right="300"/>
              <w:spacing w:after="0"/>
              <w:rPr>
                <w:sz w:val="20"/>
                <w:szCs w:val="20"/>
                <w:color w:val="auto"/>
              </w:rPr>
            </w:pPr>
            <w:r>
              <w:rPr>
                <w:rFonts w:ascii="Arial" w:cs="Arial" w:eastAsia="Arial" w:hAnsi="Arial"/>
                <w:sz w:val="14"/>
                <w:szCs w:val="14"/>
                <w:b w:val="1"/>
                <w:bCs w:val="1"/>
                <w:color w:val="auto"/>
              </w:rPr>
              <w:t>(4 )</w:t>
            </w:r>
          </w:p>
        </w:tc>
        <w:tc>
          <w:tcPr>
            <w:tcW w:w="300" w:type="dxa"/>
            <w:vAlign w:val="bottom"/>
            <w:vMerge w:val="restart"/>
            <w:shd w:val="clear" w:color="auto" w:fill="CCECFF"/>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342,494</w:t>
            </w:r>
          </w:p>
        </w:tc>
        <w:tc>
          <w:tcPr>
            <w:tcW w:w="1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00" w:type="dxa"/>
            <w:vAlign w:val="bottom"/>
            <w:vMerge w:val="continue"/>
            <w:shd w:val="clear" w:color="auto" w:fill="CCECFF"/>
          </w:tcPr>
          <w:p>
            <w:pPr>
              <w:spacing w:after="0"/>
              <w:rPr>
                <w:sz w:val="16"/>
                <w:szCs w:val="16"/>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3</w:t>
            </w:r>
          </w:p>
        </w:tc>
        <w:tc>
          <w:tcPr>
            <w:tcW w:w="340" w:type="dxa"/>
            <w:vAlign w:val="bottom"/>
            <w:shd w:val="clear" w:color="auto" w:fill="CCECFF"/>
          </w:tcPr>
          <w:p>
            <w:pPr>
              <w:spacing w:after="0"/>
              <w:rPr>
                <w:sz w:val="16"/>
                <w:szCs w:val="16"/>
                <w:color w:val="auto"/>
              </w:rPr>
            </w:pPr>
          </w:p>
        </w:tc>
        <w:tc>
          <w:tcPr>
            <w:tcW w:w="120" w:type="dxa"/>
            <w:vAlign w:val="bottom"/>
            <w:vMerge w:val="continue"/>
            <w:shd w:val="clear" w:color="auto" w:fill="CCECFF"/>
          </w:tcPr>
          <w:p>
            <w:pPr>
              <w:spacing w:after="0"/>
              <w:rPr>
                <w:sz w:val="16"/>
                <w:szCs w:val="16"/>
                <w:color w:val="auto"/>
              </w:rPr>
            </w:pPr>
          </w:p>
        </w:tc>
        <w:tc>
          <w:tcPr>
            <w:tcW w:w="580" w:type="dxa"/>
            <w:vAlign w:val="bottom"/>
            <w:vMerge w:val="continue"/>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820" w:type="dxa"/>
            <w:vAlign w:val="bottom"/>
            <w:vMerge w:val="continue"/>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1040" w:type="dxa"/>
            <w:vAlign w:val="bottom"/>
            <w:gridSpan w:val="2"/>
            <w:vMerge w:val="continue"/>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40" w:type="dxa"/>
            <w:vAlign w:val="bottom"/>
            <w:gridSpan w:val="2"/>
            <w:vMerge w:val="continue"/>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1020" w:type="dxa"/>
            <w:vAlign w:val="bottom"/>
            <w:gridSpan w:val="2"/>
            <w:vMerge w:val="continue"/>
            <w:shd w:val="clear" w:color="auto" w:fill="CCECFF"/>
          </w:tcPr>
          <w:p>
            <w:pPr>
              <w:spacing w:after="0"/>
              <w:rPr>
                <w:sz w:val="16"/>
                <w:szCs w:val="16"/>
                <w:color w:val="auto"/>
              </w:rPr>
            </w:pPr>
          </w:p>
        </w:tc>
        <w:tc>
          <w:tcPr>
            <w:tcW w:w="300" w:type="dxa"/>
            <w:vAlign w:val="bottom"/>
            <w:vMerge w:val="continue"/>
            <w:shd w:val="clear" w:color="auto" w:fill="CCECFF"/>
          </w:tcPr>
          <w:p>
            <w:pPr>
              <w:spacing w:after="0"/>
              <w:rPr>
                <w:sz w:val="16"/>
                <w:szCs w:val="16"/>
                <w:color w:val="auto"/>
              </w:rPr>
            </w:pPr>
          </w:p>
        </w:tc>
        <w:tc>
          <w:tcPr>
            <w:tcW w:w="980" w:type="dxa"/>
            <w:vAlign w:val="bottom"/>
            <w:vMerge w:val="continue"/>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4"/>
                <w:szCs w:val="14"/>
                <w:color w:val="auto"/>
              </w:rPr>
              <w:t>Common stock cancelled</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(2,890,173 )</w:t>
            </w: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(9,997 )</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43"/>
        </w:trPr>
        <w:tc>
          <w:tcPr>
            <w:tcW w:w="2700" w:type="dxa"/>
            <w:vAlign w:val="bottom"/>
            <w:shd w:val="clear" w:color="auto" w:fill="CCECFF"/>
          </w:tcPr>
          <w:p>
            <w:pPr>
              <w:ind w:left="120"/>
              <w:spacing w:after="0" w:line="143" w:lineRule="exact"/>
              <w:rPr>
                <w:sz w:val="20"/>
                <w:szCs w:val="20"/>
                <w:color w:val="auto"/>
              </w:rPr>
            </w:pPr>
            <w:r>
              <w:rPr>
                <w:rFonts w:ascii="Arial" w:cs="Arial" w:eastAsia="Arial" w:hAnsi="Arial"/>
                <w:sz w:val="14"/>
                <w:szCs w:val="14"/>
                <w:color w:val="auto"/>
              </w:rPr>
              <w:t>Delivery of common stock underlying</w:t>
            </w:r>
          </w:p>
        </w:tc>
        <w:tc>
          <w:tcPr>
            <w:tcW w:w="8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CECFF"/>
          </w:tcPr>
          <w:p>
            <w:pPr>
              <w:ind w:left="120"/>
              <w:spacing w:after="0"/>
              <w:rPr>
                <w:sz w:val="20"/>
                <w:szCs w:val="20"/>
                <w:color w:val="auto"/>
              </w:rPr>
            </w:pPr>
            <w:r>
              <w:rPr>
                <w:rFonts w:ascii="Arial" w:cs="Arial" w:eastAsia="Arial" w:hAnsi="Arial"/>
                <w:sz w:val="14"/>
                <w:szCs w:val="14"/>
                <w:color w:val="auto"/>
              </w:rPr>
              <w:t>restricted stock units</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205,482</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10,064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CFF"/>
          </w:tcPr>
          <w:p>
            <w:pPr>
              <w:ind w:left="120"/>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(29,219 )</w:t>
            </w: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(29,219 )</w:t>
            </w:r>
          </w:p>
        </w:tc>
        <w:tc>
          <w:tcPr>
            <w:tcW w:w="0" w:type="dxa"/>
            <w:vAlign w:val="bottom"/>
          </w:tcPr>
          <w:p>
            <w:pPr>
              <w:spacing w:after="0"/>
              <w:rPr>
                <w:sz w:val="1"/>
                <w:szCs w:val="1"/>
                <w:color w:val="auto"/>
              </w:rPr>
            </w:pPr>
          </w:p>
        </w:tc>
      </w:tr>
      <w:tr>
        <w:trPr>
          <w:trHeight w:val="133"/>
        </w:trPr>
        <w:tc>
          <w:tcPr>
            <w:tcW w:w="2700" w:type="dxa"/>
            <w:vAlign w:val="bottom"/>
            <w:tcBorders>
              <w:top w:val="single" w:sz="8" w:color="CCECFF"/>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251,001,07</w:t>
            </w:r>
          </w:p>
        </w:tc>
        <w:tc>
          <w:tcPr>
            <w:tcW w:w="34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6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CCEC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3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431,966</w:t>
            </w:r>
          </w:p>
        </w:tc>
        <w:tc>
          <w:tcPr>
            <w:tcW w:w="3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(118,874 )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(3,511,490 )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(4 )</w:t>
            </w:r>
          </w:p>
        </w:tc>
        <w:tc>
          <w:tcPr>
            <w:tcW w:w="30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313,339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-239395</wp:posOffset>
            </wp:positionV>
            <wp:extent cx="7683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-239395</wp:posOffset>
            </wp:positionV>
            <wp:extent cx="8572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-239395</wp:posOffset>
            </wp:positionV>
            <wp:extent cx="8572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-239395</wp:posOffset>
            </wp:positionV>
            <wp:extent cx="8572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-239395</wp:posOffset>
            </wp:positionV>
            <wp:extent cx="8572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-239395</wp:posOffset>
            </wp:positionV>
            <wp:extent cx="7747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-239395</wp:posOffset>
            </wp:positionV>
            <wp:extent cx="85725"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940" w:type="dxa"/>
            <w:vAlign w:val="bottom"/>
            <w:gridSpan w:val="4"/>
          </w:tcPr>
          <w:p>
            <w:pPr>
              <w:jc w:val="right"/>
              <w:ind w:right="489"/>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Additional</w:t>
            </w:r>
          </w:p>
        </w:tc>
        <w:tc>
          <w:tcPr>
            <w:tcW w:w="1160" w:type="dxa"/>
            <w:vAlign w:val="bottom"/>
            <w:gridSpan w:val="3"/>
          </w:tcPr>
          <w:p>
            <w:pPr>
              <w:jc w:val="right"/>
              <w:ind w:right="308"/>
              <w:spacing w:after="0"/>
              <w:rPr>
                <w:sz w:val="20"/>
                <w:szCs w:val="20"/>
                <w:color w:val="auto"/>
              </w:rPr>
            </w:pPr>
            <w:r>
              <w:rPr>
                <w:rFonts w:ascii="Arial" w:cs="Arial" w:eastAsia="Arial" w:hAnsi="Arial"/>
                <w:sz w:val="13"/>
                <w:szCs w:val="13"/>
                <w:b w:val="1"/>
                <w:bCs w:val="1"/>
                <w:color w:val="auto"/>
                <w:w w:val="93"/>
              </w:rPr>
              <w:t>Accumulated</w:t>
            </w:r>
          </w:p>
        </w:tc>
        <w:tc>
          <w:tcPr>
            <w:tcW w:w="2380" w:type="dxa"/>
            <w:vAlign w:val="bottom"/>
            <w:gridSpan w:val="5"/>
          </w:tcPr>
          <w:p>
            <w:pPr>
              <w:jc w:val="right"/>
              <w:ind w:right="888"/>
              <w:spacing w:after="0"/>
              <w:rPr>
                <w:sz w:val="20"/>
                <w:szCs w:val="20"/>
                <w:color w:val="auto"/>
              </w:rPr>
            </w:pPr>
            <w:r>
              <w:rPr>
                <w:rFonts w:ascii="Arial" w:cs="Arial" w:eastAsia="Arial" w:hAnsi="Arial"/>
                <w:sz w:val="13"/>
                <w:szCs w:val="13"/>
                <w:b w:val="1"/>
                <w:bCs w:val="1"/>
                <w:color w:val="auto"/>
              </w:rPr>
              <w:t>Treasury Stock</w:t>
            </w:r>
          </w:p>
        </w:tc>
        <w:tc>
          <w:tcPr>
            <w:tcW w:w="3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Shares</w:t>
            </w: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3"/>
                <w:szCs w:val="13"/>
                <w:color w:val="auto"/>
              </w:rPr>
            </w:pPr>
          </w:p>
        </w:tc>
        <w:tc>
          <w:tcPr>
            <w:tcW w:w="1000" w:type="dxa"/>
            <w:vAlign w:val="bottom"/>
            <w:gridSpan w:val="2"/>
          </w:tcPr>
          <w:p>
            <w:pPr>
              <w:jc w:val="right"/>
              <w:ind w:right="488"/>
              <w:spacing w:after="0"/>
              <w:rPr>
                <w:sz w:val="20"/>
                <w:szCs w:val="20"/>
                <w:color w:val="auto"/>
              </w:rPr>
            </w:pPr>
            <w:r>
              <w:rPr>
                <w:rFonts w:ascii="Arial" w:cs="Arial" w:eastAsia="Arial" w:hAnsi="Arial"/>
                <w:sz w:val="13"/>
                <w:szCs w:val="13"/>
                <w:b w:val="1"/>
                <w:bCs w:val="1"/>
                <w:color w:val="auto"/>
              </w:rPr>
              <w:t>Deficit</w:t>
            </w:r>
          </w:p>
        </w:tc>
        <w:tc>
          <w:tcPr>
            <w:tcW w:w="1220" w:type="dxa"/>
            <w:vAlign w:val="bottom"/>
            <w:tcBorders>
              <w:top w:val="single" w:sz="8" w:color="auto"/>
            </w:tcBorders>
            <w:gridSpan w:val="2"/>
          </w:tcPr>
          <w:p>
            <w:pPr>
              <w:jc w:val="right"/>
              <w:ind w:right="57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3"/>
                <w:szCs w:val="13"/>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69"/>
        </w:trPr>
        <w:tc>
          <w:tcPr>
            <w:tcW w:w="26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Balance as of January 1, 2023</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251,095,305</w:t>
            </w:r>
          </w:p>
        </w:tc>
        <w:tc>
          <w:tcPr>
            <w:tcW w:w="3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251</w:t>
            </w:r>
          </w:p>
        </w:tc>
        <w:tc>
          <w:tcPr>
            <w:tcW w:w="3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453,854</w:t>
            </w:r>
          </w:p>
        </w:tc>
        <w:tc>
          <w:tcPr>
            <w:tcW w:w="3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(111,209</w:t>
            </w:r>
          </w:p>
        </w:tc>
        <w:tc>
          <w:tcPr>
            <w:tcW w:w="320" w:type="dxa"/>
            <w:vAlign w:val="bottom"/>
            <w:shd w:val="clear" w:color="auto" w:fill="CCECFF"/>
          </w:tcPr>
          <w:p>
            <w:pPr>
              <w:jc w:val="right"/>
              <w:ind w:right="188"/>
              <w:spacing w:after="0"/>
              <w:rPr>
                <w:sz w:val="20"/>
                <w:szCs w:val="20"/>
                <w:color w:val="auto"/>
              </w:rPr>
            </w:pPr>
            <w:r>
              <w:rPr>
                <w:rFonts w:ascii="Arial" w:cs="Arial" w:eastAsia="Arial" w:hAnsi="Arial"/>
                <w:sz w:val="14"/>
                <w:szCs w:val="14"/>
                <w:b w:val="1"/>
                <w:bCs w:val="1"/>
                <w:color w:val="auto"/>
                <w:w w:val="84"/>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(3,543,347</w:t>
            </w:r>
          </w:p>
        </w:tc>
        <w:tc>
          <w:tcPr>
            <w:tcW w:w="360" w:type="dxa"/>
            <w:vAlign w:val="bottom"/>
            <w:shd w:val="clear" w:color="auto" w:fill="CCECFF"/>
          </w:tcPr>
          <w:p>
            <w:pPr>
              <w:jc w:val="right"/>
              <w:ind w:right="2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w:t>
            </w:r>
          </w:p>
        </w:tc>
        <w:tc>
          <w:tcPr>
            <w:tcW w:w="360" w:type="dxa"/>
            <w:vAlign w:val="bottom"/>
            <w:shd w:val="clear" w:color="auto" w:fill="CCECFF"/>
          </w:tcPr>
          <w:p>
            <w:pPr>
              <w:jc w:val="right"/>
              <w:ind w:right="228"/>
              <w:spacing w:after="0"/>
              <w:rPr>
                <w:sz w:val="20"/>
                <w:szCs w:val="20"/>
                <w:color w:val="auto"/>
              </w:rPr>
            </w:pPr>
            <w:r>
              <w:rPr>
                <w:rFonts w:ascii="Arial" w:cs="Arial" w:eastAsia="Arial" w:hAnsi="Arial"/>
                <w:sz w:val="14"/>
                <w:szCs w:val="14"/>
                <w:b w:val="1"/>
                <w:bCs w:val="1"/>
                <w:color w:val="auto"/>
                <w:w w:val="84"/>
              </w:rPr>
              <w:t>)</w:t>
            </w:r>
          </w:p>
        </w:tc>
        <w:tc>
          <w:tcPr>
            <w:tcW w:w="300" w:type="dxa"/>
            <w:vAlign w:val="bottom"/>
            <w:tcBorders>
              <w:top w:val="single" w:sz="8" w:color="auto"/>
            </w:tcBorders>
            <w:shd w:val="clear" w:color="auto" w:fill="CCECFF"/>
          </w:tcPr>
          <w:p>
            <w:pPr>
              <w:jc w:val="right"/>
              <w:ind w:right="131"/>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342,892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80" w:type="dxa"/>
            <w:vAlign w:val="bottom"/>
          </w:tcPr>
          <w:p>
            <w:pPr>
              <w:ind w:left="120"/>
              <w:spacing w:after="0" w:line="143" w:lineRule="exact"/>
              <w:rPr>
                <w:sz w:val="20"/>
                <w:szCs w:val="20"/>
                <w:color w:val="auto"/>
              </w:rPr>
            </w:pPr>
            <w:r>
              <w:rPr>
                <w:rFonts w:ascii="Arial" w:cs="Arial" w:eastAsia="Arial" w:hAnsi="Arial"/>
                <w:sz w:val="14"/>
                <w:szCs w:val="14"/>
                <w:color w:val="auto"/>
                <w:w w:val="94"/>
              </w:rPr>
              <w:t>Issuance of common shares, net of offering</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tcPr>
          <w:p>
            <w:pPr>
              <w:ind w:left="120"/>
              <w:spacing w:after="0"/>
              <w:rPr>
                <w:sz w:val="20"/>
                <w:szCs w:val="20"/>
                <w:color w:val="auto"/>
              </w:rPr>
            </w:pPr>
            <w:r>
              <w:rPr>
                <w:rFonts w:ascii="Arial" w:cs="Arial" w:eastAsia="Arial" w:hAnsi="Arial"/>
                <w:sz w:val="14"/>
                <w:szCs w:val="14"/>
                <w:color w:val="auto"/>
              </w:rPr>
              <w:t>costs - At-the-market offering</w:t>
            </w:r>
          </w:p>
        </w:tc>
        <w:tc>
          <w:tcPr>
            <w:tcW w:w="880" w:type="dxa"/>
            <w:vAlign w:val="bottom"/>
          </w:tcPr>
          <w:p>
            <w:pPr>
              <w:jc w:val="right"/>
              <w:spacing w:after="0"/>
              <w:rPr>
                <w:sz w:val="20"/>
                <w:szCs w:val="20"/>
                <w:color w:val="auto"/>
              </w:rPr>
            </w:pPr>
            <w:r>
              <w:rPr>
                <w:rFonts w:ascii="Arial" w:cs="Arial" w:eastAsia="Arial" w:hAnsi="Arial"/>
                <w:sz w:val="14"/>
                <w:szCs w:val="14"/>
                <w:color w:val="auto"/>
              </w:rPr>
              <w:t>978,207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2,744</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80" w:type="dxa"/>
            <w:vAlign w:val="bottom"/>
            <w:shd w:val="clear" w:color="auto" w:fill="CCECFF"/>
          </w:tcPr>
          <w:p>
            <w:pPr>
              <w:ind w:left="120"/>
              <w:spacing w:after="0" w:line="143" w:lineRule="exact"/>
              <w:rPr>
                <w:sz w:val="20"/>
                <w:szCs w:val="20"/>
                <w:color w:val="auto"/>
              </w:rPr>
            </w:pPr>
            <w:r>
              <w:rPr>
                <w:rFonts w:ascii="Arial" w:cs="Arial" w:eastAsia="Arial" w:hAnsi="Arial"/>
                <w:sz w:val="14"/>
                <w:szCs w:val="14"/>
                <w:color w:val="auto"/>
              </w:rPr>
              <w:t>Delivery of common stock underlying</w:t>
            </w:r>
          </w:p>
        </w:tc>
        <w:tc>
          <w:tcPr>
            <w:tcW w:w="8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120"/>
              <w:spacing w:after="0" w:line="149" w:lineRule="exact"/>
              <w:rPr>
                <w:sz w:val="20"/>
                <w:szCs w:val="20"/>
                <w:color w:val="auto"/>
              </w:rPr>
            </w:pPr>
            <w:r>
              <w:rPr>
                <w:rFonts w:ascii="Arial" w:cs="Arial" w:eastAsia="Arial" w:hAnsi="Arial"/>
                <w:sz w:val="14"/>
                <w:szCs w:val="14"/>
                <w:color w:val="auto"/>
                <w:w w:val="97"/>
              </w:rPr>
              <w:t>restricted stock units, net of shares settled</w:t>
            </w:r>
          </w:p>
        </w:tc>
        <w:tc>
          <w:tcPr>
            <w:tcW w:w="8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for tax withholding settlement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2,473,756</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(1,115 )</w:t>
            </w:r>
          </w:p>
        </w:tc>
        <w:tc>
          <w:tcPr>
            <w:tcW w:w="160" w:type="dxa"/>
            <w:vAlign w:val="bottom"/>
            <w:shd w:val="clear" w:color="auto" w:fill="CCECFF"/>
          </w:tcPr>
          <w:p>
            <w:pPr>
              <w:spacing w:after="0"/>
              <w:rPr>
                <w:sz w:val="15"/>
                <w:szCs w:val="15"/>
                <w:color w:val="auto"/>
              </w:rPr>
            </w:pPr>
          </w:p>
        </w:tc>
        <w:tc>
          <w:tcPr>
            <w:tcW w:w="680" w:type="dxa"/>
            <w:vAlign w:val="bottom"/>
            <w:vMerge w:val="continue"/>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279"/>
              <w:spacing w:after="0"/>
              <w:rPr>
                <w:sz w:val="20"/>
                <w:szCs w:val="20"/>
                <w:color w:val="auto"/>
              </w:rPr>
            </w:pPr>
            <w:r>
              <w:rPr>
                <w:rFonts w:ascii="Arial" w:cs="Arial" w:eastAsia="Arial" w:hAnsi="Arial"/>
                <w:sz w:val="14"/>
                <w:szCs w:val="14"/>
                <w:color w:val="auto"/>
              </w:rPr>
              <w:t>(838,388 )</w:t>
            </w: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(1,113 )</w:t>
            </w:r>
          </w:p>
        </w:tc>
        <w:tc>
          <w:tcPr>
            <w:tcW w:w="0" w:type="dxa"/>
            <w:vAlign w:val="bottom"/>
          </w:tcPr>
          <w:p>
            <w:pPr>
              <w:spacing w:after="0"/>
              <w:rPr>
                <w:sz w:val="1"/>
                <w:szCs w:val="1"/>
                <w:color w:val="auto"/>
              </w:rPr>
            </w:pPr>
          </w:p>
        </w:tc>
      </w:tr>
      <w:tr>
        <w:trPr>
          <w:trHeight w:val="176"/>
        </w:trPr>
        <w:tc>
          <w:tcPr>
            <w:tcW w:w="26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248,358</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17,988</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(19,302 )</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(19,302 )</w:t>
            </w:r>
          </w:p>
        </w:tc>
        <w:tc>
          <w:tcPr>
            <w:tcW w:w="0" w:type="dxa"/>
            <w:vAlign w:val="bottom"/>
          </w:tcPr>
          <w:p>
            <w:pPr>
              <w:spacing w:after="0"/>
              <w:rPr>
                <w:sz w:val="1"/>
                <w:szCs w:val="1"/>
                <w:color w:val="auto"/>
              </w:rPr>
            </w:pPr>
          </w:p>
        </w:tc>
      </w:tr>
      <w:tr>
        <w:trPr>
          <w:trHeight w:val="20"/>
        </w:trPr>
        <w:tc>
          <w:tcPr>
            <w:tcW w:w="2680" w:type="dxa"/>
            <w:vAlign w:val="bottom"/>
            <w:shd w:val="clear" w:color="auto" w:fill="CCEC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as of June 30, 2023</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254,795,626</w:t>
            </w:r>
          </w:p>
        </w:tc>
        <w:tc>
          <w:tcPr>
            <w:tcW w:w="36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254</w:t>
            </w:r>
          </w:p>
        </w:tc>
        <w:tc>
          <w:tcPr>
            <w:tcW w:w="3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473,471</w:t>
            </w:r>
          </w:p>
        </w:tc>
        <w:tc>
          <w:tcPr>
            <w:tcW w:w="360" w:type="dxa"/>
            <w:vAlign w:val="bottom"/>
          </w:tcPr>
          <w:p>
            <w:pPr>
              <w:spacing w:after="0"/>
              <w:rPr>
                <w:sz w:val="14"/>
                <w:szCs w:val="14"/>
                <w:color w:val="auto"/>
              </w:rPr>
            </w:pPr>
          </w:p>
        </w:tc>
        <w:tc>
          <w:tcPr>
            <w:tcW w:w="160" w:type="dxa"/>
            <w:vAlign w:val="bottom"/>
          </w:tcPr>
          <w:p>
            <w:pPr>
              <w:jc w:val="right"/>
              <w:ind w:right="11"/>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(130,511 )</w:t>
            </w:r>
          </w:p>
        </w:tc>
        <w:tc>
          <w:tcPr>
            <w:tcW w:w="1220" w:type="dxa"/>
            <w:vAlign w:val="bottom"/>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(4,381,735 )</w:t>
            </w: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(4 )</w:t>
            </w:r>
          </w:p>
        </w:tc>
        <w:tc>
          <w:tcPr>
            <w:tcW w:w="30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343,210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-145415</wp:posOffset>
            </wp:positionV>
            <wp:extent cx="7683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-145415</wp:posOffset>
            </wp:positionV>
            <wp:extent cx="7683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-145415</wp:posOffset>
            </wp:positionV>
            <wp:extent cx="7747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-145415</wp:posOffset>
            </wp:positionV>
            <wp:extent cx="8572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-145415</wp:posOffset>
            </wp:positionV>
            <wp:extent cx="7683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-145415</wp:posOffset>
            </wp:positionV>
            <wp:extent cx="8572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Additional</w:t>
            </w:r>
          </w:p>
        </w:tc>
        <w:tc>
          <w:tcPr>
            <w:tcW w:w="1160" w:type="dxa"/>
            <w:vAlign w:val="bottom"/>
            <w:gridSpan w:val="3"/>
          </w:tcPr>
          <w:p>
            <w:pPr>
              <w:jc w:val="right"/>
              <w:ind w:right="308"/>
              <w:spacing w:after="0"/>
              <w:rPr>
                <w:sz w:val="20"/>
                <w:szCs w:val="20"/>
                <w:color w:val="auto"/>
              </w:rPr>
            </w:pPr>
            <w:r>
              <w:rPr>
                <w:rFonts w:ascii="Arial" w:cs="Arial" w:eastAsia="Arial" w:hAnsi="Arial"/>
                <w:sz w:val="13"/>
                <w:szCs w:val="13"/>
                <w:b w:val="1"/>
                <w:bCs w:val="1"/>
                <w:color w:val="auto"/>
                <w:w w:val="93"/>
              </w:rPr>
              <w:t>Accumulated</w:t>
            </w:r>
          </w:p>
        </w:tc>
        <w:tc>
          <w:tcPr>
            <w:tcW w:w="2380" w:type="dxa"/>
            <w:vAlign w:val="bottom"/>
            <w:gridSpan w:val="5"/>
          </w:tcPr>
          <w:p>
            <w:pPr>
              <w:jc w:val="right"/>
              <w:ind w:right="888"/>
              <w:spacing w:after="0"/>
              <w:rPr>
                <w:sz w:val="20"/>
                <w:szCs w:val="20"/>
                <w:color w:val="auto"/>
              </w:rPr>
            </w:pPr>
            <w:r>
              <w:rPr>
                <w:rFonts w:ascii="Arial" w:cs="Arial" w:eastAsia="Arial" w:hAnsi="Arial"/>
                <w:sz w:val="13"/>
                <w:szCs w:val="13"/>
                <w:b w:val="1"/>
                <w:bCs w:val="1"/>
                <w:color w:val="auto"/>
              </w:rPr>
              <w:t>Treasury Stock</w:t>
            </w:r>
          </w:p>
        </w:tc>
        <w:tc>
          <w:tcPr>
            <w:tcW w:w="3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r>
      <w:tr>
        <w:trPr>
          <w:trHeight w:val="156"/>
        </w:trPr>
        <w:tc>
          <w:tcPr>
            <w:tcW w:w="268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60" w:type="dxa"/>
            <w:vAlign w:val="bottom"/>
          </w:tcPr>
          <w:p>
            <w:pPr>
              <w:spacing w:after="0"/>
              <w:rPr>
                <w:sz w:val="13"/>
                <w:szCs w:val="13"/>
                <w:color w:val="auto"/>
              </w:rPr>
            </w:pPr>
          </w:p>
        </w:tc>
        <w:tc>
          <w:tcPr>
            <w:tcW w:w="1000" w:type="dxa"/>
            <w:vAlign w:val="bottom"/>
            <w:gridSpan w:val="2"/>
          </w:tcPr>
          <w:p>
            <w:pPr>
              <w:jc w:val="right"/>
              <w:ind w:right="488"/>
              <w:spacing w:after="0"/>
              <w:rPr>
                <w:sz w:val="20"/>
                <w:szCs w:val="20"/>
                <w:color w:val="auto"/>
              </w:rPr>
            </w:pPr>
            <w:r>
              <w:rPr>
                <w:rFonts w:ascii="Arial" w:cs="Arial" w:eastAsia="Arial" w:hAnsi="Arial"/>
                <w:sz w:val="13"/>
                <w:szCs w:val="13"/>
                <w:b w:val="1"/>
                <w:bCs w:val="1"/>
                <w:color w:val="auto"/>
              </w:rPr>
              <w:t>Deficit</w:t>
            </w:r>
          </w:p>
        </w:tc>
        <w:tc>
          <w:tcPr>
            <w:tcW w:w="1220" w:type="dxa"/>
            <w:vAlign w:val="bottom"/>
            <w:tcBorders>
              <w:top w:val="single" w:sz="8" w:color="auto"/>
            </w:tcBorders>
            <w:gridSpan w:val="2"/>
          </w:tcPr>
          <w:p>
            <w:pPr>
              <w:jc w:val="right"/>
              <w:ind w:right="57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3"/>
                <w:szCs w:val="13"/>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1"/>
              </w:rPr>
              <w:t>Stockholders’ Equity</w:t>
            </w:r>
          </w:p>
        </w:tc>
      </w:tr>
      <w:tr>
        <w:trPr>
          <w:trHeight w:val="169"/>
        </w:trPr>
        <w:tc>
          <w:tcPr>
            <w:tcW w:w="26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Balance as of January 1, 2022</w:t>
            </w: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252,131,679</w:t>
            </w:r>
          </w:p>
        </w:tc>
        <w:tc>
          <w:tcPr>
            <w:tcW w:w="3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252</w:t>
            </w:r>
          </w:p>
        </w:tc>
        <w:tc>
          <w:tcPr>
            <w:tcW w:w="3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425,438</w:t>
            </w:r>
          </w:p>
        </w:tc>
        <w:tc>
          <w:tcPr>
            <w:tcW w:w="3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(72,156</w:t>
            </w:r>
          </w:p>
        </w:tc>
        <w:tc>
          <w:tcPr>
            <w:tcW w:w="320" w:type="dxa"/>
            <w:vAlign w:val="bottom"/>
            <w:shd w:val="clear" w:color="auto" w:fill="CCECFF"/>
          </w:tcPr>
          <w:p>
            <w:pPr>
              <w:jc w:val="right"/>
              <w:ind w:right="188"/>
              <w:spacing w:after="0"/>
              <w:rPr>
                <w:sz w:val="20"/>
                <w:szCs w:val="20"/>
                <w:color w:val="auto"/>
              </w:rPr>
            </w:pPr>
            <w:r>
              <w:rPr>
                <w:rFonts w:ascii="Arial" w:cs="Arial" w:eastAsia="Arial" w:hAnsi="Arial"/>
                <w:sz w:val="14"/>
                <w:szCs w:val="14"/>
                <w:b w:val="1"/>
                <w:bCs w:val="1"/>
                <w:color w:val="auto"/>
                <w:w w:val="84"/>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(2,852,259</w:t>
            </w:r>
          </w:p>
        </w:tc>
        <w:tc>
          <w:tcPr>
            <w:tcW w:w="360" w:type="dxa"/>
            <w:vAlign w:val="bottom"/>
            <w:shd w:val="clear" w:color="auto" w:fill="CCECFF"/>
          </w:tcPr>
          <w:p>
            <w:pPr>
              <w:jc w:val="right"/>
              <w:ind w:right="2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(3</w:t>
            </w:r>
          </w:p>
        </w:tc>
        <w:tc>
          <w:tcPr>
            <w:tcW w:w="360" w:type="dxa"/>
            <w:vAlign w:val="bottom"/>
            <w:shd w:val="clear" w:color="auto" w:fill="CCECFF"/>
          </w:tcPr>
          <w:p>
            <w:pPr>
              <w:jc w:val="right"/>
              <w:ind w:right="228"/>
              <w:spacing w:after="0"/>
              <w:rPr>
                <w:sz w:val="20"/>
                <w:szCs w:val="20"/>
                <w:color w:val="auto"/>
              </w:rPr>
            </w:pPr>
            <w:r>
              <w:rPr>
                <w:rFonts w:ascii="Arial" w:cs="Arial" w:eastAsia="Arial" w:hAnsi="Arial"/>
                <w:sz w:val="14"/>
                <w:szCs w:val="14"/>
                <w:b w:val="1"/>
                <w:bCs w:val="1"/>
                <w:color w:val="auto"/>
                <w:w w:val="84"/>
              </w:rPr>
              <w:t>)</w:t>
            </w:r>
          </w:p>
        </w:tc>
        <w:tc>
          <w:tcPr>
            <w:tcW w:w="300" w:type="dxa"/>
            <w:vAlign w:val="bottom"/>
            <w:tcBorders>
              <w:top w:val="single" w:sz="8" w:color="auto"/>
            </w:tcBorders>
            <w:shd w:val="clear" w:color="auto" w:fill="CCECFF"/>
          </w:tcPr>
          <w:p>
            <w:pPr>
              <w:jc w:val="right"/>
              <w:ind w:right="131"/>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b w:val="1"/>
                <w:bCs w:val="1"/>
                <w:color w:val="auto"/>
              </w:rPr>
              <w:t>353,531</w:t>
            </w:r>
          </w:p>
        </w:tc>
        <w:tc>
          <w:tcPr>
            <w:tcW w:w="140" w:type="dxa"/>
            <w:vAlign w:val="bottom"/>
            <w:shd w:val="clear" w:color="auto" w:fill="CCECFF"/>
          </w:tcPr>
          <w:p>
            <w:pPr>
              <w:spacing w:after="0"/>
              <w:rPr>
                <w:sz w:val="14"/>
                <w:szCs w:val="14"/>
                <w:color w:val="auto"/>
              </w:rPr>
            </w:pPr>
          </w:p>
        </w:tc>
      </w:tr>
      <w:tr>
        <w:trPr>
          <w:trHeight w:val="143"/>
        </w:trPr>
        <w:tc>
          <w:tcPr>
            <w:tcW w:w="2680" w:type="dxa"/>
            <w:vAlign w:val="bottom"/>
          </w:tcPr>
          <w:p>
            <w:pPr>
              <w:ind w:left="120"/>
              <w:spacing w:after="0" w:line="143" w:lineRule="exact"/>
              <w:rPr>
                <w:sz w:val="20"/>
                <w:szCs w:val="20"/>
                <w:color w:val="auto"/>
              </w:rPr>
            </w:pPr>
            <w:r>
              <w:rPr>
                <w:rFonts w:ascii="Arial" w:cs="Arial" w:eastAsia="Arial" w:hAnsi="Arial"/>
                <w:sz w:val="14"/>
                <w:szCs w:val="14"/>
                <w:color w:val="auto"/>
              </w:rPr>
              <w:t>Delivery of common stock underlying</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2680" w:type="dxa"/>
            <w:vAlign w:val="bottom"/>
          </w:tcPr>
          <w:p>
            <w:pPr>
              <w:ind w:left="120"/>
              <w:spacing w:after="0" w:line="149" w:lineRule="exact"/>
              <w:rPr>
                <w:sz w:val="20"/>
                <w:szCs w:val="20"/>
                <w:color w:val="auto"/>
              </w:rPr>
            </w:pPr>
            <w:r>
              <w:rPr>
                <w:rFonts w:ascii="Arial" w:cs="Arial" w:eastAsia="Arial" w:hAnsi="Arial"/>
                <w:sz w:val="14"/>
                <w:szCs w:val="14"/>
                <w:color w:val="auto"/>
                <w:w w:val="97"/>
              </w:rPr>
              <w:t>restricted stock units, net of shares settled</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2680" w:type="dxa"/>
            <w:vAlign w:val="bottom"/>
          </w:tcPr>
          <w:p>
            <w:pPr>
              <w:ind w:left="120"/>
              <w:spacing w:after="0"/>
              <w:rPr>
                <w:sz w:val="20"/>
                <w:szCs w:val="20"/>
                <w:color w:val="auto"/>
              </w:rPr>
            </w:pPr>
            <w:r>
              <w:rPr>
                <w:rFonts w:ascii="Arial" w:cs="Arial" w:eastAsia="Arial" w:hAnsi="Arial"/>
                <w:sz w:val="14"/>
                <w:szCs w:val="14"/>
                <w:color w:val="auto"/>
              </w:rPr>
              <w:t>for tax withholding settlement</w:t>
            </w:r>
          </w:p>
        </w:tc>
        <w:tc>
          <w:tcPr>
            <w:tcW w:w="880" w:type="dxa"/>
            <w:vAlign w:val="bottom"/>
          </w:tcPr>
          <w:p>
            <w:pPr>
              <w:jc w:val="right"/>
              <w:spacing w:after="0"/>
              <w:rPr>
                <w:sz w:val="20"/>
                <w:szCs w:val="20"/>
                <w:color w:val="auto"/>
              </w:rPr>
            </w:pPr>
            <w:r>
              <w:rPr>
                <w:rFonts w:ascii="Arial" w:cs="Arial" w:eastAsia="Arial" w:hAnsi="Arial"/>
                <w:sz w:val="14"/>
                <w:szCs w:val="14"/>
                <w:color w:val="auto"/>
              </w:rPr>
              <w:t>1,759,546</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(3,053 )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20" w:type="dxa"/>
            <w:vAlign w:val="bottom"/>
            <w:gridSpan w:val="2"/>
          </w:tcPr>
          <w:p>
            <w:pPr>
              <w:jc w:val="right"/>
              <w:ind w:right="279"/>
              <w:spacing w:after="0"/>
              <w:rPr>
                <w:sz w:val="20"/>
                <w:szCs w:val="20"/>
                <w:color w:val="auto"/>
              </w:rPr>
            </w:pPr>
            <w:r>
              <w:rPr>
                <w:rFonts w:ascii="Arial" w:cs="Arial" w:eastAsia="Arial" w:hAnsi="Arial"/>
                <w:sz w:val="14"/>
                <w:szCs w:val="14"/>
                <w:color w:val="auto"/>
              </w:rPr>
              <w:t>(659,231 )</w:t>
            </w:r>
          </w:p>
        </w:tc>
        <w:tc>
          <w:tcPr>
            <w:tcW w:w="1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(1 )</w:t>
            </w:r>
          </w:p>
        </w:tc>
        <w:tc>
          <w:tcPr>
            <w:tcW w:w="3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(3,052 )</w:t>
            </w:r>
          </w:p>
        </w:tc>
      </w:tr>
      <w:tr>
        <w:trPr>
          <w:trHeight w:val="175"/>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Common stock cancelled</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5"/>
                <w:szCs w:val="15"/>
                <w:color w:val="auto"/>
              </w:rPr>
            </w:pPr>
          </w:p>
        </w:tc>
      </w:tr>
      <w:tr>
        <w:trPr>
          <w:trHeight w:val="176"/>
        </w:trPr>
        <w:tc>
          <w:tcPr>
            <w:tcW w:w="2680" w:type="dxa"/>
            <w:vAlign w:val="bottom"/>
          </w:tcPr>
          <w:p>
            <w:pPr>
              <w:ind w:left="120"/>
              <w:spacing w:after="0"/>
              <w:rPr>
                <w:sz w:val="20"/>
                <w:szCs w:val="20"/>
                <w:color w:val="auto"/>
              </w:rPr>
            </w:pPr>
            <w:r>
              <w:rPr>
                <w:rFonts w:ascii="Arial" w:cs="Arial" w:eastAsia="Arial" w:hAnsi="Arial"/>
                <w:sz w:val="14"/>
                <w:szCs w:val="14"/>
                <w:color w:val="auto"/>
              </w:rPr>
              <w:t>Warrants exercised</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(2,890,173 )</w:t>
            </w:r>
          </w:p>
        </w:tc>
        <w:tc>
          <w:tcPr>
            <w:tcW w:w="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(9,997 )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(10,000 )</w:t>
            </w:r>
          </w:p>
        </w:tc>
      </w:tr>
      <w:tr>
        <w:trPr>
          <w:trHeight w:val="175"/>
        </w:trPr>
        <w:tc>
          <w:tcPr>
            <w:tcW w:w="2680" w:type="dxa"/>
            <w:vAlign w:val="bottom"/>
            <w:shd w:val="clear" w:color="auto" w:fill="CCECFF"/>
          </w:tcPr>
          <w:p>
            <w:pPr>
              <w:ind w:left="120"/>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19,578</w:t>
            </w:r>
          </w:p>
        </w:tc>
        <w:tc>
          <w:tcPr>
            <w:tcW w:w="3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19,578</w:t>
            </w:r>
          </w:p>
        </w:tc>
        <w:tc>
          <w:tcPr>
            <w:tcW w:w="140" w:type="dxa"/>
            <w:vAlign w:val="bottom"/>
            <w:shd w:val="clear" w:color="auto" w:fill="CCECFF"/>
          </w:tcPr>
          <w:p>
            <w:pPr>
              <w:spacing w:after="0"/>
              <w:rPr>
                <w:sz w:val="15"/>
                <w:szCs w:val="15"/>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4"/>
                <w:szCs w:val="14"/>
                <w:color w:val="auto"/>
              </w:rPr>
              <w:t>(46,718 )</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(46,718 )</w:t>
            </w:r>
          </w:p>
        </w:tc>
      </w:tr>
      <w:tr>
        <w:trPr>
          <w:trHeight w:val="209"/>
        </w:trPr>
        <w:tc>
          <w:tcPr>
            <w:tcW w:w="26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Balance as of June 30, 2022</w:t>
            </w: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251,001,072</w:t>
            </w:r>
          </w:p>
        </w:tc>
        <w:tc>
          <w:tcPr>
            <w:tcW w:w="3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251</w:t>
            </w:r>
          </w:p>
        </w:tc>
        <w:tc>
          <w:tcPr>
            <w:tcW w:w="36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431,966</w:t>
            </w:r>
          </w:p>
        </w:tc>
        <w:tc>
          <w:tcPr>
            <w:tcW w:w="3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ind w:right="11"/>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(118,874</w:t>
            </w:r>
          </w:p>
        </w:tc>
        <w:tc>
          <w:tcPr>
            <w:tcW w:w="320" w:type="dxa"/>
            <w:vAlign w:val="bottom"/>
            <w:tcBorders>
              <w:bottom w:val="single" w:sz="8" w:color="CCECFF"/>
            </w:tcBorders>
            <w:shd w:val="clear" w:color="auto" w:fill="CCECFF"/>
          </w:tcPr>
          <w:p>
            <w:pPr>
              <w:jc w:val="right"/>
              <w:ind w:right="188"/>
              <w:spacing w:after="0" w:line="155" w:lineRule="exact"/>
              <w:rPr>
                <w:sz w:val="20"/>
                <w:szCs w:val="20"/>
                <w:color w:val="auto"/>
              </w:rPr>
            </w:pPr>
            <w:r>
              <w:rPr>
                <w:rFonts w:ascii="Arial" w:cs="Arial" w:eastAsia="Arial" w:hAnsi="Arial"/>
                <w:sz w:val="14"/>
                <w:szCs w:val="14"/>
                <w:b w:val="1"/>
                <w:bCs w:val="1"/>
                <w:color w:val="auto"/>
                <w:w w:val="84"/>
              </w:rPr>
              <w:t>)</w:t>
            </w: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(3,511,490</w:t>
            </w:r>
          </w:p>
        </w:tc>
        <w:tc>
          <w:tcPr>
            <w:tcW w:w="360" w:type="dxa"/>
            <w:vAlign w:val="bottom"/>
            <w:tcBorders>
              <w:bottom w:val="single" w:sz="8" w:color="CCECFF"/>
            </w:tcBorders>
            <w:shd w:val="clear" w:color="auto" w:fill="CCECFF"/>
          </w:tcPr>
          <w:p>
            <w:pPr>
              <w:jc w:val="right"/>
              <w:ind w:right="27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(4</w:t>
            </w:r>
          </w:p>
        </w:tc>
        <w:tc>
          <w:tcPr>
            <w:tcW w:w="360" w:type="dxa"/>
            <w:vAlign w:val="bottom"/>
            <w:tcBorders>
              <w:bottom w:val="single" w:sz="8" w:color="CCECFF"/>
            </w:tcBorders>
            <w:shd w:val="clear" w:color="auto" w:fill="CCECFF"/>
          </w:tcPr>
          <w:p>
            <w:pPr>
              <w:jc w:val="right"/>
              <w:ind w:right="228"/>
              <w:spacing w:after="0" w:line="155" w:lineRule="exact"/>
              <w:rPr>
                <w:sz w:val="20"/>
                <w:szCs w:val="20"/>
                <w:color w:val="auto"/>
              </w:rPr>
            </w:pPr>
            <w:r>
              <w:rPr>
                <w:rFonts w:ascii="Arial" w:cs="Arial" w:eastAsia="Arial" w:hAnsi="Arial"/>
                <w:sz w:val="14"/>
                <w:szCs w:val="14"/>
                <w:b w:val="1"/>
                <w:bCs w:val="1"/>
                <w:color w:val="auto"/>
                <w:w w:val="84"/>
              </w:rPr>
              <w:t>)</w:t>
            </w:r>
          </w:p>
        </w:tc>
        <w:tc>
          <w:tcPr>
            <w:tcW w:w="300" w:type="dxa"/>
            <w:vAlign w:val="bottom"/>
            <w:tcBorders>
              <w:top w:val="single" w:sz="8" w:color="auto"/>
              <w:bottom w:val="single" w:sz="8" w:color="auto"/>
            </w:tcBorders>
            <w:shd w:val="clear" w:color="auto" w:fill="CCECFF"/>
          </w:tcPr>
          <w:p>
            <w:pPr>
              <w:jc w:val="right"/>
              <w:ind w:right="131"/>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313,339</w:t>
            </w:r>
          </w:p>
        </w:tc>
        <w:tc>
          <w:tcPr>
            <w:tcW w:w="14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31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300" w:type="dxa"/>
            <w:vAlign w:val="bottom"/>
          </w:tcPr>
          <w:p>
            <w:pPr>
              <w:spacing w:after="0"/>
              <w:rPr>
                <w:sz w:val="19"/>
                <w:szCs w:val="19"/>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20"/>
        </w:trPr>
        <w:tc>
          <w:tcPr>
            <w:tcW w:w="7300" w:type="dxa"/>
            <w:vAlign w:val="bottom"/>
          </w:tcPr>
          <w:p>
            <w:pPr>
              <w:ind w:left="6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(19,302 )</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(46,718 )</w:t>
            </w:r>
          </w:p>
        </w:tc>
      </w:tr>
      <w:tr>
        <w:trPr>
          <w:trHeight w:val="239"/>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26,067</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Amortization of operating right-of-use asset</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452</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347</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17,988</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19,578</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Equity in losses of equity investees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2,181</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12,232</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Impairment of bitcoin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4,633</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Non-cash lease expense</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878</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637</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Bitcoin received as payment for services</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(52,836 )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Change in fair value of derivative asset</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(8,550 )</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(111 )</w:t>
            </w: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Realized gain on sale of bitcoin</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(8,206 )</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Changes in assets and liabilities: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420"/>
              <w:spacing w:after="0"/>
              <w:rPr>
                <w:sz w:val="20"/>
                <w:szCs w:val="20"/>
                <w:color w:val="auto"/>
              </w:rPr>
            </w:pPr>
            <w:r>
              <w:rPr>
                <w:rFonts w:ascii="Arial" w:cs="Arial" w:eastAsia="Arial" w:hAnsi="Arial"/>
                <w:sz w:val="16"/>
                <w:szCs w:val="16"/>
                <w:color w:val="auto"/>
              </w:rPr>
              <w:t>Proceeds from sale of bitcoin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52,474</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42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(282 )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420"/>
              <w:spacing w:after="0"/>
              <w:rPr>
                <w:sz w:val="20"/>
                <w:szCs w:val="20"/>
                <w:color w:val="auto"/>
              </w:rPr>
            </w:pPr>
            <w:r>
              <w:rPr>
                <w:rFonts w:ascii="Arial" w:cs="Arial" w:eastAsia="Arial" w:hAnsi="Arial"/>
                <w:sz w:val="16"/>
                <w:szCs w:val="16"/>
                <w:color w:val="auto"/>
              </w:rPr>
              <w:t>Receivables, related party</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(512 )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(467 )</w:t>
            </w:r>
          </w:p>
        </w:tc>
      </w:tr>
      <w:tr>
        <w:trPr>
          <w:trHeight w:val="239"/>
        </w:trPr>
        <w:tc>
          <w:tcPr>
            <w:tcW w:w="7300" w:type="dxa"/>
            <w:vAlign w:val="bottom"/>
            <w:shd w:val="clear" w:color="auto" w:fill="CCECFF"/>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4,994</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4,134</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420"/>
              <w:spacing w:after="0"/>
              <w:rPr>
                <w:sz w:val="20"/>
                <w:szCs w:val="20"/>
                <w:color w:val="auto"/>
              </w:rPr>
            </w:pPr>
            <w:r>
              <w:rPr>
                <w:rFonts w:ascii="Arial" w:cs="Arial" w:eastAsia="Arial" w:hAnsi="Arial"/>
                <w:sz w:val="16"/>
                <w:szCs w:val="16"/>
                <w:color w:val="auto"/>
              </w:rPr>
              <w:t>Security deposits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(12 )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(1,065 )</w:t>
            </w:r>
          </w:p>
        </w:tc>
      </w:tr>
      <w:tr>
        <w:trPr>
          <w:trHeight w:val="239"/>
        </w:trPr>
        <w:tc>
          <w:tcPr>
            <w:tcW w:w="7300" w:type="dxa"/>
            <w:vAlign w:val="bottom"/>
            <w:shd w:val="clear" w:color="auto" w:fill="CCECFF"/>
          </w:tcPr>
          <w:p>
            <w:pPr>
              <w:ind w:left="42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(184 )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420"/>
              <w:spacing w:after="0"/>
              <w:rPr>
                <w:sz w:val="20"/>
                <w:szCs w:val="20"/>
                <w:color w:val="auto"/>
              </w:rPr>
            </w:pPr>
            <w:r>
              <w:rPr>
                <w:rFonts w:ascii="Arial" w:cs="Arial" w:eastAsia="Arial" w:hAnsi="Arial"/>
                <w:sz w:val="16"/>
                <w:szCs w:val="16"/>
                <w:color w:val="auto"/>
              </w:rPr>
              <w:t>Accounts payable, related party</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(1,529 )</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6,323</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1,209</w:t>
            </w:r>
          </w:p>
        </w:tc>
        <w:tc>
          <w:tcPr>
            <w:tcW w:w="140" w:type="dxa"/>
            <w:vAlign w:val="bottom"/>
            <w:shd w:val="clear" w:color="auto" w:fill="CCECFF"/>
          </w:tcPr>
          <w:p>
            <w:pPr>
              <w:spacing w:after="0"/>
              <w:rPr>
                <w:sz w:val="20"/>
                <w:szCs w:val="20"/>
                <w:color w:val="auto"/>
              </w:rPr>
            </w:pPr>
          </w:p>
        </w:tc>
      </w:tr>
      <w:tr>
        <w:trPr>
          <w:trHeight w:val="227"/>
        </w:trPr>
        <w:tc>
          <w:tcPr>
            <w:tcW w:w="7300" w:type="dxa"/>
            <w:vAlign w:val="bottom"/>
          </w:tcPr>
          <w:p>
            <w:pPr>
              <w:ind w:left="420"/>
              <w:spacing w:after="0"/>
              <w:rPr>
                <w:sz w:val="20"/>
                <w:szCs w:val="20"/>
                <w:color w:val="auto"/>
              </w:rPr>
            </w:pPr>
            <w:r>
              <w:rPr>
                <w:rFonts w:ascii="Arial" w:cs="Arial" w:eastAsia="Arial" w:hAnsi="Arial"/>
                <w:sz w:val="16"/>
                <w:szCs w:val="16"/>
                <w:color w:val="auto"/>
              </w:rPr>
              <w:t>Lease liabilities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(594 )</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08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24,679</w:t>
            </w:r>
          </w:p>
        </w:tc>
        <w:tc>
          <w:tcPr>
            <w:tcW w:w="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(9,932 )</w:t>
            </w:r>
          </w:p>
        </w:tc>
      </w:tr>
      <w:tr>
        <w:trPr>
          <w:trHeight w:val="216"/>
        </w:trPr>
        <w:tc>
          <w:tcPr>
            <w:tcW w:w="7300" w:type="dxa"/>
            <w:vAlign w:val="bottom"/>
            <w:tcBorders>
              <w:top w:val="single" w:sz="8" w:color="CCECFF"/>
            </w:tcBorders>
          </w:tcPr>
          <w:p>
            <w:pPr>
              <w:ind w:left="60"/>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CCEC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r>
      <w:tr>
        <w:trPr>
          <w:trHeight w:val="239"/>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Deposits on equipment</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(2,932 )</w:t>
            </w:r>
          </w:p>
        </w:tc>
        <w:tc>
          <w:tcPr>
            <w:tcW w:w="1060" w:type="dxa"/>
            <w:vAlign w:val="bottom"/>
            <w:shd w:val="clear" w:color="auto" w:fill="CCECFF"/>
          </w:tcPr>
          <w:p>
            <w:pPr>
              <w:spacing w:after="0"/>
              <w:rPr>
                <w:sz w:val="20"/>
                <w:szCs w:val="20"/>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w w:val="95"/>
              </w:rPr>
              <w:t>(156,811 )</w:t>
            </w:r>
          </w:p>
        </w:tc>
      </w:tr>
      <w:tr>
        <w:trPr>
          <w:trHeight w:val="220"/>
        </w:trPr>
        <w:tc>
          <w:tcPr>
            <w:tcW w:w="7300" w:type="dxa"/>
            <w:vAlign w:val="bottom"/>
          </w:tcPr>
          <w:p>
            <w:pPr>
              <w:ind w:left="60"/>
              <w:spacing w:after="0"/>
              <w:rPr>
                <w:sz w:val="20"/>
                <w:szCs w:val="20"/>
                <w:color w:val="auto"/>
              </w:rPr>
            </w:pPr>
            <w:r>
              <w:rPr>
                <w:rFonts w:ascii="Arial" w:cs="Arial" w:eastAsia="Arial" w:hAnsi="Arial"/>
                <w:sz w:val="16"/>
                <w:szCs w:val="16"/>
                <w:color w:val="auto"/>
              </w:rPr>
              <w:t>Purchases of property and equipment</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(28,541 )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(13,069 )</w:t>
            </w:r>
          </w:p>
        </w:tc>
      </w:tr>
      <w:tr>
        <w:trPr>
          <w:trHeight w:val="239"/>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Capital distributions from equity investees</w:t>
            </w:r>
          </w:p>
        </w:tc>
        <w:tc>
          <w:tcPr>
            <w:tcW w:w="10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3,807</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10,065</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60"/>
              <w:spacing w:after="0"/>
              <w:rPr>
                <w:sz w:val="20"/>
                <w:szCs w:val="20"/>
                <w:color w:val="auto"/>
              </w:rPr>
            </w:pPr>
            <w:r>
              <w:rPr>
                <w:rFonts w:ascii="Arial" w:cs="Arial" w:eastAsia="Arial" w:hAnsi="Arial"/>
                <w:sz w:val="16"/>
                <w:szCs w:val="16"/>
                <w:color w:val="auto"/>
              </w:rPr>
              <w:t>Investment in equity investees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(3,095 )</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6"/>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Prepayments on financing lease</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(3,676 )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0"/>
        </w:trPr>
        <w:tc>
          <w:tcPr>
            <w:tcW w:w="730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23"/>
        </w:trPr>
        <w:tc>
          <w:tcPr>
            <w:tcW w:w="7300" w:type="dxa"/>
            <w:vAlign w:val="bottom"/>
          </w:tcPr>
          <w:p>
            <w:pPr>
              <w:ind w:left="24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(34,437 )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(159,815 )</w:t>
            </w:r>
          </w:p>
        </w:tc>
      </w:tr>
      <w:tr>
        <w:trPr>
          <w:trHeight w:val="226"/>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060" w:type="dxa"/>
            <w:vAlign w:val="bottom"/>
            <w:tcBorders>
              <w:top w:val="single" w:sz="8" w:color="auto"/>
            </w:tcBorders>
            <w:shd w:val="clear" w:color="auto" w:fill="CCECFF"/>
          </w:tcPr>
          <w:p>
            <w:pPr>
              <w:spacing w:after="0"/>
              <w:rPr>
                <w:sz w:val="19"/>
                <w:szCs w:val="19"/>
                <w:color w:val="auto"/>
              </w:rPr>
            </w:pPr>
          </w:p>
        </w:tc>
        <w:tc>
          <w:tcPr>
            <w:tcW w:w="640" w:type="dxa"/>
            <w:vAlign w:val="bottom"/>
            <w:tcBorders>
              <w:top w:val="single" w:sz="8" w:color="auto"/>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20"/>
        </w:trPr>
        <w:tc>
          <w:tcPr>
            <w:tcW w:w="7300" w:type="dxa"/>
            <w:vAlign w:val="bottom"/>
          </w:tcPr>
          <w:p>
            <w:pPr>
              <w:ind w:left="60"/>
              <w:spacing w:after="0"/>
              <w:rPr>
                <w:sz w:val="20"/>
                <w:szCs w:val="20"/>
                <w:color w:val="auto"/>
              </w:rPr>
            </w:pPr>
            <w:r>
              <w:rPr>
                <w:rFonts w:ascii="Arial" w:cs="Arial" w:eastAsia="Arial" w:hAnsi="Arial"/>
                <w:sz w:val="16"/>
                <w:szCs w:val="16"/>
                <w:color w:val="auto"/>
              </w:rPr>
              <w:t>Proceeds from the issuance of common stock</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2,821</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Offering costs paid for the issuance of common stock</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(76 )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60"/>
              <w:spacing w:after="0"/>
              <w:rPr>
                <w:sz w:val="20"/>
                <w:szCs w:val="20"/>
                <w:color w:val="auto"/>
              </w:rPr>
            </w:pPr>
            <w:r>
              <w:rPr>
                <w:rFonts w:ascii="Arial" w:cs="Arial" w:eastAsia="Arial" w:hAnsi="Arial"/>
                <w:sz w:val="16"/>
                <w:szCs w:val="16"/>
                <w:color w:val="auto"/>
              </w:rPr>
              <w:t>Repurchase of common shares to pay employee withholding taxes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(1,114 )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(3,052 )</w:t>
            </w:r>
          </w:p>
        </w:tc>
      </w:tr>
      <w:tr>
        <w:trPr>
          <w:trHeight w:val="236"/>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Principal payments on financing lease</w:t>
            </w:r>
          </w:p>
        </w:tc>
        <w:tc>
          <w:tcPr>
            <w:tcW w:w="10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(2,059 )</w:t>
            </w: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0"/>
        </w:trPr>
        <w:tc>
          <w:tcPr>
            <w:tcW w:w="730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23"/>
        </w:trPr>
        <w:tc>
          <w:tcPr>
            <w:tcW w:w="7300" w:type="dxa"/>
            <w:vAlign w:val="bottom"/>
          </w:tcPr>
          <w:p>
            <w:pPr>
              <w:ind w:left="240"/>
              <w:spacing w:after="0"/>
              <w:rPr>
                <w:sz w:val="20"/>
                <w:szCs w:val="20"/>
                <w:color w:val="auto"/>
              </w:rPr>
            </w:pPr>
            <w:r>
              <w:rPr>
                <w:rFonts w:ascii="Arial" w:cs="Arial" w:eastAsia="Arial" w:hAnsi="Arial"/>
                <w:sz w:val="16"/>
                <w:szCs w:val="16"/>
                <w:color w:val="auto"/>
              </w:rPr>
              <w:t>Net cash used in financing activities</w:t>
            </w:r>
          </w:p>
        </w:tc>
        <w:tc>
          <w:tcPr>
            <w:tcW w:w="10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(428 )</w:t>
            </w:r>
          </w:p>
        </w:tc>
        <w:tc>
          <w:tcPr>
            <w:tcW w:w="10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(3,052 )</w:t>
            </w:r>
          </w:p>
        </w:tc>
      </w:tr>
      <w:tr>
        <w:trPr>
          <w:trHeight w:val="20"/>
        </w:trPr>
        <w:tc>
          <w:tcPr>
            <w:tcW w:w="7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7300" w:type="dxa"/>
            <w:vAlign w:val="bottom"/>
            <w:shd w:val="clear" w:color="auto" w:fill="CCECFF"/>
          </w:tcPr>
          <w:p>
            <w:pPr>
              <w:ind w:left="60"/>
              <w:spacing w:after="0"/>
              <w:rPr>
                <w:sz w:val="20"/>
                <w:szCs w:val="20"/>
                <w:color w:val="auto"/>
              </w:rPr>
            </w:pPr>
            <w:r>
              <w:rPr>
                <w:rFonts w:ascii="Arial" w:cs="Arial" w:eastAsia="Arial" w:hAnsi="Arial"/>
                <w:sz w:val="16"/>
                <w:szCs w:val="16"/>
                <w:color w:val="auto"/>
              </w:rPr>
              <w:t>Net decrease in cash and cash equivalents</w:t>
            </w:r>
          </w:p>
        </w:tc>
        <w:tc>
          <w:tcPr>
            <w:tcW w:w="10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340"/>
              <w:spacing w:after="0"/>
              <w:rPr>
                <w:sz w:val="20"/>
                <w:szCs w:val="20"/>
                <w:color w:val="auto"/>
              </w:rPr>
            </w:pPr>
            <w:r>
              <w:rPr>
                <w:rFonts w:ascii="Arial" w:cs="Arial" w:eastAsia="Arial" w:hAnsi="Arial"/>
                <w:sz w:val="16"/>
                <w:szCs w:val="16"/>
                <w:color w:val="auto"/>
              </w:rPr>
              <w:t>(10,186 )</w:t>
            </w:r>
          </w:p>
        </w:tc>
        <w:tc>
          <w:tcPr>
            <w:tcW w:w="1060" w:type="dxa"/>
            <w:vAlign w:val="bottom"/>
            <w:shd w:val="clear" w:color="auto" w:fill="CCECFF"/>
          </w:tcPr>
          <w:p>
            <w:pPr>
              <w:spacing w:after="0"/>
              <w:rPr>
                <w:sz w:val="19"/>
                <w:szCs w:val="19"/>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w w:val="95"/>
              </w:rPr>
              <w:t>(172,799 )</w:t>
            </w:r>
          </w:p>
        </w:tc>
      </w:tr>
      <w:tr>
        <w:trPr>
          <w:trHeight w:val="226"/>
        </w:trPr>
        <w:tc>
          <w:tcPr>
            <w:tcW w:w="7300" w:type="dxa"/>
            <w:vAlign w:val="bottom"/>
          </w:tcPr>
          <w:p>
            <w:pPr>
              <w:ind w:left="60"/>
              <w:spacing w:after="0"/>
              <w:rPr>
                <w:sz w:val="20"/>
                <w:szCs w:val="20"/>
                <w:color w:val="auto"/>
              </w:rPr>
            </w:pPr>
            <w:r>
              <w:rPr>
                <w:rFonts w:ascii="Arial" w:cs="Arial" w:eastAsia="Arial" w:hAnsi="Arial"/>
                <w:sz w:val="16"/>
                <w:szCs w:val="16"/>
                <w:color w:val="auto"/>
              </w:rPr>
              <w:t>Cash and cash equivalents, beginning of the period</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11,927</w:t>
            </w:r>
          </w:p>
        </w:tc>
        <w:tc>
          <w:tcPr>
            <w:tcW w:w="4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209,841</w:t>
            </w:r>
          </w:p>
        </w:tc>
        <w:tc>
          <w:tcPr>
            <w:tcW w:w="140" w:type="dxa"/>
            <w:vAlign w:val="bottom"/>
          </w:tcPr>
          <w:p>
            <w:pPr>
              <w:spacing w:after="0"/>
              <w:rPr>
                <w:sz w:val="19"/>
                <w:szCs w:val="19"/>
                <w:color w:val="auto"/>
              </w:rPr>
            </w:pPr>
          </w:p>
        </w:tc>
      </w:tr>
      <w:tr>
        <w:trPr>
          <w:trHeight w:val="266"/>
        </w:trPr>
        <w:tc>
          <w:tcPr>
            <w:tcW w:w="730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6"/>
                <w:szCs w:val="16"/>
                <w:color w:val="auto"/>
              </w:rPr>
              <w:t>Cash and cash equivalents, end of the period</w:t>
            </w:r>
          </w:p>
        </w:tc>
        <w:tc>
          <w:tcPr>
            <w:tcW w:w="1080" w:type="dxa"/>
            <w:vAlign w:val="bottom"/>
            <w:tcBorders>
              <w:bottom w:val="single" w:sz="8" w:color="auto"/>
            </w:tcBorders>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tcBorders>
              <w:bottom w:val="single" w:sz="8" w:color="CCECFF"/>
            </w:tcBorders>
            <w:shd w:val="clear" w:color="auto" w:fill="CCECFF"/>
          </w:tcPr>
          <w:p>
            <w:pPr>
              <w:spacing w:after="0"/>
              <w:rPr>
                <w:sz w:val="23"/>
                <w:szCs w:val="23"/>
                <w:color w:val="auto"/>
              </w:rPr>
            </w:pPr>
          </w:p>
        </w:tc>
        <w:tc>
          <w:tcPr>
            <w:tcW w:w="1060" w:type="dxa"/>
            <w:vAlign w:val="bottom"/>
            <w:tcBorders>
              <w:bottom w:val="single" w:sz="8" w:color="auto"/>
            </w:tcBorders>
            <w:shd w:val="clear" w:color="auto" w:fill="CCECFF"/>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37,042</w:t>
            </w:r>
          </w:p>
        </w:tc>
        <w:tc>
          <w:tcPr>
            <w:tcW w:w="140" w:type="dxa"/>
            <w:vAlign w:val="bottom"/>
            <w:tcBorders>
              <w:bottom w:val="single" w:sz="8" w:color="CCECFF"/>
            </w:tcBorders>
            <w:shd w:val="clear" w:color="auto" w:fill="CCECFF"/>
          </w:tcPr>
          <w:p>
            <w:pPr>
              <w:spacing w:after="0"/>
              <w:rPr>
                <w:sz w:val="23"/>
                <w:szCs w:val="23"/>
                <w:color w:val="auto"/>
              </w:rPr>
            </w:pPr>
          </w:p>
        </w:tc>
      </w:tr>
      <w:tr>
        <w:trPr>
          <w:trHeight w:val="200"/>
        </w:trPr>
        <w:tc>
          <w:tcPr>
            <w:tcW w:w="7300" w:type="dxa"/>
            <w:vAlign w:val="bottom"/>
          </w:tcPr>
          <w:p>
            <w:pPr>
              <w:ind w:left="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Reclassification of deposits on equipment to property and equipment</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72,130</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Right-of-use asset obtained in exchange for finance lease liability</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14,212</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Finance lease costs in accrued expenses</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2,034</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Equity method investment acquired for non-cash consideration</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1,926</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75,933</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Sales tax accruals reversed due to exemption</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1,837</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Bitcoin received from equity investees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317</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w:t>
            </w:r>
          </w:p>
        </w:tc>
        <w:tc>
          <w:tcPr>
            <w:tcW w:w="140" w:type="dxa"/>
            <w:vAlign w:val="bottom"/>
          </w:tcPr>
          <w:p>
            <w:pPr>
              <w:spacing w:after="0"/>
              <w:rPr>
                <w:sz w:val="19"/>
                <w:szCs w:val="19"/>
                <w:color w:val="auto"/>
              </w:rPr>
            </w:pPr>
          </w:p>
        </w:tc>
      </w:tr>
      <w:tr>
        <w:trPr>
          <w:trHeight w:val="216"/>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w w:val="97"/>
              </w:rPr>
              <w:t>Property and equipment purchases in accounts payable, accounts payable, related party and accrued</w:t>
            </w:r>
          </w:p>
        </w:tc>
        <w:tc>
          <w:tcPr>
            <w:tcW w:w="10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r>
      <w:tr>
        <w:trPr>
          <w:trHeight w:val="226"/>
        </w:trPr>
        <w:tc>
          <w:tcPr>
            <w:tcW w:w="7300" w:type="dxa"/>
            <w:vAlign w:val="bottom"/>
            <w:shd w:val="clear" w:color="auto" w:fill="CCECFF"/>
          </w:tcPr>
          <w:p>
            <w:pPr>
              <w:ind w:left="200"/>
              <w:spacing w:after="0"/>
              <w:rPr>
                <w:sz w:val="20"/>
                <w:szCs w:val="20"/>
                <w:color w:val="auto"/>
              </w:rPr>
            </w:pPr>
            <w:r>
              <w:rPr>
                <w:rFonts w:ascii="Arial" w:cs="Arial" w:eastAsia="Arial" w:hAnsi="Arial"/>
                <w:sz w:val="16"/>
                <w:szCs w:val="16"/>
                <w:color w:val="auto"/>
              </w:rPr>
              <w:t>expenses</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5,459</w:t>
            </w:r>
          </w:p>
        </w:tc>
        <w:tc>
          <w:tcPr>
            <w:tcW w:w="140" w:type="dxa"/>
            <w:vAlign w:val="bottom"/>
            <w:shd w:val="clear" w:color="auto" w:fill="CCECFF"/>
          </w:tcPr>
          <w:p>
            <w:pPr>
              <w:spacing w:after="0"/>
              <w:rPr>
                <w:sz w:val="19"/>
                <w:szCs w:val="19"/>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Deposits on equipment in accounts payable and accounts payable, related party</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10,972</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Common stock cancelled</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Arial" w:cs="Arial" w:eastAsia="Arial" w:hAnsi="Arial"/>
                <w:sz w:val="16"/>
                <w:szCs w:val="16"/>
                <w:color w:val="auto"/>
              </w:rPr>
              <w:t>Right-of-use asset obtained in exchange for operating lease liability</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5,859</w:t>
            </w:r>
          </w:p>
        </w:tc>
        <w:tc>
          <w:tcPr>
            <w:tcW w:w="14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Arial" w:cs="Arial" w:eastAsia="Arial" w:hAnsi="Arial"/>
                <w:sz w:val="16"/>
                <w:szCs w:val="16"/>
                <w:color w:val="auto"/>
              </w:rPr>
              <w:t>Investment in equity investees in accrued expenses</w:t>
            </w:r>
          </w:p>
        </w:tc>
        <w:tc>
          <w:tcPr>
            <w:tcW w:w="1080" w:type="dxa"/>
            <w:vAlign w:val="bottom"/>
            <w:shd w:val="clear" w:color="auto" w:fill="CCECFF"/>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4,345</w:t>
            </w:r>
          </w:p>
        </w:tc>
        <w:tc>
          <w:tcPr>
            <w:tcW w:w="140" w:type="dxa"/>
            <w:vAlign w:val="bottom"/>
            <w:shd w:val="clear" w:color="auto" w:fill="CCECFF"/>
          </w:tcPr>
          <w:p>
            <w:pPr>
              <w:spacing w:after="0"/>
              <w:rPr>
                <w:sz w:val="20"/>
                <w:szCs w:val="20"/>
                <w:color w:val="auto"/>
              </w:rPr>
            </w:pPr>
          </w:p>
        </w:tc>
      </w:tr>
      <w:tr>
        <w:trPr>
          <w:trHeight w:val="210"/>
        </w:trPr>
        <w:tc>
          <w:tcPr>
            <w:tcW w:w="7300" w:type="dxa"/>
            <w:vAlign w:val="bottom"/>
          </w:tcPr>
          <w:p>
            <w:pPr>
              <w:ind w:left="240"/>
              <w:spacing w:after="0"/>
              <w:rPr>
                <w:sz w:val="20"/>
                <w:szCs w:val="20"/>
                <w:color w:val="auto"/>
              </w:rPr>
            </w:pPr>
            <w:r>
              <w:rPr>
                <w:rFonts w:ascii="Arial" w:cs="Arial" w:eastAsia="Arial" w:hAnsi="Arial"/>
                <w:sz w:val="16"/>
                <w:szCs w:val="16"/>
                <w:color w:val="auto"/>
              </w:rPr>
              <w:t>Reclassification of deferred investment costs to investment in equity investees</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-4418965</wp:posOffset>
            </wp:positionV>
            <wp:extent cx="8572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-4418965</wp:posOffset>
            </wp:positionV>
            <wp:extent cx="8572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-3536315</wp:posOffset>
            </wp:positionV>
            <wp:extent cx="8572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-3536315</wp:posOffset>
            </wp:positionV>
            <wp:extent cx="8572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-2644140</wp:posOffset>
            </wp:positionV>
            <wp:extent cx="8572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-2644140</wp:posOffset>
            </wp:positionV>
            <wp:extent cx="857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-2035810</wp:posOffset>
            </wp:positionV>
            <wp:extent cx="143192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31925" cy="17145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754"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Cipher Mining Inc. (“Cipher” or the “Company”) is an emerging technology company that develops and operates industrial scale bitcoin mining data centers. The Company operates or jointly operates four bitcoin mining data centers in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was also completed. In November 2022, the Company began bitcoin mining operations at the wholly-owned Odessa facility (the “Odessa Facility”) and is continuing to expand those operations.</w:t>
      </w:r>
    </w:p>
    <w:p>
      <w:pPr>
        <w:spacing w:after="0" w:line="15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 xml:space="preserve">Cipher Mining Technologies Inc. (“CMTI”)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80.6% of the Company’s common stock, $0.001 par value per share (“Common Stock”), as of June 30, 2023, with sole voting and sole dispositive power over those shares and, as a result, Bitfury Top HoldCo has control of the Company as defined in Financial Accounting Standards Board (“FASB”)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As of August 4, 2023, pursuant to that certain Lock-up Agreement, dated as of August 26, 2021, by and between GWAC and Bitfury Top HoldCo, 129,017,513 of Bitfury Top HoldCo’s shares of the Company’s Common Stock remain subject to lock-up which, subject to any potential modifications under the waiver agreement with Bitfury Top HoldCo entered into on April 8, 2022, is expected to expire on August 27,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Out-of-period-adjustments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 of revenue and power sales for the six months ended June 30, 2023 included out-of-period adjustments of approximately $2.0 million and $1.6 million, respectively, that increased both cost of revenue and power sales on the unaudited condensed consolidated statements of operations for the six months ended June 30, 2023, and resulted in net increases to operating loss and loss before taxes of approximately $0.4 million during the same period. These out-of-period adjustments related to power costs and power sales for the year ended December 31, 2022 at the Company’s Odessa Facility, which are invoiced on a net basis by the Company’s power provider. Management evaluated the impact of this error on the Company’s previously issued audited consolidated financial statements for the year ended December 31, 2022, as well as on its unaudited condensed consolidated financial statements for the six months ended June 30, 2023, assessing the error both quantitatively and qualitatively, and concluded that the error was not material to the financial statements for either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capital resources and limited business history</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historically experienced net losses and negative cash flows from operations. As of June 30, 2023, the Company had approximate balances of cash and cash equivalents of $1.7 million, working capital of $3.6 million, total stockholders’ equity of $343.2 million and an accumulated deficit of $130.5 million. For fiscal years ended December 31, 2022 and 2021, the Company, in large part, relied on proceeds from the consummation of its business combination with Good Works Acquisition Corp. (“GWAC”) to fund its operations; however, during the six months ended June 30, 2023, the Company utilized proceeds from sales of bitcoin earned by or received from its bitcoin mining data centers to support its operating expenses. During the six months ended June 30, 2023, the Company sold 2,063 bitcoin for proceeds of approximately $52.5 million. Additionally, in January 2023, the Company was approached by a third party that offered to purchase coupons that the Company had received from Bitmain Technologies Limited (“Bitmain”) during fiscal year 2022. These transferrable coupons provided the Company with potential discounts of approximately $10.9 million that could only be redeemed with the purchase of additional miners from Bitmain prior to the coupons’ April 2023 expiration date. As the Company did not intend to purchase additional Bitmain miners prior to the expiration date of the coupons, it sold the coupons to the interested third party for proceeds of approximately $2.3 million, which it recorded in other gains within costs and operating expenses (income) on its unaudited condensed consolidated statement of operations during the six months ended June 30, 2023.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monitors its balance sheet on an ongoing basis to determine the proper mix of bitcoin retention and bitcoin sales to support its cash requirements and ongoing operations. Bitcoin is classified as a current asset on the Company’s balance sheets due to its intent and ability to sell bitcoin to support operations when needed. Operating activities provided approximately $24.7 million of cash during the six months ended June 30, 2023.</w:t>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2023, the Company paid approximately $2.9 million of deposits for mining equipment and reclassified approximately $72.1 million to property and equipment in connection with the receipt of miners and other equipment at the Odessa Facility. As of June 30, 2023, the Company had 61,024 miners located at the Odessa Facility and had 12,953, 3,254 and 3,254 contributed miners at its partially-owned Alborz Facility, Bear Facility and Chief Facility, respectively.</w:t>
      </w:r>
    </w:p>
    <w:p>
      <w:pPr>
        <w:spacing w:after="0" w:line="1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June 30, 2023, the Company had approximately $1.7 million of deposits on equipment on its unaudited condensed consolidated balance sheet, primarily related to shipping costs associated with miners to be delivered under the Canaan Agreement (defined below). On May 4, 2023, the Company entered into an agreement with Canaan Creative Global Pte. Ltd. (“Canaan”) to purchase 11,000 new A1346 model miners (the “Canaan Agreement”), all of which were delivered prior to June 30, 2023 and have been installed at the Odessa Facility. Because the Company is paying for the Canaan miners over time, the Company does not yet hold title to the miners. The Company paid an initial 10% deposit plus 18% of the total purchase price prior to delivery, and is required to pay monthly installment payments for the Canaan miners through November 2023, at which time title to the miners will transfer to the Company. The Company expects to fund its ongoing payment obligations for the purchase through its ongoing operations, including by selling bitcoin generated at its data centers.</w:t>
      </w:r>
    </w:p>
    <w:p>
      <w:pPr>
        <w:spacing w:after="0" w:line="15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Management intends to continue with the infrastructure buildout at the Odessa Facility to get the site to full capacity in support of the Company’s current business plans. Management believes that the Company’s existing financial resources, combined with projected cash and bitcoin inflows from its data centers and its intent and ability to sell bitcoin received or earned, will be sufficient to enable the Company to meet its operating and capital requirements for at least 12 months from the date these unaudited condensed consolidated financial statements are issued.</w:t>
      </w:r>
    </w:p>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conditions: COVID-19 and other economic, business and political conditions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results of operations could be adversely affected by general conditions in the global economy and in the global financial markets, including conditions that are outside of the Company’s control, such as any epidemics, pandemics or disease outbreaks or other public health conditions. For example, the COVID-19 pandemic (“COVID-19”) that was declared on March 11, 2020 has caused significant economic dislocation in the United States (“U.S.”) and globally as governments across the world, including the U.S., introduced measures aimed at preventing the spread of COVID-19. While most policies and regulations implemented by governments in response to COVID-19 have been lifted, they have had a significant impact, both directly and indirectly, on global business and commerce.</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If the Company is unable to effectively set up and service its miners, its ability to mine bitcoin will be adversely affected. There is no assurance that COVID-19 or any other pandemic, or other unfavorable global economic, business or political conditions, such as a rise in energy prices, a slowdown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U.S. or international economy, high inflation rates or other factors, will not materially and adversely affect the Company’s business, prospects, financial condition and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controlled subsidiary, CMTI. All intercompany transactions and balances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valuations of its derivative asset and warrant liability under Level 3 of the fair value hierarchy,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condensed consolidated financial statements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description of the Company’s significant accounting policies is included in the Company’s 2022 Form 10-K. You should read the unaudited condensed consolidated financial statements in conjunction with the Company’s audited consolidated financial statements and accompanying notes in the Company’s 2022 Form 10-K. Except as disclosed herein, there has been no material change in the information disclosed in the notes to the Company’s audited consolidated financial statements included in the Company’s 2022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comprised of several members of its executive management team. The Company views its operations and manages its business in one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net loss per share is computed by dividing net loss allocated to common shareholders by the weighted average number of common shares outstanding during the period. Diluted net loss per common share adjusts net loss and net loss per common share for the effect of all potentially dilutive shares of Common Stock. Potential common shares consist of the Company’s outstanding public and private placement warrants to purchase Common Stock, as well as unvested restricted stock units (“RSUs”). Basic net loss per common share is the same as dilutive net loss per common share for all periods presented as the inclusion of all potential common shares would have been antidilutive.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common shares that are excluded from the computation of diluted net loss per common share at June 30, 2023 and 2022, because including them would have been antidilutive.</w:t>
      </w:r>
    </w:p>
    <w:p>
      <w:pPr>
        <w:spacing w:after="0" w:line="211"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2340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204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420" w:type="dxa"/>
            <w:vAlign w:val="bottom"/>
            <w:shd w:val="clear" w:color="auto" w:fill="CCECFF"/>
          </w:tcPr>
          <w:p>
            <w:pPr>
              <w:ind w:left="20"/>
              <w:spacing w:after="0"/>
              <w:rPr>
                <w:sz w:val="20"/>
                <w:szCs w:val="20"/>
                <w:color w:val="auto"/>
              </w:rPr>
            </w:pPr>
            <w:r>
              <w:rPr>
                <w:rFonts w:ascii="Arial" w:cs="Arial" w:eastAsia="Arial" w:hAnsi="Arial"/>
                <w:sz w:val="18"/>
                <w:szCs w:val="18"/>
                <w:color w:val="auto"/>
              </w:rPr>
              <w:t>Public warrants</w:t>
            </w:r>
          </w:p>
        </w:tc>
        <w:tc>
          <w:tcPr>
            <w:tcW w:w="16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8,499,980</w:t>
            </w:r>
          </w:p>
        </w:tc>
        <w:tc>
          <w:tcPr>
            <w:tcW w:w="420" w:type="dxa"/>
            <w:vAlign w:val="bottom"/>
            <w:shd w:val="clear" w:color="auto" w:fill="CCECFF"/>
          </w:tcPr>
          <w:p>
            <w:pPr>
              <w:spacing w:after="0"/>
              <w:rPr>
                <w:sz w:val="20"/>
                <w:szCs w:val="20"/>
                <w:color w:val="auto"/>
              </w:rPr>
            </w:pPr>
          </w:p>
        </w:tc>
        <w:tc>
          <w:tcPr>
            <w:tcW w:w="16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8,499,980</w:t>
            </w:r>
          </w:p>
        </w:tc>
        <w:tc>
          <w:tcPr>
            <w:tcW w:w="140" w:type="dxa"/>
            <w:vAlign w:val="bottom"/>
            <w:shd w:val="clear" w:color="auto" w:fill="CCECFF"/>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640" w:type="dxa"/>
            <w:vAlign w:val="bottom"/>
          </w:tcPr>
          <w:p>
            <w:pPr>
              <w:jc w:val="right"/>
              <w:spacing w:after="0"/>
              <w:rPr>
                <w:sz w:val="20"/>
                <w:szCs w:val="20"/>
                <w:color w:val="auto"/>
              </w:rPr>
            </w:pPr>
            <w:r>
              <w:rPr>
                <w:rFonts w:ascii="Arial" w:cs="Arial" w:eastAsia="Arial" w:hAnsi="Arial"/>
                <w:sz w:val="18"/>
                <w:szCs w:val="18"/>
                <w:color w:val="auto"/>
              </w:rPr>
              <w:t>114,000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114,000</w:t>
            </w:r>
          </w:p>
        </w:tc>
        <w:tc>
          <w:tcPr>
            <w:tcW w:w="140" w:type="dxa"/>
            <w:vAlign w:val="bottom"/>
          </w:tcPr>
          <w:p>
            <w:pPr>
              <w:spacing w:after="0"/>
              <w:rPr>
                <w:sz w:val="20"/>
                <w:szCs w:val="20"/>
                <w:color w:val="auto"/>
              </w:rPr>
            </w:pPr>
          </w:p>
        </w:tc>
      </w:tr>
      <w:tr>
        <w:trPr>
          <w:trHeight w:val="249"/>
        </w:trPr>
        <w:tc>
          <w:tcPr>
            <w:tcW w:w="7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Unvested RSUs</w:t>
            </w:r>
          </w:p>
        </w:tc>
        <w:tc>
          <w:tcPr>
            <w:tcW w:w="1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23,134,869</w:t>
            </w:r>
          </w:p>
        </w:tc>
        <w:tc>
          <w:tcPr>
            <w:tcW w:w="420" w:type="dxa"/>
            <w:vAlign w:val="bottom"/>
            <w:tcBorders>
              <w:bottom w:val="single" w:sz="8" w:color="CCECFF"/>
            </w:tcBorders>
            <w:shd w:val="clear" w:color="auto" w:fill="CCECFF"/>
          </w:tcPr>
          <w:p>
            <w:pPr>
              <w:spacing w:after="0"/>
              <w:rPr>
                <w:sz w:val="21"/>
                <w:szCs w:val="21"/>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12,975,614</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74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31,748,849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21,589,594</w:t>
            </w:r>
          </w:p>
        </w:tc>
        <w:tc>
          <w:tcPr>
            <w:tcW w:w="14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-187960</wp:posOffset>
            </wp:positionV>
            <wp:extent cx="857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85"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In June 2016, the FASB issued Accounting Standards Update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which was codified with its subsequent amendments as ASC Topic 326,</w:t>
      </w:r>
      <w:r>
        <w:rPr>
          <w:rFonts w:ascii="Arial" w:cs="Arial" w:eastAsia="Arial" w:hAnsi="Arial"/>
          <w:sz w:val="16"/>
          <w:szCs w:val="16"/>
          <w:i w:val="1"/>
          <w:iCs w:val="1"/>
          <w:color w:val="auto"/>
        </w:rPr>
        <w:t xml:space="preserve"> Financial Instruments – Credit Losses </w:t>
      </w:r>
      <w:r>
        <w:rPr>
          <w:rFonts w:ascii="Arial" w:cs="Arial" w:eastAsia="Arial" w:hAnsi="Arial"/>
          <w:sz w:val="16"/>
          <w:szCs w:val="16"/>
          <w:color w:val="auto"/>
        </w:rPr>
        <w:t>(“ASC</w:t>
      </w:r>
      <w:r>
        <w:rPr>
          <w:rFonts w:ascii="Arial" w:cs="Arial" w:eastAsia="Arial" w:hAnsi="Arial"/>
          <w:sz w:val="16"/>
          <w:szCs w:val="16"/>
          <w:i w:val="1"/>
          <w:iCs w:val="1"/>
          <w:color w:val="auto"/>
        </w:rPr>
        <w:t xml:space="preserve"> </w:t>
      </w:r>
      <w:r>
        <w:rPr>
          <w:rFonts w:ascii="Arial" w:cs="Arial" w:eastAsia="Arial" w:hAnsi="Arial"/>
          <w:sz w:val="16"/>
          <w:szCs w:val="16"/>
          <w:color w:val="auto"/>
        </w:rPr>
        <w:t>326”). ASC 326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other GAAP with a methodology that reflects current expected credit losses and requires consideration of a broader range of reasonable and supportable information to inform credit loss estimates. The adoption of this guidance on January 1, 2023 did not have a material impact on the Company’s unaudited condensed consolidated financial statements and disclosures.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Arial" w:cs="Arial" w:eastAsia="Arial" w:hAnsi="Arial"/>
                <w:sz w:val="18"/>
                <w:szCs w:val="18"/>
                <w:b w:val="1"/>
                <w:bCs w:val="1"/>
                <w:color w:val="auto"/>
              </w:rPr>
              <w:t>NOTE 3. BITCOIN</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5"/>
        </w:trPr>
        <w:tc>
          <w:tcPr>
            <w:tcW w:w="9140" w:type="dxa"/>
            <w:vAlign w:val="bottom"/>
          </w:tcPr>
          <w:p>
            <w:pPr>
              <w:spacing w:after="0"/>
              <w:rPr>
                <w:sz w:val="20"/>
                <w:szCs w:val="20"/>
                <w:color w:val="auto"/>
              </w:rPr>
            </w:pPr>
            <w:r>
              <w:rPr>
                <w:rFonts w:ascii="Arial" w:cs="Arial" w:eastAsia="Arial" w:hAnsi="Arial"/>
                <w:sz w:val="18"/>
                <w:szCs w:val="18"/>
                <w:color w:val="auto"/>
              </w:rPr>
              <w:t>The following table presents information about the Company’s bitcoin (in thousands):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9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91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40" w:type="dxa"/>
            <w:vAlign w:val="bottom"/>
            <w:shd w:val="clear" w:color="auto" w:fill="CCEEFF"/>
          </w:tcPr>
          <w:p>
            <w:pPr>
              <w:spacing w:after="0"/>
              <w:rPr>
                <w:sz w:val="21"/>
                <w:szCs w:val="21"/>
                <w:color w:val="auto"/>
              </w:rPr>
            </w:pPr>
          </w:p>
        </w:tc>
      </w:tr>
      <w:tr>
        <w:trPr>
          <w:trHeight w:val="237"/>
        </w:trPr>
        <w:tc>
          <w:tcPr>
            <w:tcW w:w="9140" w:type="dxa"/>
            <w:vAlign w:val="bottom"/>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0"/>
                <w:szCs w:val="20"/>
                <w:color w:val="auto"/>
              </w:rPr>
            </w:pPr>
          </w:p>
        </w:tc>
      </w:tr>
      <w:tr>
        <w:trPr>
          <w:trHeight w:val="249"/>
        </w:trPr>
        <w:tc>
          <w:tcPr>
            <w:tcW w:w="9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Revenue recognized from bitcoin mined, net of receivable</w:t>
            </w:r>
          </w:p>
        </w:tc>
        <w:tc>
          <w:tcPr>
            <w:tcW w:w="76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52,836</w:t>
            </w:r>
          </w:p>
        </w:tc>
        <w:tc>
          <w:tcPr>
            <w:tcW w:w="140" w:type="dxa"/>
            <w:vAlign w:val="bottom"/>
            <w:shd w:val="clear" w:color="auto" w:fill="CCECFF"/>
          </w:tcPr>
          <w:p>
            <w:pPr>
              <w:spacing w:after="0"/>
              <w:rPr>
                <w:sz w:val="21"/>
                <w:szCs w:val="21"/>
                <w:color w:val="auto"/>
              </w:rPr>
            </w:pPr>
          </w:p>
        </w:tc>
      </w:tr>
      <w:tr>
        <w:trPr>
          <w:trHeight w:val="237"/>
        </w:trPr>
        <w:tc>
          <w:tcPr>
            <w:tcW w:w="9140" w:type="dxa"/>
            <w:vAlign w:val="bottom"/>
          </w:tcPr>
          <w:p>
            <w:pPr>
              <w:ind w:left="200"/>
              <w:spacing w:after="0"/>
              <w:rPr>
                <w:sz w:val="20"/>
                <w:szCs w:val="20"/>
                <w:color w:val="auto"/>
              </w:rPr>
            </w:pPr>
            <w:r>
              <w:rPr>
                <w:rFonts w:ascii="Arial" w:cs="Arial" w:eastAsia="Arial" w:hAnsi="Arial"/>
                <w:sz w:val="18"/>
                <w:szCs w:val="18"/>
                <w:color w:val="auto"/>
              </w:rPr>
              <w:t>Proceeds from sale of bitcoin, net of realized gain</w:t>
            </w:r>
          </w:p>
        </w:tc>
        <w:tc>
          <w:tcPr>
            <w:tcW w:w="7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(44,267 )</w:t>
            </w:r>
          </w:p>
        </w:tc>
      </w:tr>
      <w:tr>
        <w:trPr>
          <w:trHeight w:val="249"/>
        </w:trPr>
        <w:tc>
          <w:tcPr>
            <w:tcW w:w="9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Impairment of bitcoin</w:t>
            </w:r>
          </w:p>
        </w:tc>
        <w:tc>
          <w:tcPr>
            <w:tcW w:w="76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(4,633 )</w:t>
            </w:r>
          </w:p>
        </w:tc>
      </w:tr>
      <w:tr>
        <w:trPr>
          <w:trHeight w:val="237"/>
        </w:trPr>
        <w:tc>
          <w:tcPr>
            <w:tcW w:w="914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140" w:type="dxa"/>
            <w:vAlign w:val="bottom"/>
            <w:tcBorders>
              <w:top w:val="single" w:sz="8" w:color="CCECFF"/>
            </w:tcBorders>
          </w:tcPr>
          <w:p>
            <w:pPr>
              <w:spacing w:after="0"/>
              <w:rPr>
                <w:sz w:val="20"/>
                <w:szCs w:val="20"/>
                <w:color w:val="auto"/>
              </w:rPr>
            </w:pPr>
          </w:p>
        </w:tc>
      </w:tr>
      <w:tr>
        <w:trPr>
          <w:trHeight w:val="20"/>
        </w:trPr>
        <w:tc>
          <w:tcPr>
            <w:tcW w:w="9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Company’s bitcoin as of June 30, 2023 was approximately $12.3 million and was estimated using the closing price of bitcoin, which is a Level 1 input (i.e., an observable input such as a quoted price in an active market for an identical asset).</w:t>
      </w:r>
    </w:p>
    <w:p>
      <w:pPr>
        <w:spacing w:after="0" w:line="130"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During the three and six months ended June 30, 2023, the Company recorded impairment charges on its bitcoin holdings of approximately $2.8 million and $4.6 million, respectively. Impairment charges were approximately $0.5 million for both the three and six months ended June 30,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DERIVATIVE ASSET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Luminant Power Agreement</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23, 2021, the Company entered into a power purchase agreement with Luminant ET Services Company LLC (“Luminant”), which was subsequently amended and restated on July 9, 2021, and further amended on February 28, 2022 and August 26, 2022 (as amended, the “Luminant Power Agreement”), for the supply of a fixed amount of electric power to the Odessa Facility at a fixed price for a term of five years, subject to certain early termination exemptions. The Luminant Power Agreement provides for a subsequent automatic annual renewal unless either party provides written notice to the other party of its intent to terminate the agreement at least six months prior to the expiration of the then current term. Starting from July 1, 2022, and prior to the receipt of interconnection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Because ERCOT allows for net settlement, the Company’s management determined that, as of July 1, 2022, the Luminant Power Agreement met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its estimated fair value each reporting period with the change in the fair value recorded in change in fair value of derivative asset in the consolidated statements of operations. See additional information regarding valuation of the Luminant Power Agreement derivative in Note 16. </w:t>
      </w:r>
      <w:r>
        <w:rPr>
          <w:rFonts w:ascii="Arial" w:cs="Arial" w:eastAsia="Arial" w:hAnsi="Arial"/>
          <w:sz w:val="17"/>
          <w:szCs w:val="17"/>
          <w:i w:val="1"/>
          <w:iCs w:val="1"/>
          <w:color w:val="auto"/>
        </w:rPr>
        <w:t>Fair Value Measurements</w:t>
      </w:r>
      <w:r>
        <w:rPr>
          <w:rFonts w:ascii="Arial" w:cs="Arial" w:eastAsia="Arial" w:hAnsi="Arial"/>
          <w:sz w:val="17"/>
          <w:szCs w:val="17"/>
          <w:color w:val="auto"/>
        </w:rPr>
        <w:t>.</w:t>
      </w:r>
    </w:p>
    <w:p>
      <w:pPr>
        <w:spacing w:after="0" w:line="1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earned approximately $5.7 million and $5.7 million, respectively from power sales for the three and six months ended June 30, 2023, and recorded this amount in power sales within costs and operating expenses (income) on the unaudited condensed consolidated statement of operations, with the corresponding cost of the power sold recorded in cost of revenue. See Note 1.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for information regarding the out-of-period adjustments recorded during the six months ended June 30, 2023, which affected cost of power, power sales, net operating loss and net loss on the Company’s unaudited condensed consolidated statement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w w:val="97"/>
              </w:rPr>
              <w:t>June 30, 2023</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 and mining equipment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158,318</w:t>
            </w:r>
          </w:p>
        </w:tc>
        <w:tc>
          <w:tcPr>
            <w:tcW w:w="4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79,909</w:t>
            </w:r>
          </w:p>
        </w:tc>
        <w:tc>
          <w:tcPr>
            <w:tcW w:w="140" w:type="dxa"/>
            <w:vAlign w:val="bottom"/>
            <w:shd w:val="clear" w:color="auto" w:fill="CCEEFF"/>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135,209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94,807</w:t>
            </w:r>
          </w:p>
        </w:tc>
        <w:tc>
          <w:tcPr>
            <w:tcW w:w="140" w:type="dxa"/>
            <w:vAlign w:val="bottom"/>
          </w:tcPr>
          <w:p>
            <w:pPr>
              <w:spacing w:after="0"/>
              <w:rPr>
                <w:sz w:val="20"/>
                <w:szCs w:val="20"/>
                <w:color w:val="auto"/>
              </w:rPr>
            </w:pPr>
          </w:p>
        </w:tc>
      </w:tr>
      <w:tr>
        <w:trPr>
          <w:trHeight w:val="24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r>
      <w:tr>
        <w:trPr>
          <w:trHeight w:val="24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Autos</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r>
      <w:tr>
        <w:trPr>
          <w:trHeight w:val="24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Total cost of property and equipment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297,188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195,979</w:t>
            </w:r>
          </w:p>
        </w:tc>
        <w:tc>
          <w:tcPr>
            <w:tcW w:w="140" w:type="dxa"/>
            <w:vAlign w:val="bottom"/>
          </w:tcPr>
          <w:p>
            <w:pPr>
              <w:spacing w:after="0"/>
              <w:rPr>
                <w:sz w:val="20"/>
                <w:szCs w:val="20"/>
                <w:color w:val="auto"/>
              </w:rPr>
            </w:pPr>
          </w:p>
        </w:tc>
      </w:tr>
      <w:tr>
        <w:trPr>
          <w:trHeight w:val="249"/>
        </w:trPr>
        <w:tc>
          <w:tcPr>
            <w:tcW w:w="74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CFF"/>
          </w:tcPr>
          <w:p>
            <w:pPr>
              <w:spacing w:after="0"/>
              <w:rPr>
                <w:sz w:val="21"/>
                <w:szCs w:val="21"/>
                <w:color w:val="auto"/>
              </w:rPr>
            </w:pPr>
          </w:p>
        </w:tc>
        <w:tc>
          <w:tcPr>
            <w:tcW w:w="1840" w:type="dxa"/>
            <w:vAlign w:val="bottom"/>
            <w:gridSpan w:val="2"/>
            <w:shd w:val="clear" w:color="auto" w:fill="CCECFF"/>
          </w:tcPr>
          <w:p>
            <w:pPr>
              <w:jc w:val="right"/>
              <w:ind w:right="400"/>
              <w:spacing w:after="0"/>
              <w:rPr>
                <w:sz w:val="20"/>
                <w:szCs w:val="20"/>
                <w:color w:val="auto"/>
              </w:rPr>
            </w:pPr>
            <w:r>
              <w:rPr>
                <w:rFonts w:ascii="Arial" w:cs="Arial" w:eastAsia="Arial" w:hAnsi="Arial"/>
                <w:sz w:val="18"/>
                <w:szCs w:val="18"/>
                <w:color w:val="auto"/>
              </w:rPr>
              <w:t>(29,398 )</w:t>
            </w:r>
          </w:p>
        </w:tc>
        <w:tc>
          <w:tcPr>
            <w:tcW w:w="120" w:type="dxa"/>
            <w:vAlign w:val="bottom"/>
            <w:shd w:val="clear" w:color="auto" w:fill="CCECFF"/>
          </w:tcPr>
          <w:p>
            <w:pPr>
              <w:spacing w:after="0"/>
              <w:rPr>
                <w:sz w:val="21"/>
                <w:szCs w:val="21"/>
                <w:color w:val="auto"/>
              </w:rPr>
            </w:pPr>
          </w:p>
        </w:tc>
        <w:tc>
          <w:tcPr>
            <w:tcW w:w="15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(4,195 )</w:t>
            </w:r>
          </w:p>
        </w:tc>
      </w:tr>
      <w:tr>
        <w:trPr>
          <w:trHeight w:val="237"/>
        </w:trPr>
        <w:tc>
          <w:tcPr>
            <w:tcW w:w="748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267,790</w:t>
            </w:r>
          </w:p>
        </w:tc>
        <w:tc>
          <w:tcPr>
            <w:tcW w:w="480" w:type="dxa"/>
            <w:vAlign w:val="bottom"/>
            <w:tcBorders>
              <w:top w:val="single" w:sz="8" w:color="CCEC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191,784</w:t>
            </w:r>
          </w:p>
        </w:tc>
        <w:tc>
          <w:tcPr>
            <w:tcW w:w="140" w:type="dxa"/>
            <w:vAlign w:val="bottom"/>
            <w:tcBorders>
              <w:top w:val="single" w:sz="8" w:color="CCECFF"/>
            </w:tcBorders>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-505460</wp:posOffset>
            </wp:positionV>
            <wp:extent cx="8572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six months ended June 30, 2023 and 2022, the Company placed approximately $34.4 million and nil, respectively, of construction-in-progress into service at the Odessa Facility. Depreciation expense was approximately $14.4 million and $26.1 million, respectively, for the three and six months ended June 30, 2023 and included approximately $0.4 million and $0.9 million, respectively, of accretion expense related to the Company’s asset retirement obligation. Depreciation expense was immaterial for the three and six months ended June 30, 2022.</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During the first quarter of fiscal 2023, the Company received the remaining 17,094 MicroBT M30S, M30S+ and M30S++ miners (“MicroBT miners”) related to the framework agreement of September 2021 with SuperAcme Technology (Hong Kong) Limited (“SuperAcme”), which was amended and restated by the Amended and Restated Framework Agreement on Supply of Blockchain Servers (the “Amended and Restated Framework Agreement”), dated as of May 6, 2022, and subject to the Supplementary Agreement of the Framework Agreement on Supply of Blockchain Servers (the “Supplementary Agreement). These MicroBT miners received during the first quarter of fiscal 2023 had an aggregate cost of approximately $50.7 million and were purchased by the Company at the new fixed and floating price terms set forth in the Supplementary Agreement. The Company also received 4,622 Antminer S19j Pro (100 TH/s) (“S19j Pro”) miners from Bitmain with a cost basis of approximately $1.6 million during the first quarter of fiscal 2023. As of June 30, 2023, the Company had a total of 35,117 MicroBT miners, 14,907 S19j Pro miners and 11,000 Canaan A1346 model miners for a total of 61,024 miners at its Odessa Facility. See additional information regarding the Canaan miners in Note 1.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DEPOSITS ON EQUIPMENT</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In November and December 2022, the Company agreed to purchase 5,000 and 2,200, respectively, S19j Pro miners from Bitmain. The Company utilized accumulated Bitmain credits and coupons for the majority of the purchase price for these miners and has no further payments due in respect of these orders. Information regarding the quantity of Bitmain miners received pursuant to these agreements during the six months ended June 30, 2023 is disclosed in Note 5. </w:t>
      </w:r>
      <w:r>
        <w:rPr>
          <w:rFonts w:ascii="Arial" w:cs="Arial" w:eastAsia="Arial" w:hAnsi="Arial"/>
          <w:sz w:val="16"/>
          <w:szCs w:val="16"/>
          <w:i w:val="1"/>
          <w:iCs w:val="1"/>
          <w:color w:val="auto"/>
        </w:rPr>
        <w:t>Property and Equipment</w:t>
      </w:r>
      <w:r>
        <w:rPr>
          <w:rFonts w:ascii="Arial" w:cs="Arial" w:eastAsia="Arial" w:hAnsi="Arial"/>
          <w:sz w:val="16"/>
          <w:szCs w:val="16"/>
          <w:color w:val="auto"/>
        </w:rPr>
        <w:t>. As of June 30, 2023, the Company did not have material open purchase agreement commitments.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of June 30, 2023, deposits on equipment was $1.7 million, primarily related to shipping costs and peripheral cables associated with the equipment from the Canaan Agreement described in Note 1.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and further in Note 11.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 IN EQUITY INVESTEES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uses the equity method of accounting to account for its 49% equity interest in its partially owned mining operations Alborz LLC, Bear LLC and Chief, LLC (the “Data Center LLCs”). The Company recognized a total of approximately $1.4 million and $2.2 million of net losses in equity in losses of equity investees within the condensed consolidated statements of operations during the three and six months ended June 30, 2023, respectively, and $12.1 million and $12.2 million of net losses in equity in losses of equity investees during the three and six months ended June 30, 2022, respectively. Cryptocurrency mining operations for the Data Center LLCs consisted only of minimal activity at the Alborz Facility for the six months ended June 30, 2022.</w:t>
      </w:r>
    </w:p>
    <w:p>
      <w:pPr>
        <w:spacing w:after="0" w:line="1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fiscal year 2022, the Company contributed miners and mining equipment to the Alborz, Bear and Chief Facilities. The majority of these contributed miners had a fair value that was lower than the cost paid by the Company to obtain them, and the Company recognized losses at the time of the contributions, resulting in basis differences related to the Company’s investments in Alborz LLC, Bear LLC and Chief LLC, all of which recorded the contributions of equipment from the Company at the historical cost paid by the Company to obtain the equipment. As Alborz LLC, Bear LLC and Chief LLC depreciate the historical cost of these miners on their respective financial statements over the expected depreciation period of five years, the Company accretes these basis differences over the same period and records the accretion amount for each reporting period within equity in losses of equity investees on its statements of operations until these miners are fully depreciated and the corresponding basis differences are fully accreted. As of June 30, 2023, the Company had remaining basis differences totaling approximately $28.1 million that have not yet been accreted. Accretion recorded by the Company during the six months ended June 30, 2023 is shown in the table below and was recorded within equity in losses of equity investees on the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Activity in the Company’s investments in equity investees during the six months ended June 30, 2023 consisted of the following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20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140" w:type="dxa"/>
            <w:vAlign w:val="bottom"/>
            <w:shd w:val="clear" w:color="auto" w:fill="CCEEFF"/>
          </w:tcPr>
          <w:p>
            <w:pPr>
              <w:spacing w:after="0"/>
              <w:rPr>
                <w:sz w:val="21"/>
                <w:szCs w:val="21"/>
                <w:color w:val="auto"/>
              </w:rPr>
            </w:pP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Cost of miners and mining equipment contributed</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20"/>
                <w:szCs w:val="20"/>
                <w:color w:val="auto"/>
              </w:rPr>
            </w:pPr>
          </w:p>
        </w:tc>
      </w:tr>
      <w:tr>
        <w:trPr>
          <w:trHeight w:val="249"/>
        </w:trPr>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basis differences related to miner contributions</w:t>
            </w:r>
          </w:p>
        </w:tc>
        <w:tc>
          <w:tcPr>
            <w:tcW w:w="2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CEEFF"/>
          </w:tcPr>
          <w:p>
            <w:pPr>
              <w:spacing w:after="0"/>
              <w:rPr>
                <w:sz w:val="21"/>
                <w:szCs w:val="21"/>
                <w:color w:val="auto"/>
              </w:rPr>
            </w:pPr>
          </w:p>
        </w:tc>
      </w:tr>
      <w:tr>
        <w:trPr>
          <w:trHeight w:val="237"/>
        </w:trPr>
        <w:tc>
          <w:tcPr>
            <w:tcW w:w="5480" w:type="dxa"/>
            <w:vAlign w:val="bottom"/>
          </w:tcPr>
          <w:p>
            <w:pPr>
              <w:ind w:left="200"/>
              <w:spacing w:after="0"/>
              <w:rPr>
                <w:sz w:val="20"/>
                <w:szCs w:val="20"/>
                <w:color w:val="auto"/>
              </w:rPr>
            </w:pPr>
            <w:r>
              <w:rPr>
                <w:rFonts w:ascii="Arial" w:cs="Arial" w:eastAsia="Arial" w:hAnsi="Arial"/>
                <w:sz w:val="18"/>
                <w:szCs w:val="18"/>
                <w:color w:val="auto"/>
              </w:rPr>
              <w:t>Capital distributions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(3,807 )</w:t>
            </w:r>
          </w:p>
        </w:tc>
      </w:tr>
      <w:tr>
        <w:trPr>
          <w:trHeight w:val="249"/>
        </w:trPr>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2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(317 )</w:t>
            </w:r>
          </w:p>
        </w:tc>
      </w:tr>
      <w:tr>
        <w:trPr>
          <w:trHeight w:val="243"/>
        </w:trPr>
        <w:tc>
          <w:tcPr>
            <w:tcW w:w="5480" w:type="dxa"/>
            <w:vAlign w:val="bottom"/>
          </w:tcPr>
          <w:p>
            <w:pPr>
              <w:ind w:left="200"/>
              <w:spacing w:after="0"/>
              <w:rPr>
                <w:sz w:val="20"/>
                <w:szCs w:val="20"/>
                <w:color w:val="auto"/>
              </w:rPr>
            </w:pPr>
            <w:r>
              <w:rPr>
                <w:rFonts w:ascii="Arial" w:cs="Arial" w:eastAsia="Arial" w:hAnsi="Arial"/>
                <w:sz w:val="18"/>
                <w:szCs w:val="18"/>
                <w:color w:val="auto"/>
              </w:rPr>
              <w:t>Equity in net losses of equity investees</w:t>
            </w: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(5,521 )</w:t>
            </w:r>
          </w:p>
        </w:tc>
      </w:tr>
      <w:tr>
        <w:trPr>
          <w:trHeight w:val="277"/>
        </w:trPr>
        <w:tc>
          <w:tcPr>
            <w:tcW w:w="54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0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spacing w:after="0"/>
              <w:rPr>
                <w:sz w:val="24"/>
                <w:szCs w:val="24"/>
                <w:color w:val="auto"/>
              </w:rPr>
            </w:pPr>
          </w:p>
        </w:tc>
        <w:tc>
          <w:tcPr>
            <w:tcW w:w="124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736"/>
        </w:trPr>
        <w:tc>
          <w:tcPr>
            <w:tcW w:w="5480" w:type="dxa"/>
            <w:vAlign w:val="bottom"/>
          </w:tcPr>
          <w:p>
            <w:pPr>
              <w:spacing w:after="0"/>
              <w:rPr>
                <w:sz w:val="20"/>
                <w:szCs w:val="20"/>
                <w:color w:val="auto"/>
              </w:rPr>
            </w:pPr>
            <w:r>
              <w:rPr>
                <w:rFonts w:ascii="Arial" w:cs="Arial" w:eastAsia="Arial" w:hAnsi="Arial"/>
                <w:sz w:val="18"/>
                <w:szCs w:val="18"/>
                <w:b w:val="1"/>
                <w:bCs w:val="1"/>
                <w:color w:val="auto"/>
              </w:rPr>
              <w:t>NOTE 8. SECURITY DEPOSITS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5480" w:type="dxa"/>
            <w:vAlign w:val="bottom"/>
          </w:tcPr>
          <w:p>
            <w:pPr>
              <w:spacing w:after="0"/>
              <w:rPr>
                <w:sz w:val="20"/>
                <w:szCs w:val="20"/>
                <w:color w:val="auto"/>
              </w:rPr>
            </w:pPr>
            <w:r>
              <w:rPr>
                <w:rFonts w:ascii="Arial" w:cs="Arial" w:eastAsia="Arial" w:hAnsi="Arial"/>
                <w:sz w:val="18"/>
                <w:szCs w:val="18"/>
                <w:color w:val="auto"/>
                <w:w w:val="91"/>
              </w:rPr>
              <w:t>The Company’s security deposits consisted of the following (in thousands):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6"/>
        </w:trPr>
        <w:tc>
          <w:tcPr>
            <w:tcW w:w="5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2023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2022</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Luminant Power Purchase Agreement Independent Collateral Amount</w:t>
            </w:r>
          </w:p>
        </w:tc>
        <w:tc>
          <w:tcPr>
            <w:tcW w:w="200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12,554</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140" w:type="dxa"/>
            <w:vAlign w:val="bottom"/>
            <w:shd w:val="clear" w:color="auto" w:fill="CCEEFF"/>
          </w:tcPr>
          <w:p>
            <w:pPr>
              <w:spacing w:after="0"/>
              <w:rPr>
                <w:sz w:val="21"/>
                <w:szCs w:val="2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Luminant Purchase and Sale Agreement collateral</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3,063</w:t>
            </w:r>
          </w:p>
        </w:tc>
        <w:tc>
          <w:tcPr>
            <w:tcW w:w="140" w:type="dxa"/>
            <w:vAlign w:val="bottom"/>
          </w:tcPr>
          <w:p>
            <w:pPr>
              <w:spacing w:after="0"/>
              <w:rPr>
                <w:sz w:val="20"/>
                <w:szCs w:val="20"/>
                <w:color w:val="auto"/>
              </w:rPr>
            </w:pPr>
          </w:p>
        </w:tc>
      </w:tr>
      <w:tr>
        <w:trPr>
          <w:trHeight w:val="24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security deposits</w:t>
            </w:r>
          </w:p>
        </w:tc>
        <w:tc>
          <w:tcPr>
            <w:tcW w:w="2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deposits</w:t>
            </w:r>
          </w:p>
        </w:tc>
        <w:tc>
          <w:tcPr>
            <w:tcW w:w="2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21"/>
                <w:szCs w:val="21"/>
                <w:color w:val="auto"/>
              </w:rPr>
            </w:pPr>
          </w:p>
        </w:tc>
      </w:tr>
      <w:tr>
        <w:trPr>
          <w:trHeight w:val="277"/>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security deposits</w:t>
            </w:r>
          </w:p>
        </w:tc>
        <w:tc>
          <w:tcPr>
            <w:tcW w:w="2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17,742</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628"/>
        </w:trPr>
        <w:tc>
          <w:tcPr>
            <w:tcW w:w="5480" w:type="dxa"/>
            <w:vAlign w:val="bottom"/>
          </w:tcPr>
          <w:p>
            <w:pPr>
              <w:spacing w:after="0"/>
              <w:rPr>
                <w:sz w:val="24"/>
                <w:szCs w:val="24"/>
                <w:color w:val="auto"/>
              </w:rPr>
            </w:pPr>
          </w:p>
        </w:tc>
        <w:tc>
          <w:tcPr>
            <w:tcW w:w="2000" w:type="dxa"/>
            <w:vAlign w:val="bottom"/>
          </w:tcPr>
          <w:p>
            <w:pPr>
              <w:jc w:val="right"/>
              <w:ind w:right="167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54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-2356485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-2339975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-513715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-496570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SUPPLEMENTAL FINANCIAL INFORMATION</w:t>
      </w:r>
    </w:p>
    <w:p>
      <w:pPr>
        <w:spacing w:after="0" w:line="18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June 30, 2023 and December 31, 2022, the Company had approximately $2.3 million and $7.3 million, respectively, of prepaid expenses and other current assets, which was primarily related to prepaid insurance other than approximately $1.2 million of bitcoin temporarily held for the Company’s joint venture partner, WindHQ LLC (“WindHQ”), as of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accrued expenses and other current liabilities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9"/>
              </w:rPr>
              <w:t>June 30, 2023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December 31, 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CECFF"/>
          </w:tcPr>
          <w:p>
            <w:pPr>
              <w:ind w:left="20"/>
              <w:spacing w:after="0"/>
              <w:rPr>
                <w:sz w:val="20"/>
                <w:szCs w:val="20"/>
                <w:color w:val="auto"/>
              </w:rPr>
            </w:pPr>
            <w:r>
              <w:rPr>
                <w:rFonts w:ascii="Arial" w:cs="Arial" w:eastAsia="Arial" w:hAnsi="Arial"/>
                <w:sz w:val="18"/>
                <w:szCs w:val="18"/>
                <w:color w:val="auto"/>
              </w:rPr>
              <w:t>Taxes (primarily sales tax)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Power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80" w:type="dxa"/>
            <w:vAlign w:val="bottom"/>
            <w:shd w:val="clear" w:color="auto" w:fill="CCECFF"/>
          </w:tcPr>
          <w:p>
            <w:pPr>
              <w:ind w:left="20"/>
              <w:spacing w:after="0" w:line="249" w:lineRule="exact"/>
              <w:rPr>
                <w:sz w:val="20"/>
                <w:szCs w:val="20"/>
                <w:color w:val="auto"/>
              </w:rPr>
            </w:pPr>
            <w:r>
              <w:rPr>
                <w:rFonts w:ascii="Arial" w:cs="Arial" w:eastAsia="Arial" w:hAnsi="Arial"/>
                <w:sz w:val="18"/>
                <w:szCs w:val="18"/>
                <w:color w:val="auto"/>
              </w:rPr>
              <w:t xml:space="preserve">Finance lease </w:t>
            </w:r>
            <w:r>
              <w:rPr>
                <w:rFonts w:ascii="Arial" w:cs="Arial" w:eastAsia="Arial" w:hAnsi="Arial"/>
                <w:sz w:val="24"/>
                <w:szCs w:val="24"/>
                <w:color w:val="auto"/>
                <w:vertAlign w:val="superscript"/>
              </w:rPr>
              <w:t>(1)</w:t>
            </w:r>
          </w:p>
        </w:tc>
        <w:tc>
          <w:tcPr>
            <w:tcW w:w="20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2,373</w:t>
            </w:r>
          </w:p>
        </w:tc>
        <w:tc>
          <w:tcPr>
            <w:tcW w:w="4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Legal settlement </w:t>
            </w:r>
            <w:r>
              <w:rPr>
                <w:rFonts w:ascii="Arial" w:cs="Arial" w:eastAsia="Arial" w:hAnsi="Arial"/>
                <w:sz w:val="24"/>
                <w:szCs w:val="24"/>
                <w:color w:val="auto"/>
                <w:vertAlign w:val="superscript"/>
              </w:rPr>
              <w:t>(2)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CECFF"/>
          </w:tcPr>
          <w:p>
            <w:pPr>
              <w:ind w:left="20"/>
              <w:spacing w:after="0"/>
              <w:rPr>
                <w:sz w:val="20"/>
                <w:szCs w:val="20"/>
                <w:color w:val="auto"/>
              </w:rPr>
            </w:pPr>
            <w:r>
              <w:rPr>
                <w:rFonts w:ascii="Arial" w:cs="Arial" w:eastAsia="Arial" w:hAnsi="Arial"/>
                <w:sz w:val="18"/>
                <w:szCs w:val="18"/>
                <w:color w:val="auto"/>
              </w:rPr>
              <w:t>Employee compensation</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Legal fees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22,746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-334010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-334010</wp:posOffset>
            </wp:positionV>
            <wp:extent cx="857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ind w:left="220" w:hanging="212"/>
        <w:spacing w:after="0" w:line="216" w:lineRule="auto"/>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 regarding the Company’s finance leases.</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the legal settlement accrual as of June 30, 2023.</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receivables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related party receivables of approximately $1.6 million and $1.1 million as of June 30, 2023 and December 31, 2022, respectively, related to expenses paid on behalf of the Data Center LLCs for which it expects to be reimbursed.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 deposits on equipment and related party payables</w:t>
      </w:r>
    </w:p>
    <w:p>
      <w:pPr>
        <w:spacing w:after="0" w:line="1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entered into two agreements with Bitfury USA Inc. (“Bitfury USA”), made under, and as a part of, the Master Services and Supply Agreement to purchase BBACs. Additionally, Bitfury USA contracted with third-party vendors for the purchase of equipment and the receipt of services related to Cipher’s future mining operations. Pursuant to one of these arrangements between Bitfury USA and a third-party vendor, Paradigm Controls of Texas, LLC (“Paradigm”), the Company made payments directly to Paradigm in place of Bitfury USA, in respect of manufacturing services for BBACs, totaling approximately $5.8 million during the six months ended June 30, 2023 and the Company’s obligations to Bitfury USA under the Master Services and Supply Agreement were reduced by the same amount.</w:t>
      </w:r>
    </w:p>
    <w:p>
      <w:pPr>
        <w:spacing w:after="0" w:line="19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As of December 31, 2022, in relation to the Company assisting WindHQ with the liquidation of some of WindHQ’s bitcoin holdings, the Company had approximately $1.2 million of bitcoin and approximately $0.3 million of proceeds received, but not yet transferred to WindHQ, respectively, recorded in accounts payable, related party on its consolidated balance sheet. During the six months ended June 30, 2023, all of the bitcoin held by the Company on behalf of WindHQ was liquidated and all proceeds received from the liquidation were forwarded to WindHQ, leaving no remaining amount payable to WindHQ in accounts payable, related party as of June 30, 2023 on the Company’s unaudited condensed consolidated balance sheet.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Luminant Lease Agreement</w:t>
      </w:r>
    </w:p>
    <w:p>
      <w:pPr>
        <w:spacing w:after="0" w:line="1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entered into a series of agreements with affiliates of Luminant, including the Lease Agreement dated June 29, 2021, with amendment and restatement on July 9, 2021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$15.0 million).</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Combined Luminant Lease Agreement commenced on November 22, 2022 and has an initial term of five years, with renewal provisions that are aligned with the Luminant Power Agreement. Despite lease commencement in November 2022, the Company has not been required by Luminant to make any lease payments for the substation, therefore the Company is continuing to accrue amounts due under the Combined Luminant Lease Agreement in accrued expenses and other current liabilities on its unaudited condensed consolidated balance sheet. The Company expects to begin making monthly lease payments in August 2023. At the end of the lease term for the Interconnection Electrical Facilities, the substation will be sold back to Luminant’s affiliate, Vistra Operations Company, LLC at a price to be determined based upon bids obtained in the secondary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Canaan Agreement</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Organization</w:t>
      </w:r>
      <w:r>
        <w:rPr>
          <w:rFonts w:ascii="Arial" w:cs="Arial" w:eastAsia="Arial" w:hAnsi="Arial"/>
          <w:sz w:val="16"/>
          <w:szCs w:val="16"/>
          <w:color w:val="auto"/>
        </w:rPr>
        <w:t>, the Company entered into the Canaan Agreement to purchase 11,000 new A1346 model miners, all of which were received prior to June 30, 2023 and have been installed at the Odessa Facility. The Company was required to pay a total of approximately $4.1 million prior to delivery of the miners. The Company will also make six monthly installment payments of approximately $1.7 million each month, through November 2023, at which time the Company will obtain title to the miners. The Company determined that the Canaan Agreement contains embedded leases as defined in ASC 842, one for each batch of miners delivered. Based on the terms of the arrangement and intent of the parties, the Company has classified the leases of the Canaan miners as finance leases. Each lease commences upon delivery of the associated batch, as the delivery date represents the date upon which the Company obtains the right to use the assets for a period of time in exchange for consideration. As a result of all 11,000 miners being delivered to the Company in June 2023, the Company determined there will effectively be a single lease commencement date for all of the underlying right-of-use assets. The lease term for the Canaan miners will be six months, aligning with the final payment and title transfer date. Upon title transfer, the Company will continue depreciating the residual value of the miners over their remaining useful life.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headquarters lease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entered into an operating lease for office space located in New York. The lease has an initial term of 64 months and commenced on February 1, 2022. The lease does not provide the Company with renewal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lease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Company’s lease expenses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6"/>
                <w:szCs w:val="16"/>
                <w:b w:val="1"/>
                <w:bCs w:val="1"/>
                <w:color w:val="auto"/>
                <w:w w:val="98"/>
              </w:rPr>
              <w:t>Six Months Ended June 30,</w:t>
            </w:r>
          </w:p>
        </w:tc>
        <w:tc>
          <w:tcPr>
            <w:tcW w:w="140" w:type="dxa"/>
            <w:vAlign w:val="bottom"/>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9"/>
                <w:szCs w:val="19"/>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52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Finance leases:</w:t>
            </w:r>
          </w:p>
        </w:tc>
        <w:tc>
          <w:tcPr>
            <w:tcW w:w="760" w:type="dxa"/>
            <w:vAlign w:val="bottom"/>
            <w:tcBorders>
              <w:top w:val="single" w:sz="8" w:color="auto"/>
            </w:tcBorders>
            <w:shd w:val="clear" w:color="auto" w:fill="CCECFF"/>
          </w:tcPr>
          <w:p>
            <w:pPr>
              <w:spacing w:after="0"/>
              <w:rPr>
                <w:sz w:val="21"/>
                <w:szCs w:val="21"/>
                <w:color w:val="auto"/>
              </w:rPr>
            </w:pPr>
          </w:p>
        </w:tc>
        <w:tc>
          <w:tcPr>
            <w:tcW w:w="42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88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92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920" w:type="dxa"/>
            <w:vAlign w:val="bottom"/>
            <w:tcBorders>
              <w:top w:val="single" w:sz="8" w:color="auto"/>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4"/>
                <w:szCs w:val="24"/>
                <w:color w:val="auto"/>
                <w:vertAlign w:val="superscript"/>
              </w:rPr>
              <w:t>(1)</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1,027</w:t>
            </w:r>
          </w:p>
        </w:tc>
        <w:tc>
          <w:tcPr>
            <w:tcW w:w="12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1,816</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43"/>
        </w:trPr>
        <w:tc>
          <w:tcPr>
            <w:tcW w:w="5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Interest on lease liability</w:t>
            </w:r>
          </w:p>
        </w:tc>
        <w:tc>
          <w:tcPr>
            <w:tcW w:w="76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477</w:t>
            </w:r>
          </w:p>
        </w:tc>
        <w:tc>
          <w:tcPr>
            <w:tcW w:w="38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878</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Total finance lease expense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1,504</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2,694</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52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leases:</w:t>
            </w:r>
          </w:p>
        </w:tc>
        <w:tc>
          <w:tcPr>
            <w:tcW w:w="7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8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371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0"/>
                <w:szCs w:val="20"/>
                <w:color w:val="auto"/>
              </w:rPr>
            </w:pPr>
          </w:p>
        </w:tc>
      </w:tr>
      <w:tr>
        <w:trPr>
          <w:trHeight w:val="249"/>
        </w:trPr>
        <w:tc>
          <w:tcPr>
            <w:tcW w:w="52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Variable lease cost</w:t>
            </w:r>
          </w:p>
        </w:tc>
        <w:tc>
          <w:tcPr>
            <w:tcW w:w="760" w:type="dxa"/>
            <w:vAlign w:val="bottom"/>
            <w:tcBorders>
              <w:bottom w:val="single" w:sz="8" w:color="auto"/>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bottom w:val="single" w:sz="8" w:color="auto"/>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6"/>
        </w:trPr>
        <w:tc>
          <w:tcPr>
            <w:tcW w:w="5240" w:type="dxa"/>
            <w:vAlign w:val="bottom"/>
          </w:tcPr>
          <w:p>
            <w:pPr>
              <w:ind w:left="200"/>
              <w:spacing w:after="0"/>
              <w:rPr>
                <w:sz w:val="20"/>
                <w:szCs w:val="20"/>
                <w:color w:val="auto"/>
              </w:rPr>
            </w:pPr>
            <w:r>
              <w:rPr>
                <w:rFonts w:ascii="Arial" w:cs="Arial" w:eastAsia="Arial" w:hAnsi="Arial"/>
                <w:sz w:val="18"/>
                <w:szCs w:val="18"/>
                <w:color w:val="auto"/>
              </w:rPr>
              <w:t>Total operating lease expense</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371</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20"/>
                <w:szCs w:val="20"/>
                <w:color w:val="auto"/>
              </w:rPr>
            </w:pPr>
          </w:p>
        </w:tc>
      </w:tr>
      <w:tr>
        <w:trPr>
          <w:trHeight w:val="276"/>
        </w:trPr>
        <w:tc>
          <w:tcPr>
            <w:tcW w:w="52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lease expense</w:t>
            </w:r>
          </w:p>
        </w:tc>
        <w:tc>
          <w:tcPr>
            <w:tcW w:w="760" w:type="dxa"/>
            <w:vAlign w:val="bottom"/>
            <w:tcBorders>
              <w:bottom w:val="single" w:sz="8" w:color="auto"/>
            </w:tcBorders>
            <w:shd w:val="clear" w:color="auto" w:fill="CCECFF"/>
          </w:tcPr>
          <w:p>
            <w:pPr>
              <w:jc w:val="right"/>
              <w:ind w:right="57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8"/>
              </w:rPr>
              <w:t>1,971</w:t>
            </w:r>
          </w:p>
        </w:tc>
        <w:tc>
          <w:tcPr>
            <w:tcW w:w="380" w:type="dxa"/>
            <w:vAlign w:val="bottom"/>
            <w:tcBorders>
              <w:bottom w:val="single" w:sz="8" w:color="CCECFF"/>
            </w:tcBorders>
            <w:shd w:val="clear" w:color="auto" w:fill="CCECFF"/>
          </w:tcPr>
          <w:p>
            <w:pPr>
              <w:spacing w:after="0"/>
              <w:rPr>
                <w:sz w:val="24"/>
                <w:szCs w:val="24"/>
                <w:color w:val="auto"/>
              </w:rPr>
            </w:pPr>
          </w:p>
        </w:tc>
        <w:tc>
          <w:tcPr>
            <w:tcW w:w="880" w:type="dxa"/>
            <w:vAlign w:val="bottom"/>
            <w:tcBorders>
              <w:bottom w:val="single" w:sz="8" w:color="auto"/>
            </w:tcBorders>
            <w:shd w:val="clear" w:color="auto" w:fill="CCECFF"/>
          </w:tcPr>
          <w:p>
            <w:pPr>
              <w:jc w:val="right"/>
              <w:ind w:right="6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3"/>
              </w:rPr>
              <w:t>371</w:t>
            </w:r>
          </w:p>
        </w:tc>
        <w:tc>
          <w:tcPr>
            <w:tcW w:w="3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3,615</w:t>
            </w:r>
          </w:p>
        </w:tc>
        <w:tc>
          <w:tcPr>
            <w:tcW w:w="3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bottom w:val="single" w:sz="8" w:color="CCECFF"/>
            </w:tcBorders>
            <w:shd w:val="clear" w:color="auto" w:fill="CCECFF"/>
          </w:tcPr>
          <w:p>
            <w:pPr>
              <w:spacing w:after="0"/>
              <w:rPr>
                <w:sz w:val="24"/>
                <w:szCs w:val="24"/>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__________</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-1122680</wp:posOffset>
            </wp:positionV>
            <wp:extent cx="8572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-1122680</wp:posOffset>
            </wp:positionV>
            <wp:extent cx="8572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-1122680</wp:posOffset>
            </wp:positionV>
            <wp:extent cx="8572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-1122680</wp:posOffset>
            </wp:positionV>
            <wp:extent cx="8572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-497205</wp:posOffset>
            </wp:positionV>
            <wp:extent cx="857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-497205</wp:posOffset>
            </wp:positionV>
            <wp:extent cx="857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-497205</wp:posOffset>
            </wp:positionV>
            <wp:extent cx="857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-497205</wp:posOffset>
            </wp:positionV>
            <wp:extent cx="857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-171450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-154305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-171450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-154305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-171450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-154305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-171450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-154305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540" w:right="5100" w:hanging="5532"/>
        <w:spacing w:after="0" w:line="558" w:lineRule="auto"/>
        <w:tabs>
          <w:tab w:leader="none" w:pos="19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Amortization of finance lease ROU assets is included within depreciation expense.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variable lease costs during any of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the Company’s leases is shown below (dollar 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6"/>
              </w:rPr>
              <w:t>Three Months Ended June 30,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gridSpan w:val="9"/>
          </w:tcPr>
          <w:p>
            <w:pPr>
              <w:ind w:left="42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5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cash flows - operating lease</w:t>
            </w: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396</w:t>
            </w:r>
          </w:p>
        </w:tc>
        <w:tc>
          <w:tcPr>
            <w:tcW w:w="380" w:type="dxa"/>
            <w:vAlign w:val="bottom"/>
            <w:shd w:val="clear" w:color="auto" w:fill="CCECFF"/>
          </w:tcPr>
          <w:p>
            <w:pPr>
              <w:spacing w:after="0"/>
              <w:rPr>
                <w:sz w:val="21"/>
                <w:szCs w:val="21"/>
                <w:color w:val="auto"/>
              </w:rPr>
            </w:pPr>
          </w:p>
        </w:tc>
        <w:tc>
          <w:tcPr>
            <w:tcW w:w="580" w:type="dxa"/>
            <w:vAlign w:val="bottom"/>
            <w:tcBorders>
              <w:top w:val="single" w:sz="8" w:color="auto"/>
            </w:tcBorders>
            <w:shd w:val="clear" w:color="auto" w:fill="CCECFF"/>
          </w:tcPr>
          <w:p>
            <w:pPr>
              <w:jc w:val="right"/>
              <w:ind w:right="3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700" w:type="dxa"/>
            <w:vAlign w:val="bottom"/>
            <w:tcBorders>
              <w:top w:val="single" w:sz="8" w:color="auto"/>
            </w:tcBorders>
            <w:shd w:val="clear" w:color="auto" w:fill="CCECFF"/>
          </w:tcPr>
          <w:p>
            <w:pPr>
              <w:jc w:val="right"/>
              <w:ind w:right="51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6"/>
              </w:rPr>
              <w:t>791</w:t>
            </w: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w w:val="94"/>
              </w:rPr>
              <w:t>June 30, 2023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Arial" w:cs="Arial" w:eastAsia="Arial" w:hAnsi="Arial"/>
                <w:sz w:val="16"/>
                <w:szCs w:val="16"/>
                <w:b w:val="1"/>
                <w:bCs w:val="1"/>
                <w:color w:val="auto"/>
              </w:rPr>
              <w:t>December 31, 2022</w:t>
            </w:r>
          </w:p>
        </w:tc>
      </w:tr>
      <w:tr>
        <w:trPr>
          <w:trHeight w:val="243"/>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w w:val="98"/>
              </w:rPr>
              <w:t>Weighted-average remaining lease term – finance lease (in years)</w:t>
            </w:r>
          </w:p>
        </w:tc>
        <w:tc>
          <w:tcPr>
            <w:tcW w:w="22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32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20" w:type="dxa"/>
            <w:vAlign w:val="bottom"/>
            <w:tcBorders>
              <w:top w:val="single" w:sz="8" w:color="auto"/>
            </w:tcBorders>
            <w:shd w:val="clear" w:color="auto" w:fill="CCECFF"/>
          </w:tcPr>
          <w:p>
            <w:pPr>
              <w:spacing w:after="0"/>
              <w:rPr>
                <w:sz w:val="21"/>
                <w:szCs w:val="21"/>
                <w:color w:val="auto"/>
              </w:rPr>
            </w:pPr>
          </w:p>
        </w:tc>
        <w:tc>
          <w:tcPr>
            <w:tcW w:w="280" w:type="dxa"/>
            <w:vAlign w:val="bottom"/>
            <w:tcBorders>
              <w:top w:val="single" w:sz="8" w:color="auto"/>
            </w:tcBorders>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C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w w:val="95"/>
              </w:rPr>
              <w:t>Weighted-average remaining lease term – operating lease (in years)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Weighted-average discount rate – finance lease</w:t>
            </w:r>
          </w:p>
        </w:tc>
        <w:tc>
          <w:tcPr>
            <w:tcW w:w="22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380" w:type="dxa"/>
            <w:vAlign w:val="bottom"/>
            <w:shd w:val="clear" w:color="auto" w:fill="CCECFF"/>
          </w:tcPr>
          <w:p>
            <w:pPr>
              <w:spacing w:after="0"/>
              <w:rPr>
                <w:sz w:val="22"/>
                <w:szCs w:val="22"/>
                <w:color w:val="auto"/>
              </w:rPr>
            </w:pPr>
          </w:p>
        </w:tc>
        <w:tc>
          <w:tcPr>
            <w:tcW w:w="58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26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11.0 %</w:t>
            </w:r>
          </w:p>
        </w:tc>
        <w:tc>
          <w:tcPr>
            <w:tcW w:w="30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11.0 %</w:t>
            </w:r>
          </w:p>
        </w:tc>
        <w:tc>
          <w:tcPr>
            <w:tcW w:w="20" w:type="dxa"/>
            <w:vAlign w:val="bottom"/>
          </w:tcPr>
          <w:p>
            <w:pPr>
              <w:spacing w:after="0"/>
              <w:rPr>
                <w:sz w:val="22"/>
                <w:szCs w:val="22"/>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10.9 %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Pr>
          <w:p>
            <w:pPr>
              <w:spacing w:after="0"/>
              <w:rPr>
                <w:sz w:val="20"/>
                <w:szCs w:val="20"/>
                <w:color w:val="auto"/>
              </w:rPr>
            </w:pPr>
          </w:p>
        </w:tc>
      </w:tr>
      <w:tr>
        <w:trPr>
          <w:trHeight w:val="249"/>
        </w:trPr>
        <w:tc>
          <w:tcPr>
            <w:tcW w:w="5220" w:type="dxa"/>
            <w:vAlign w:val="bottom"/>
            <w:shd w:val="clear" w:color="auto" w:fill="CCECFF"/>
          </w:tcPr>
          <w:p>
            <w:pPr>
              <w:ind w:left="20"/>
              <w:spacing w:after="0" w:line="249" w:lineRule="exact"/>
              <w:rPr>
                <w:sz w:val="20"/>
                <w:szCs w:val="20"/>
                <w:color w:val="auto"/>
              </w:rPr>
            </w:pPr>
            <w:r>
              <w:rPr>
                <w:rFonts w:ascii="Arial" w:cs="Arial" w:eastAsia="Arial" w:hAnsi="Arial"/>
                <w:sz w:val="18"/>
                <w:szCs w:val="18"/>
                <w:color w:val="auto"/>
              </w:rPr>
              <w:t xml:space="preserve">Finance lease ROU assets </w:t>
            </w:r>
            <w:r>
              <w:rPr>
                <w:rFonts w:ascii="Arial" w:cs="Arial" w:eastAsia="Arial" w:hAnsi="Arial"/>
                <w:sz w:val="24"/>
                <w:szCs w:val="24"/>
                <w:color w:val="auto"/>
                <w:vertAlign w:val="superscript"/>
              </w:rPr>
              <w:t>(1)</w:t>
            </w:r>
          </w:p>
        </w:tc>
        <w:tc>
          <w:tcPr>
            <w:tcW w:w="22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1280" w:type="dxa"/>
            <w:vAlign w:val="bottom"/>
            <w:gridSpan w:val="3"/>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26,868</w:t>
            </w:r>
          </w:p>
        </w:tc>
        <w:tc>
          <w:tcPr>
            <w:tcW w:w="180" w:type="dxa"/>
            <w:vAlign w:val="bottom"/>
            <w:shd w:val="clear" w:color="auto" w:fill="CCECFF"/>
          </w:tcPr>
          <w:p>
            <w:pPr>
              <w:spacing w:after="0"/>
              <w:rPr>
                <w:sz w:val="21"/>
                <w:szCs w:val="21"/>
                <w:color w:val="auto"/>
              </w:rPr>
            </w:pPr>
          </w:p>
        </w:tc>
        <w:tc>
          <w:tcPr>
            <w:tcW w:w="4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14,471</w:t>
            </w:r>
          </w:p>
        </w:tc>
        <w:tc>
          <w:tcPr>
            <w:tcW w:w="140" w:type="dxa"/>
            <w:vAlign w:val="bottom"/>
            <w:shd w:val="clear" w:color="auto" w:fill="CCEC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4" w:lineRule="exact"/>
        <w:rPr>
          <w:sz w:val="20"/>
          <w:szCs w:val="20"/>
          <w:color w:val="auto"/>
        </w:rPr>
      </w:pPr>
    </w:p>
    <w:p>
      <w:pPr>
        <w:ind w:left="300" w:right="400" w:hanging="292"/>
        <w:spacing w:after="0" w:line="233" w:lineRule="auto"/>
        <w:tabs>
          <w:tab w:leader="none" w:pos="221"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As of June 30, 2023 and December 31, 2022, the Company had recorded accumulated amortization of approximately $2.3 million and $0.5 million, respectively, for the finance lease ROU assets. Finance lease ROU assets are recorded within property and equipment, net on the Company’s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future minimum lease payments during the next five years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0"/>
              </w:rPr>
              <w:t>Finance Lease</w:t>
            </w:r>
          </w:p>
        </w:tc>
        <w:tc>
          <w:tcPr>
            <w:tcW w:w="18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2"/>
              </w:rPr>
              <w:t>Operating Lease</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43"/>
        </w:trPr>
        <w:tc>
          <w:tcPr>
            <w:tcW w:w="6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Remaining Period Ended December 31, 2023</w:t>
            </w: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10,511</w:t>
            </w:r>
          </w:p>
        </w:tc>
        <w:tc>
          <w:tcPr>
            <w:tcW w:w="420" w:type="dxa"/>
            <w:vAlign w:val="bottom"/>
            <w:shd w:val="clear" w:color="auto" w:fill="CCECFF"/>
          </w:tcPr>
          <w:p>
            <w:pPr>
              <w:spacing w:after="0"/>
              <w:rPr>
                <w:sz w:val="21"/>
                <w:szCs w:val="21"/>
                <w:color w:val="auto"/>
              </w:rPr>
            </w:pPr>
          </w:p>
        </w:tc>
        <w:tc>
          <w:tcPr>
            <w:tcW w:w="500" w:type="dxa"/>
            <w:vAlign w:val="bottom"/>
            <w:tcBorders>
              <w:top w:val="single" w:sz="8" w:color="auto"/>
            </w:tcBorders>
            <w:shd w:val="clear" w:color="auto" w:fill="CCEC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790</w:t>
            </w:r>
          </w:p>
        </w:tc>
        <w:tc>
          <w:tcPr>
            <w:tcW w:w="44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CECFF"/>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4,068</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5,649</w:t>
            </w:r>
          </w:p>
        </w:tc>
        <w:tc>
          <w:tcPr>
            <w:tcW w:w="140" w:type="dxa"/>
            <w:vAlign w:val="bottom"/>
          </w:tcPr>
          <w:p>
            <w:pPr>
              <w:spacing w:after="0"/>
              <w:rPr>
                <w:sz w:val="20"/>
                <w:szCs w:val="20"/>
                <w:color w:val="auto"/>
              </w:rPr>
            </w:pPr>
          </w:p>
        </w:tc>
      </w:tr>
      <w:tr>
        <w:trPr>
          <w:trHeight w:val="249"/>
        </w:trPr>
        <w:tc>
          <w:tcPr>
            <w:tcW w:w="6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Year Ended December 31, 2025</w:t>
            </w: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4,068</w:t>
            </w:r>
          </w:p>
        </w:tc>
        <w:tc>
          <w:tcPr>
            <w:tcW w:w="420" w:type="dxa"/>
            <w:vAlign w:val="bottom"/>
            <w:shd w:val="clear" w:color="auto" w:fill="CCECFF"/>
          </w:tcPr>
          <w:p>
            <w:pPr>
              <w:spacing w:after="0"/>
              <w:rPr>
                <w:sz w:val="21"/>
                <w:szCs w:val="21"/>
                <w:color w:val="auto"/>
              </w:rPr>
            </w:pPr>
          </w:p>
        </w:tc>
        <w:tc>
          <w:tcPr>
            <w:tcW w:w="5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w:t>
            </w:r>
          </w:p>
        </w:tc>
        <w:tc>
          <w:tcPr>
            <w:tcW w:w="4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5,649</w:t>
            </w:r>
          </w:p>
        </w:tc>
        <w:tc>
          <w:tcPr>
            <w:tcW w:w="140" w:type="dxa"/>
            <w:vAlign w:val="bottom"/>
            <w:shd w:val="clear" w:color="auto" w:fill="CCECFF"/>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Year Ended December 31, 2026</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4,068</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5,649</w:t>
            </w:r>
          </w:p>
        </w:tc>
        <w:tc>
          <w:tcPr>
            <w:tcW w:w="140" w:type="dxa"/>
            <w:vAlign w:val="bottom"/>
          </w:tcPr>
          <w:p>
            <w:pPr>
              <w:spacing w:after="0"/>
              <w:rPr>
                <w:sz w:val="20"/>
                <w:szCs w:val="20"/>
                <w:color w:val="auto"/>
              </w:rPr>
            </w:pPr>
          </w:p>
        </w:tc>
      </w:tr>
      <w:tr>
        <w:trPr>
          <w:trHeight w:val="249"/>
        </w:trPr>
        <w:tc>
          <w:tcPr>
            <w:tcW w:w="6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Year Ended December 31, 2027</w:t>
            </w:r>
          </w:p>
        </w:tc>
        <w:tc>
          <w:tcPr>
            <w:tcW w:w="160" w:type="dxa"/>
            <w:vAlign w:val="bottom"/>
            <w:tcBorders>
              <w:bottom w:val="single" w:sz="8" w:color="auto"/>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2,712</w:t>
            </w:r>
          </w:p>
        </w:tc>
        <w:tc>
          <w:tcPr>
            <w:tcW w:w="420" w:type="dxa"/>
            <w:vAlign w:val="bottom"/>
            <w:tcBorders>
              <w:bottom w:val="single" w:sz="8" w:color="CCECFF"/>
            </w:tcBorders>
            <w:shd w:val="clear" w:color="auto" w:fill="CCECFF"/>
          </w:tcPr>
          <w:p>
            <w:pPr>
              <w:spacing w:after="0"/>
              <w:rPr>
                <w:sz w:val="21"/>
                <w:szCs w:val="21"/>
                <w:color w:val="auto"/>
              </w:rPr>
            </w:pPr>
          </w:p>
        </w:tc>
        <w:tc>
          <w:tcPr>
            <w:tcW w:w="50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659</w:t>
            </w:r>
          </w:p>
        </w:tc>
        <w:tc>
          <w:tcPr>
            <w:tcW w:w="4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3,371</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25,427</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31,619</w:t>
            </w:r>
          </w:p>
        </w:tc>
        <w:tc>
          <w:tcPr>
            <w:tcW w:w="140" w:type="dxa"/>
            <w:vAlign w:val="bottom"/>
          </w:tcPr>
          <w:p>
            <w:pPr>
              <w:spacing w:after="0"/>
              <w:rPr>
                <w:sz w:val="20"/>
                <w:szCs w:val="20"/>
                <w:color w:val="auto"/>
              </w:rPr>
            </w:pPr>
          </w:p>
        </w:tc>
      </w:tr>
      <w:tr>
        <w:trPr>
          <w:trHeight w:val="249"/>
        </w:trPr>
        <w:tc>
          <w:tcPr>
            <w:tcW w:w="6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present value discount</w:t>
            </w:r>
          </w:p>
        </w:tc>
        <w:tc>
          <w:tcPr>
            <w:tcW w:w="16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340"/>
              <w:spacing w:after="0"/>
              <w:rPr>
                <w:sz w:val="20"/>
                <w:szCs w:val="20"/>
                <w:color w:val="auto"/>
              </w:rPr>
            </w:pPr>
            <w:r>
              <w:rPr>
                <w:rFonts w:ascii="Arial" w:cs="Arial" w:eastAsia="Arial" w:hAnsi="Arial"/>
                <w:sz w:val="18"/>
                <w:szCs w:val="18"/>
                <w:color w:val="auto"/>
              </w:rPr>
              <w:t>(3,402 )</w:t>
            </w:r>
          </w:p>
        </w:tc>
        <w:tc>
          <w:tcPr>
            <w:tcW w:w="50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rPr>
              <w:t>(1,169 )</w:t>
            </w:r>
          </w:p>
        </w:tc>
        <w:tc>
          <w:tcPr>
            <w:tcW w:w="18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(4,571 )</w:t>
            </w:r>
          </w:p>
        </w:tc>
      </w:tr>
      <w:tr>
        <w:trPr>
          <w:trHeight w:val="237"/>
        </w:trPr>
        <w:tc>
          <w:tcPr>
            <w:tcW w:w="6520" w:type="dxa"/>
            <w:vAlign w:val="bottom"/>
            <w:tcBorders>
              <w:top w:val="single" w:sz="8" w:color="CCECFF"/>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22,025</w:t>
            </w:r>
          </w:p>
        </w:tc>
        <w:tc>
          <w:tcPr>
            <w:tcW w:w="420" w:type="dxa"/>
            <w:vAlign w:val="bottom"/>
            <w:tcBorders>
              <w:top w:val="single" w:sz="8" w:color="CCECFF"/>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440" w:type="dxa"/>
            <w:vAlign w:val="bottom"/>
            <w:tcBorders>
              <w:top w:val="single" w:sz="8" w:color="CCEC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27,048</w:t>
            </w:r>
          </w:p>
        </w:tc>
        <w:tc>
          <w:tcPr>
            <w:tcW w:w="140" w:type="dxa"/>
            <w:vAlign w:val="bottom"/>
            <w:tcBorders>
              <w:top w:val="single" w:sz="8" w:color="CCECFF"/>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-505460</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-505460</wp:posOffset>
            </wp:positionV>
            <wp:extent cx="8572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8572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June 30, 2023. The Company does not anticipate recognizing any significant losses relating to these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w:t>
      </w:r>
    </w:p>
    <w:p>
      <w:pPr>
        <w:sectPr>
          <w:pgSz w:w="11900" w:h="16838" w:orient="portrait"/>
          <w:cols w:equalWidth="0" w:num="1">
            <w:col w:w="11260"/>
          </w:cols>
          <w:pgMar w:left="320" w:top="121" w:right="31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Luminant Power Agreement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18, 2022, Luminant filed suit against CMTI in the 95</w:t>
      </w:r>
      <w:r>
        <w:rPr>
          <w:rFonts w:ascii="Arial" w:cs="Arial" w:eastAsia="Arial" w:hAnsi="Arial"/>
          <w:sz w:val="10"/>
          <w:szCs w:val="10"/>
          <w:color w:val="auto"/>
        </w:rPr>
        <w:t>th</w:t>
      </w:r>
      <w:r>
        <w:rPr>
          <w:rFonts w:ascii="Arial" w:cs="Arial" w:eastAsia="Arial" w:hAnsi="Arial"/>
          <w:sz w:val="17"/>
          <w:szCs w:val="17"/>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Company’s facility. Luminant contends that such payments were mistaken because, although voluntarily made by Luminant, they were not actually due under the terms of the Luminant Power Agreement, as amended. The Company filed its answer on January 17, 2023, denying any liability to Luminant. Cipher has not received payment from Luminant for electricity sold in the ERCOT market in September 2022 and October 2022.</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wholly disputes the claims made by Luminant and intends to contest the case vigorously. The parties have exchanged basic discovery disclosures, and discovery and motion practice have not substantively commenced. An initial trial date has been set. The parties continue to discuss a potential resolution and, while the Company does not yet know how or when this matter will be resolved, it has established a $2.0 million accrual for the cost of resolving the claims.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2023, 510,000,000 shares with a par value of $0.001 per share are authorized, of which, 500,000,000 shares are designated as Common Stock and 10,000,000 shares are designated as preferred stock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the six months ended June 30, 2023, the Company issued 2,473,759 shares of Common Stock to officers, employees and consultants in settlement of an equal number of fully vested RSUs awarded to these individuals, and 248,358 shares of Common Stock to directors, pursuant to grants made under the Cipher Mining Inc. 2021 Incentive Award Plan (the “Incentive Award Plan”). The Company immediately repurchased 838,388 of these shares of Common Stock from officers and employees, with a fair value of approximately $1.1 million, to cover taxes related to the settlement of vested RSUs, as permitted by the Incentive Award Plan. The Company placed the repurchased shares in treasury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 the market offering agreement (the “Prior Sales Agreement”) with H.C. Wainwright &amp; Co., LLC (the “Prior Agent”), under which the Company may, from time to time, sell shares of its Common Stock having an aggregate offering price of up to $250.0 million in “at the market” offerings through the Prior Agent. During the six months ended June 30, 2023, in connection with the Prior Sales Agreement, the Company received proceeds of approximately $2.7 million, net of issuance costs, from the sale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978,207 shares of common stock, with an average fair value of $2.78 per share. Effective August 1, 2023, the Company terminated the Prior Sales Agreement. On August 3, 2023, the Company entered into a Controlled Equity OfferingSM Sales Agreement (the “Sales Agreement”) with Cantor Fitzgerald &amp; Co., Canaccord Genuity LLC, Needham &amp; Company, LLC and Compass Point Research &amp; Trading, LLC.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additional information related to the Sales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WARRANTS</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both June 30, 2023 and December 31, 2022.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2023, this resulted in an increase of 7,426,559 shares of Common Stock available for issuance under the Incentive Award Plan. As of June 30, 2023, 5,694,657 shares of Common Stock were available for issuance under the Incentive Award Plan.</w:t>
      </w:r>
    </w:p>
    <w:p>
      <w:pPr>
        <w:spacing w:after="0" w:line="1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recognized total share-based compensation expense in general and administrative expenses on the unaudited condensed consolidated statements of operations for the following categories of awards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3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Service-based RSUs</w:t>
            </w: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40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40" w:type="dxa"/>
            <w:vAlign w:val="bottom"/>
            <w:shd w:val="clear" w:color="auto" w:fill="CCEE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44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140" w:type="dxa"/>
            <w:vAlign w:val="bottom"/>
            <w:shd w:val="clear" w:color="auto" w:fill="CCEEFF"/>
          </w:tcPr>
          <w:p>
            <w:pPr>
              <w:spacing w:after="0"/>
              <w:rPr>
                <w:sz w:val="21"/>
                <w:szCs w:val="2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3,378</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6,720</w:t>
            </w:r>
          </w:p>
        </w:tc>
        <w:tc>
          <w:tcPr>
            <w:tcW w:w="140" w:type="dxa"/>
            <w:vAlign w:val="bottom"/>
          </w:tcPr>
          <w:p>
            <w:pPr>
              <w:spacing w:after="0"/>
              <w:rPr>
                <w:sz w:val="20"/>
                <w:szCs w:val="20"/>
                <w:color w:val="auto"/>
              </w:rPr>
            </w:pPr>
          </w:p>
        </w:tc>
      </w:tr>
      <w:tr>
        <w:trPr>
          <w:trHeight w:val="249"/>
        </w:trPr>
        <w:tc>
          <w:tcPr>
            <w:tcW w:w="3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Common stock, fully-vested</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6"/>
        </w:trPr>
        <w:tc>
          <w:tcPr>
            <w:tcW w:w="3940" w:type="dxa"/>
            <w:vAlign w:val="bottom"/>
          </w:tcPr>
          <w:p>
            <w:pPr>
              <w:ind w:left="200"/>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9,178</w:t>
            </w:r>
          </w:p>
        </w:tc>
        <w:tc>
          <w:tcPr>
            <w:tcW w:w="13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10,064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17,988</w:t>
            </w: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19,578</w:t>
            </w:r>
          </w:p>
        </w:tc>
        <w:tc>
          <w:tcPr>
            <w:tcW w:w="140" w:type="dxa"/>
            <w:vAlign w:val="bottom"/>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-187960</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-187960</wp:posOffset>
            </wp:positionV>
            <wp:extent cx="8572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857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Service-based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unvested Service-based RSU activity for the six months ended June 30, 2023 is shown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 Average Grant Date</w:t>
            </w:r>
          </w:p>
        </w:tc>
        <w:tc>
          <w:tcPr>
            <w:tcW w:w="140" w:type="dxa"/>
            <w:vAlign w:val="bottom"/>
          </w:tcPr>
          <w:p>
            <w:pPr>
              <w:spacing w:after="0"/>
              <w:rPr>
                <w:sz w:val="17"/>
                <w:szCs w:val="17"/>
                <w:color w:val="auto"/>
              </w:rPr>
            </w:pPr>
          </w:p>
        </w:tc>
      </w:tr>
      <w:tr>
        <w:trPr>
          <w:trHeight w:val="223"/>
        </w:trPr>
        <w:tc>
          <w:tcPr>
            <w:tcW w:w="5760" w:type="dxa"/>
            <w:vAlign w:val="bottom"/>
          </w:tcPr>
          <w:p>
            <w:pPr>
              <w:spacing w:after="0"/>
              <w:rPr>
                <w:sz w:val="19"/>
                <w:szCs w:val="19"/>
                <w:color w:val="auto"/>
              </w:rPr>
            </w:pPr>
          </w:p>
        </w:tc>
        <w:tc>
          <w:tcPr>
            <w:tcW w:w="2960" w:type="dxa"/>
            <w:vAlign w:val="bottom"/>
            <w:gridSpan w:val="2"/>
          </w:tcPr>
          <w:p>
            <w:pPr>
              <w:jc w:val="right"/>
              <w:ind w:right="1120"/>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9"/>
                <w:szCs w:val="19"/>
                <w:color w:val="auto"/>
              </w:rPr>
            </w:pPr>
          </w:p>
        </w:tc>
        <w:tc>
          <w:tcPr>
            <w:tcW w:w="2260" w:type="dxa"/>
            <w:vAlign w:val="bottom"/>
          </w:tcPr>
          <w:p>
            <w:pPr>
              <w:jc w:val="right"/>
              <w:ind w:right="733"/>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r>
      <w:tr>
        <w:trPr>
          <w:trHeight w:val="243"/>
        </w:trPr>
        <w:tc>
          <w:tcPr>
            <w:tcW w:w="57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Unvested at January 1, 2023</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14,441,044</w:t>
            </w:r>
          </w:p>
        </w:tc>
        <w:tc>
          <w:tcPr>
            <w:tcW w:w="5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21"/>
                <w:szCs w:val="2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Granted</w:t>
            </w:r>
          </w:p>
        </w:tc>
        <w:tc>
          <w:tcPr>
            <w:tcW w:w="2420" w:type="dxa"/>
            <w:vAlign w:val="bottom"/>
          </w:tcPr>
          <w:p>
            <w:pPr>
              <w:jc w:val="right"/>
              <w:spacing w:after="0"/>
              <w:rPr>
                <w:sz w:val="20"/>
                <w:szCs w:val="20"/>
                <w:color w:val="auto"/>
              </w:rPr>
            </w:pPr>
            <w:r>
              <w:rPr>
                <w:rFonts w:ascii="Arial" w:cs="Arial" w:eastAsia="Arial" w:hAnsi="Arial"/>
                <w:sz w:val="18"/>
                <w:szCs w:val="18"/>
                <w:color w:val="auto"/>
              </w:rPr>
              <w:t>6,909,873</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0"/>
                <w:szCs w:val="20"/>
                <w:color w:val="auto"/>
              </w:rPr>
            </w:pPr>
          </w:p>
        </w:tc>
      </w:tr>
      <w:tr>
        <w:trPr>
          <w:trHeight w:val="249"/>
        </w:trPr>
        <w:tc>
          <w:tcPr>
            <w:tcW w:w="57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Vested</w:t>
            </w:r>
          </w:p>
        </w:tc>
        <w:tc>
          <w:tcPr>
            <w:tcW w:w="2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(2,473,758 )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21"/>
                <w:szCs w:val="21"/>
                <w:color w:val="auto"/>
              </w:rPr>
            </w:pPr>
          </w:p>
        </w:tc>
      </w:tr>
      <w:tr>
        <w:trPr>
          <w:trHeight w:val="236"/>
        </w:trPr>
        <w:tc>
          <w:tcPr>
            <w:tcW w:w="576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Unvested at June 30, 2023</w:t>
            </w:r>
          </w:p>
        </w:tc>
        <w:tc>
          <w:tcPr>
            <w:tcW w:w="2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18,877,159</w:t>
            </w:r>
          </w:p>
        </w:tc>
        <w:tc>
          <w:tcPr>
            <w:tcW w:w="5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top w:val="single" w:sz="8" w:color="CCEEFF"/>
            </w:tcBorders>
          </w:tcPr>
          <w:p>
            <w:pPr>
              <w:spacing w:after="0"/>
              <w:rPr>
                <w:sz w:val="20"/>
                <w:szCs w:val="20"/>
                <w:color w:val="auto"/>
              </w:rPr>
            </w:pPr>
          </w:p>
        </w:tc>
      </w:tr>
      <w:tr>
        <w:trPr>
          <w:trHeight w:val="20"/>
        </w:trPr>
        <w:tc>
          <w:tcPr>
            <w:tcW w:w="57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857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June 30, 2023, there was approximately $32.7 million of unrecognized compensation expense related to unvested Service-based RSUs, which is expected to be recognized over a weighted-average vesting period of approximately 1.6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not fully vested upon grant, Service-based RSUs awarded generally vest over a period ranging from two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There was no new activity for unvested Performance-based RSUs during the six months ended June 30, 2023 There were 4,257,710 unvested Performance-based RSUs with a weighted average grant date fair value of $7.76 as of both June 30, 2023 and December 31, 2022. As of June 30, 2023, there was approximately $11.1 million of unrecognized compensation expense related to unvested Performance-based RSUs, which is expected to be recognized over a weighted-average derived service period of approximately 0.9 years.</w:t>
      </w:r>
    </w:p>
    <w:p>
      <w:pPr>
        <w:spacing w:after="0" w:line="1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6"/>
                <w:szCs w:val="16"/>
                <w:b w:val="1"/>
                <w:bCs w:val="1"/>
                <w:color w:val="auto"/>
                <w:w w:val="95"/>
              </w:rPr>
              <w:t>Fair Value Measured as of June 30, 2023</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5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r>
      <w:tr>
        <w:trPr>
          <w:trHeight w:val="243"/>
        </w:trPr>
        <w:tc>
          <w:tcPr>
            <w:tcW w:w="45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 included in:</w:t>
            </w:r>
          </w:p>
        </w:tc>
        <w:tc>
          <w:tcPr>
            <w:tcW w:w="9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5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Money market securities</w:t>
            </w:r>
          </w:p>
        </w:tc>
        <w:tc>
          <w:tcPr>
            <w:tcW w:w="920" w:type="dxa"/>
            <w:vAlign w:val="bottom"/>
            <w:shd w:val="clear" w:color="auto" w:fill="CCEC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175</w:t>
            </w:r>
          </w:p>
        </w:tc>
        <w:tc>
          <w:tcPr>
            <w:tcW w:w="1500" w:type="dxa"/>
            <w:vAlign w:val="bottom"/>
            <w:gridSpan w:val="2"/>
            <w:shd w:val="clear" w:color="auto" w:fill="CCECFF"/>
          </w:tcPr>
          <w:p>
            <w:pPr>
              <w:jc w:val="right"/>
              <w:ind w:right="9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C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CFF"/>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0"/>
                <w:szCs w:val="20"/>
                <w:color w:val="auto"/>
              </w:rPr>
            </w:pPr>
          </w:p>
        </w:tc>
      </w:tr>
      <w:tr>
        <w:trPr>
          <w:trHeight w:val="249"/>
        </w:trPr>
        <w:tc>
          <w:tcPr>
            <w:tcW w:w="4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Derivative asset</w:t>
            </w:r>
          </w:p>
        </w:tc>
        <w:tc>
          <w:tcPr>
            <w:tcW w:w="920" w:type="dxa"/>
            <w:vAlign w:val="bottom"/>
            <w:tcBorders>
              <w:bottom w:val="single" w:sz="8" w:color="auto"/>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1100" w:type="dxa"/>
            <w:vAlign w:val="bottom"/>
            <w:tcBorders>
              <w:bottom w:val="single" w:sz="8" w:color="auto"/>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75,252</w:t>
            </w:r>
          </w:p>
        </w:tc>
        <w:tc>
          <w:tcPr>
            <w:tcW w:w="3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75,252</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555</w:t>
            </w:r>
          </w:p>
        </w:tc>
        <w:tc>
          <w:tcPr>
            <w:tcW w:w="150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75,252</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75,807</w:t>
            </w:r>
          </w:p>
        </w:tc>
        <w:tc>
          <w:tcPr>
            <w:tcW w:w="14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Liabilities included in:</w:t>
            </w:r>
          </w:p>
        </w:tc>
        <w:tc>
          <w:tcPr>
            <w:tcW w:w="92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1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1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r>
      <w:tr>
        <w:trPr>
          <w:trHeight w:val="270"/>
        </w:trPr>
        <w:tc>
          <w:tcPr>
            <w:tcW w:w="4580" w:type="dxa"/>
            <w:vAlign w:val="bottom"/>
            <w:tcBorders>
              <w:bottom w:val="single" w:sz="8" w:color="CCECFF"/>
            </w:tcBorders>
            <w:shd w:val="clear" w:color="auto" w:fill="CCECFF"/>
          </w:tcPr>
          <w:p>
            <w:pPr>
              <w:spacing w:after="0"/>
              <w:rPr>
                <w:sz w:val="23"/>
                <w:szCs w:val="23"/>
                <w:color w:val="auto"/>
              </w:rPr>
            </w:pPr>
          </w:p>
        </w:tc>
        <w:tc>
          <w:tcPr>
            <w:tcW w:w="920" w:type="dxa"/>
            <w:vAlign w:val="bottom"/>
            <w:tcBorders>
              <w:top w:val="single" w:sz="8" w:color="auto"/>
              <w:bottom w:val="single" w:sz="8" w:color="auto"/>
            </w:tcBorders>
            <w:shd w:val="clear" w:color="auto" w:fill="CCEC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3"/>
                <w:szCs w:val="23"/>
                <w:color w:val="auto"/>
              </w:rPr>
            </w:pPr>
          </w:p>
        </w:tc>
        <w:tc>
          <w:tcPr>
            <w:tcW w:w="1100" w:type="dxa"/>
            <w:vAlign w:val="bottom"/>
            <w:tcBorders>
              <w:top w:val="single" w:sz="8" w:color="auto"/>
              <w:bottom w:val="single" w:sz="8" w:color="auto"/>
            </w:tcBorders>
            <w:shd w:val="clear" w:color="auto" w:fill="CCECFF"/>
          </w:tcPr>
          <w:p>
            <w:pPr>
              <w:jc w:val="right"/>
              <w:ind w:right="91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CFF"/>
            </w:tcBorders>
            <w:shd w:val="clear" w:color="auto" w:fill="CCECFF"/>
          </w:tcPr>
          <w:p>
            <w:pPr>
              <w:spacing w:after="0"/>
              <w:rPr>
                <w:sz w:val="23"/>
                <w:szCs w:val="23"/>
                <w:color w:val="auto"/>
              </w:rPr>
            </w:pPr>
          </w:p>
        </w:tc>
      </w:tr>
      <w:tr>
        <w:trPr>
          <w:trHeight w:val="635"/>
        </w:trPr>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20</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45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-1165225</wp:posOffset>
            </wp:positionV>
            <wp:extent cx="8572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-1165225</wp:posOffset>
            </wp:positionV>
            <wp:extent cx="857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-1165225</wp:posOffset>
            </wp:positionV>
            <wp:extent cx="7747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-1165225</wp:posOffset>
            </wp:positionV>
            <wp:extent cx="857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-505460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-488315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-505460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-488315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-505460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-488315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7"/>
          </w:tcPr>
          <w:p>
            <w:pPr>
              <w:ind w:left="360"/>
              <w:spacing w:after="0"/>
              <w:rPr>
                <w:sz w:val="20"/>
                <w:szCs w:val="20"/>
                <w:color w:val="auto"/>
              </w:rPr>
            </w:pPr>
            <w:r>
              <w:rPr>
                <w:rFonts w:ascii="Arial" w:cs="Arial" w:eastAsia="Arial" w:hAnsi="Arial"/>
                <w:sz w:val="16"/>
                <w:szCs w:val="16"/>
                <w:b w:val="1"/>
                <w:bCs w:val="1"/>
                <w:color w:val="auto"/>
              </w:rPr>
              <w:t>Fair Value Measured as of December 31, 2022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r>
      <w:tr>
        <w:trPr>
          <w:trHeight w:val="243"/>
        </w:trPr>
        <w:tc>
          <w:tcPr>
            <w:tcW w:w="45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 included in:</w:t>
            </w:r>
          </w:p>
        </w:tc>
        <w:tc>
          <w:tcPr>
            <w:tcW w:w="24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5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Money market securities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10,943</w:t>
            </w:r>
          </w:p>
        </w:tc>
        <w:tc>
          <w:tcPr>
            <w:tcW w:w="6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10,943</w:t>
            </w:r>
          </w:p>
        </w:tc>
        <w:tc>
          <w:tcPr>
            <w:tcW w:w="140" w:type="dxa"/>
            <w:vAlign w:val="bottom"/>
            <w:shd w:val="clear" w:color="auto" w:fill="CCECFF"/>
          </w:tcPr>
          <w:p>
            <w:pPr>
              <w:spacing w:after="0"/>
              <w:rPr>
                <w:sz w:val="21"/>
                <w:szCs w:val="2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0"/>
                <w:szCs w:val="20"/>
                <w:color w:val="auto"/>
              </w:rPr>
            </w:pPr>
          </w:p>
        </w:tc>
      </w:tr>
      <w:tr>
        <w:trPr>
          <w:trHeight w:val="249"/>
        </w:trPr>
        <w:tc>
          <w:tcPr>
            <w:tcW w:w="4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Derivative asset</w:t>
            </w:r>
          </w:p>
        </w:tc>
        <w:tc>
          <w:tcPr>
            <w:tcW w:w="24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3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0"/>
        </w:trPr>
        <w:tc>
          <w:tcPr>
            <w:tcW w:w="4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11,041</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66,702</w:t>
            </w:r>
          </w:p>
        </w:tc>
        <w:tc>
          <w:tcPr>
            <w:tcW w:w="3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77,743</w:t>
            </w:r>
          </w:p>
        </w:tc>
        <w:tc>
          <w:tcPr>
            <w:tcW w:w="14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45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Liabilities included in:</w:t>
            </w:r>
          </w:p>
        </w:tc>
        <w:tc>
          <w:tcPr>
            <w:tcW w:w="24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r>
      <w:tr>
        <w:trPr>
          <w:trHeight w:val="270"/>
        </w:trPr>
        <w:tc>
          <w:tcPr>
            <w:tcW w:w="4580" w:type="dxa"/>
            <w:vAlign w:val="bottom"/>
            <w:tcBorders>
              <w:bottom w:val="single" w:sz="8" w:color="CCECFF"/>
            </w:tcBorders>
            <w:shd w:val="clear" w:color="auto" w:fill="CCECFF"/>
          </w:tcPr>
          <w:p>
            <w:pPr>
              <w:spacing w:after="0"/>
              <w:rPr>
                <w:sz w:val="23"/>
                <w:szCs w:val="23"/>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-685165</wp:posOffset>
            </wp:positionV>
            <wp:extent cx="8572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-685165</wp:posOffset>
            </wp:positionV>
            <wp:extent cx="857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-685165</wp:posOffset>
            </wp:positionV>
            <wp:extent cx="7747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financial instruments between Level 1, Level 2 and Level 3 during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asset</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which has a remaining term of approximately 4.0 years. The valuations performed by the third-party valuation firm engaged by the Company utilized pre-tax discount rates of 6.94% and 6.83% as of June 30, 2023 and December 31,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changes to the quoted forward electricity rates, as well as unobservable inputs (e.g., changes in estimated usage rates and discount rate assumptions).</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changes in the estimated fair value of the derivative asset measured using significant unobservable inputs (Level 3) for the six months ended June 30,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10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66,702</w:t>
            </w:r>
          </w:p>
        </w:tc>
        <w:tc>
          <w:tcPr>
            <w:tcW w:w="140" w:type="dxa"/>
            <w:vAlign w:val="bottom"/>
            <w:shd w:val="clear" w:color="auto" w:fill="CCECFF"/>
          </w:tcPr>
          <w:p>
            <w:pPr>
              <w:spacing w:after="0"/>
              <w:rPr>
                <w:sz w:val="21"/>
                <w:szCs w:val="21"/>
                <w:color w:val="auto"/>
              </w:rPr>
            </w:pPr>
          </w:p>
        </w:tc>
      </w:tr>
      <w:tr>
        <w:trPr>
          <w:trHeight w:val="243"/>
        </w:trPr>
        <w:tc>
          <w:tcPr>
            <w:tcW w:w="8520" w:type="dxa"/>
            <w:vAlign w:val="bottom"/>
          </w:tcPr>
          <w:p>
            <w:pPr>
              <w:ind w:left="200"/>
              <w:spacing w:after="0"/>
              <w:rPr>
                <w:sz w:val="20"/>
                <w:szCs w:val="20"/>
                <w:color w:val="auto"/>
              </w:rPr>
            </w:pPr>
            <w:r>
              <w:rPr>
                <w:rFonts w:ascii="Arial" w:cs="Arial" w:eastAsia="Arial" w:hAnsi="Arial"/>
                <w:sz w:val="18"/>
                <w:szCs w:val="18"/>
                <w:color w:val="auto"/>
              </w:rPr>
              <w:t>Change in fair value</w:t>
            </w:r>
          </w:p>
        </w:tc>
        <w:tc>
          <w:tcPr>
            <w:tcW w:w="1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140" w:type="dxa"/>
            <w:vAlign w:val="bottom"/>
          </w:tcPr>
          <w:p>
            <w:pPr>
              <w:spacing w:after="0"/>
              <w:rPr>
                <w:sz w:val="21"/>
                <w:szCs w:val="21"/>
                <w:color w:val="auto"/>
              </w:rPr>
            </w:pPr>
          </w:p>
        </w:tc>
      </w:tr>
      <w:tr>
        <w:trPr>
          <w:trHeight w:val="277"/>
        </w:trPr>
        <w:tc>
          <w:tcPr>
            <w:tcW w:w="8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100" w:type="dxa"/>
            <w:vAlign w:val="bottom"/>
            <w:tcBorders>
              <w:bottom w:val="single" w:sz="8" w:color="auto"/>
            </w:tcBorders>
            <w:shd w:val="clear" w:color="auto" w:fill="CCECFF"/>
          </w:tcPr>
          <w:p>
            <w:pPr>
              <w:jc w:val="right"/>
              <w:ind w:right="9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75,251</w:t>
            </w:r>
          </w:p>
        </w:tc>
        <w:tc>
          <w:tcPr>
            <w:tcW w:w="14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liability</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Company’s Private Placement Warrants (as defined in Note 14. </w:t>
      </w:r>
      <w:r>
        <w:rPr>
          <w:rFonts w:ascii="Arial" w:cs="Arial" w:eastAsia="Arial" w:hAnsi="Arial"/>
          <w:sz w:val="17"/>
          <w:szCs w:val="17"/>
          <w:i w:val="1"/>
          <w:iCs w:val="1"/>
          <w:color w:val="auto"/>
        </w:rPr>
        <w:t>Warrants</w:t>
      </w:r>
      <w:r>
        <w:rPr>
          <w:rFonts w:ascii="Arial" w:cs="Arial" w:eastAsia="Arial" w:hAnsi="Arial"/>
          <w:sz w:val="17"/>
          <w:szCs w:val="17"/>
          <w:color w:val="auto"/>
        </w:rPr>
        <w:t>)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engaged a valuation firm to determine the fair value of the Private Placement Warrants using a Black-Scholes option-pricing model and the quoted price of its Common Stock. The following table presents significant assumptions utilized in the valuations of the Private Placement Warrants as of the dates indicated: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June 30, 2023</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 2022</w:t>
            </w:r>
          </w:p>
        </w:tc>
      </w:tr>
      <w:tr>
        <w:trPr>
          <w:trHeight w:val="243"/>
        </w:trPr>
        <w:tc>
          <w:tcPr>
            <w:tcW w:w="6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Risk-free rate</w:t>
            </w:r>
          </w:p>
        </w:tc>
        <w:tc>
          <w:tcPr>
            <w:tcW w:w="1440" w:type="dxa"/>
            <w:vAlign w:val="bottom"/>
            <w:tcBorders>
              <w:top w:val="single" w:sz="8" w:color="auto"/>
            </w:tcBorders>
            <w:shd w:val="clear" w:color="auto" w:fill="CCECFF"/>
          </w:tcPr>
          <w:p>
            <w:pPr>
              <w:spacing w:after="0"/>
              <w:rPr>
                <w:sz w:val="21"/>
                <w:szCs w:val="21"/>
                <w:color w:val="auto"/>
              </w:rPr>
            </w:pPr>
          </w:p>
        </w:tc>
        <w:tc>
          <w:tcPr>
            <w:tcW w:w="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4.36</w:t>
            </w:r>
          </w:p>
        </w:tc>
        <w:tc>
          <w:tcPr>
            <w:tcW w:w="52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CECFF"/>
          </w:tcPr>
          <w:p>
            <w:pPr>
              <w:spacing w:after="0"/>
              <w:rPr>
                <w:sz w:val="21"/>
                <w:szCs w:val="21"/>
                <w:color w:val="auto"/>
              </w:rPr>
            </w:pPr>
          </w:p>
        </w:tc>
        <w:tc>
          <w:tcPr>
            <w:tcW w:w="1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Dividend yield rate</w:t>
            </w:r>
          </w:p>
        </w:tc>
        <w:tc>
          <w:tcPr>
            <w:tcW w:w="14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rPr>
              <w:t>0.00 %</w:t>
            </w:r>
          </w:p>
        </w:tc>
        <w:tc>
          <w:tcPr>
            <w:tcW w:w="22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20" w:type="dxa"/>
            <w:vAlign w:val="bottom"/>
          </w:tcPr>
          <w:p>
            <w:pPr>
              <w:spacing w:after="0"/>
              <w:rPr>
                <w:sz w:val="20"/>
                <w:szCs w:val="20"/>
                <w:color w:val="auto"/>
              </w:rPr>
            </w:pPr>
          </w:p>
        </w:tc>
      </w:tr>
      <w:tr>
        <w:trPr>
          <w:trHeight w:val="256"/>
        </w:trPr>
        <w:tc>
          <w:tcPr>
            <w:tcW w:w="6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Volatility</w:t>
            </w:r>
          </w:p>
        </w:tc>
        <w:tc>
          <w:tcPr>
            <w:tcW w:w="1440" w:type="dxa"/>
            <w:vAlign w:val="bottom"/>
            <w:shd w:val="clear" w:color="auto" w:fill="CCECFF"/>
          </w:tcPr>
          <w:p>
            <w:pPr>
              <w:spacing w:after="0"/>
              <w:rPr>
                <w:sz w:val="22"/>
                <w:szCs w:val="22"/>
                <w:color w:val="auto"/>
              </w:rPr>
            </w:pPr>
          </w:p>
        </w:tc>
        <w:tc>
          <w:tcPr>
            <w:tcW w:w="980" w:type="dxa"/>
            <w:vAlign w:val="bottom"/>
            <w:gridSpan w:val="2"/>
            <w:shd w:val="clear" w:color="auto" w:fill="CCECFF"/>
          </w:tcPr>
          <w:p>
            <w:pPr>
              <w:jc w:val="right"/>
              <w:ind w:right="270"/>
              <w:spacing w:after="0"/>
              <w:rPr>
                <w:sz w:val="20"/>
                <w:szCs w:val="20"/>
                <w:color w:val="auto"/>
              </w:rPr>
            </w:pPr>
            <w:r>
              <w:rPr>
                <w:rFonts w:ascii="Arial" w:cs="Arial" w:eastAsia="Arial" w:hAnsi="Arial"/>
                <w:sz w:val="18"/>
                <w:szCs w:val="18"/>
                <w:color w:val="auto"/>
              </w:rPr>
              <w:t>74.7 %</w:t>
            </w:r>
          </w:p>
        </w:tc>
        <w:tc>
          <w:tcPr>
            <w:tcW w:w="220" w:type="dxa"/>
            <w:vAlign w:val="bottom"/>
            <w:shd w:val="clear" w:color="auto" w:fill="CCECFF"/>
          </w:tcPr>
          <w:p>
            <w:pPr>
              <w:spacing w:after="0"/>
              <w:rPr>
                <w:sz w:val="22"/>
                <w:szCs w:val="22"/>
                <w:color w:val="auto"/>
              </w:rPr>
            </w:pPr>
          </w:p>
        </w:tc>
        <w:tc>
          <w:tcPr>
            <w:tcW w:w="19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90.0 %</w:t>
            </w:r>
          </w:p>
        </w:tc>
        <w:tc>
          <w:tcPr>
            <w:tcW w:w="20" w:type="dxa"/>
            <w:vAlign w:val="bottom"/>
          </w:tcPr>
          <w:p>
            <w:pPr>
              <w:spacing w:after="0"/>
              <w:rPr>
                <w:sz w:val="22"/>
                <w:szCs w:val="22"/>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1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668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Exercise price</w:t>
            </w:r>
          </w:p>
        </w:tc>
        <w:tc>
          <w:tcPr>
            <w:tcW w:w="1440" w:type="dxa"/>
            <w:vAlign w:val="bottom"/>
            <w:shd w:val="clear" w:color="auto" w:fill="CCECFF"/>
          </w:tcPr>
          <w:p>
            <w:pPr>
              <w:jc w:val="right"/>
              <w:ind w:right="125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3"/>
              </w:rPr>
              <w:t>11.50</w:t>
            </w:r>
          </w:p>
        </w:tc>
        <w:tc>
          <w:tcPr>
            <w:tcW w:w="52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11.50</w:t>
            </w:r>
          </w:p>
        </w:tc>
        <w:tc>
          <w:tcPr>
            <w:tcW w:w="140" w:type="dxa"/>
            <w:vAlign w:val="bottom"/>
            <w:shd w:val="clear" w:color="auto" w:fill="CCECFF"/>
          </w:tcPr>
          <w:p>
            <w:pPr>
              <w:spacing w:after="0"/>
              <w:rPr>
                <w:sz w:val="21"/>
                <w:szCs w:val="21"/>
                <w:color w:val="auto"/>
              </w:rPr>
            </w:pPr>
          </w:p>
        </w:tc>
        <w:tc>
          <w:tcPr>
            <w:tcW w:w="20" w:type="dxa"/>
            <w:vAlign w:val="bottom"/>
          </w:tcPr>
          <w:p>
            <w:pPr>
              <w:spacing w:after="0"/>
              <w:rPr>
                <w:sz w:val="21"/>
                <w:szCs w:val="2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estimated fair value of the Private Placement Warrants for the six months ended June 30, 2023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1240" w:type="dxa"/>
            <w:vAlign w:val="bottom"/>
            <w:shd w:val="clear" w:color="auto" w:fill="CCECFF"/>
          </w:tcPr>
          <w:p>
            <w:pPr>
              <w:jc w:val="right"/>
              <w:ind w:right="10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CFF"/>
          </w:tcPr>
          <w:p>
            <w:pPr>
              <w:spacing w:after="0"/>
              <w:rPr>
                <w:sz w:val="21"/>
                <w:szCs w:val="21"/>
                <w:color w:val="auto"/>
              </w:rPr>
            </w:pPr>
          </w:p>
        </w:tc>
      </w:tr>
      <w:tr>
        <w:trPr>
          <w:trHeight w:val="243"/>
        </w:trPr>
        <w:tc>
          <w:tcPr>
            <w:tcW w:w="8520" w:type="dxa"/>
            <w:vAlign w:val="bottom"/>
          </w:tcPr>
          <w:p>
            <w:pPr>
              <w:ind w:left="200"/>
              <w:spacing w:after="0"/>
              <w:rPr>
                <w:sz w:val="20"/>
                <w:szCs w:val="20"/>
                <w:color w:val="auto"/>
              </w:rPr>
            </w:pPr>
            <w:r>
              <w:rPr>
                <w:rFonts w:ascii="Arial" w:cs="Arial" w:eastAsia="Arial" w:hAnsi="Arial"/>
                <w:sz w:val="18"/>
                <w:szCs w:val="18"/>
                <w:color w:val="auto"/>
              </w:rPr>
              <w:t>Change in fair value</w:t>
            </w:r>
          </w:p>
        </w:tc>
        <w:tc>
          <w:tcPr>
            <w:tcW w:w="1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r>
      <w:tr>
        <w:trPr>
          <w:trHeight w:val="277"/>
        </w:trPr>
        <w:tc>
          <w:tcPr>
            <w:tcW w:w="8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240" w:type="dxa"/>
            <w:vAlign w:val="bottom"/>
            <w:tcBorders>
              <w:bottom w:val="single" w:sz="8" w:color="auto"/>
            </w:tcBorders>
            <w:shd w:val="clear" w:color="auto" w:fill="CCECFF"/>
          </w:tcPr>
          <w:p>
            <w:pPr>
              <w:jc w:val="right"/>
              <w:ind w:right="10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89"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income tax expense of approximately 3.7% and nil of loss before taxes for each of the six months ended June 30, 2023 and 2022,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3, 2023, the Company entered into a Controlled Equity OfferingSM Sales Agreement (the “Sales Agreement”) with Cantor Fitzgerald &amp; Co., Canaccord Genuity LLC, Needham &amp; Company, LLC and Compass Point Research &amp; Trading, LLC (each, an “Agent” and, together, the “Agents”), pursuant to which the Company may offer and sell, from time to time through or to the Agents, shares of its Common Stock, for aggregate gross proceeds of up to $250.0 million (the “Shares”).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Sales Agreement, the Agent selected by the Company (such Agent, the “Designated Agent”) may sell the Shares in sales deemed to be “at the market offerings” as defined in Rule 415(a)(4) promulgated under the Securities Act. The Company has no obligation to sell any of the Shares under the Sales Agreement and may at any time suspend or terminate the offering of the Shares pursuant to the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Sales Agreement, the Company agreed to pay the Designated Agent a commission up to 3.0% of the aggregate gross proceeds from any Shares sold through such Designated Agent pursuant to the Sales Agreement. In addition, the Company agreed to reimburse certain expenses incurred by the Agents in connection with the Sales Agreement.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2022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Form 10-K and this Quarterly Report and other factors set forth in other parts of this Quarterly Report.</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Bitcoin mining is our principal revenue generating business activity.</w:t>
      </w:r>
    </w:p>
    <w:p>
      <w:pPr>
        <w:spacing w:after="0" w:line="1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3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key mission is to expand and strengthen the Bitcoin network’s critical infrastructure. As of July 31, 2023, we operated approximately 76,322 miners, with an aggregate hashrate capacity of approximately 7.8 EH/s, deploying approximately 253 MW of electricity, of which we owned approximately 66,397 miners, with an aggregate hashrate capacity of approximately 6.8 EH/s, deploying approximately 222 MW of electricity.</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four bitcoin mining data centers in Texas, including one wholly-owned and three partially-owned data centers acquired through investments in joint ventures. Our largest data center is our Odessa data center (the “Odessa Facility”), which is our wholly-owned 207 MW facility located in Odessa, Texas. We also operate our Alborz data center (the “Alborz Facility”), which is located near Happy, Texas and is partially-owned through a joint venture with WindHQ LLC (“WindHQ”). Our Bear data center (the “Bear Facility”) and our Chief data center (the “Chief Facility”) are both located near Andrews, Texas and are also partially-owned through separate joint ventures with WindHQ. We have a 49% membership interest in Alborz LLC, Bear LLC and Chief LLC, which own the Alborz Facility, the Bear Facility and the Chief Facility, respectively. By the end of the third quarter 2023, we anticipate operating approximately 80,500 miners, capable of generating approximately 8.2 EH/s across our sites, of which we will own approximately 70,500 miners, representing approximately 7.2 EH/s.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21, 2022, we filed with the SEC a shelf registration statement on Form S-3, which was declared effective on October 6, 2022 (the “Registration Statement”). In connection with the filing of the Registration Statement, we also entered into an at-the-market offering agreement (the “Prior Sales Agreement”) with H.C. Wainwright &amp; Co., LLC (the “Prior Agent”), under which we may, from time to time, sell shares of our Common Stock having an aggregate offering price of up to $250.0 million in “at-the-market” offerings through the Prior Agent. During the six months ended June 30, 2023, in connection with the Prior Sales Agreement, we received proceeds of approximately $2.7 million, net of issuance costs, from the sale of 978,207 shares of common stock, with an average fair value of $2.78 per share. Effective August 1, 2023, we terminated the Prior Sales Agreement.</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On August 3, 2023, we entered into a Controlled Equity Offering</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Sales Agreement (the “Sales Agreement”) with Cantor Fitzgerald &amp; Co., Canaccord Genuity LLC, Needham &amp; Company, LLC and Compass Point Research &amp; Trading, LLC (each, an “Agent” and, together, the “Agents”), pursuant to which we may offer and sell, from time to time through or to the Agents, shares of our Common Stock, for aggregate gross proceeds of up to $250.0 million (the “Shares”).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Sales Agreement, the Agent selected by us (such Agent, the “Designated Agent”) may sell the Shares in sales deemed to be “at the market offerings” as defined in Rule 415(a)(4) promulgated under the Securities Act. We have no obligation to sell any of the Shares under the Sales Agreement and may at any time suspend or terminate the offering of the Shares pursuant to the Sales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400"/>
        <w:spacing w:after="0" w:line="301" w:lineRule="auto"/>
        <w:rPr>
          <w:sz w:val="20"/>
          <w:szCs w:val="20"/>
          <w:color w:val="auto"/>
        </w:rPr>
      </w:pPr>
      <w:r>
        <w:rPr>
          <w:rFonts w:ascii="Arial" w:cs="Arial" w:eastAsia="Arial" w:hAnsi="Arial"/>
          <w:sz w:val="16"/>
          <w:szCs w:val="16"/>
          <w:color w:val="auto"/>
        </w:rPr>
        <w:t>Agreement upon notice and subject to other conditions. The Agents will act as sales agents and will use commercially reasonable efforts to sell on our behalf all of the Shares requested to be sold by us, on mutually agreed terms between the Agents and us. Under the terms of the Sales Agreement, we agreed to pay the Designated Agent a commission up to 3.0% of the aggregate gross proceeds from any Shares sold through such Designated Agent pursuant to the Sales Agreement. In addition, we agreed to reimburse certain expenses incurred by the Agents in connection with the Sales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the “Factors Affecting Our Results of Operations” in the Management’s Discussion and Analysis section of our 2022 Form 10-K. Our financial position and results of operations depend to a significant extent on those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Bitcoin Mining Results</w:t>
      </w:r>
    </w:p>
    <w:p>
      <w:pPr>
        <w:spacing w:after="0" w:line="18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presents information about our Bitcoin mining activities, including bitcoin production and sales of bitcoin (dollar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Quantity</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7"/>
              </w:rPr>
              <w:t>Amounts</w:t>
            </w:r>
          </w:p>
        </w:tc>
        <w:tc>
          <w:tcPr>
            <w:tcW w:w="0" w:type="dxa"/>
            <w:vAlign w:val="bottom"/>
          </w:tcPr>
          <w:p>
            <w:pPr>
              <w:spacing w:after="0"/>
              <w:rPr>
                <w:sz w:val="1"/>
                <w:szCs w:val="1"/>
                <w:color w:val="auto"/>
              </w:rPr>
            </w:pPr>
          </w:p>
        </w:tc>
      </w:tr>
      <w:tr>
        <w:trPr>
          <w:trHeight w:val="243"/>
        </w:trPr>
        <w:tc>
          <w:tcPr>
            <w:tcW w:w="47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January 1, 2023</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580" w:type="dxa"/>
            <w:vAlign w:val="bottom"/>
            <w:tcBorders>
              <w:top w:val="single" w:sz="8" w:color="auto"/>
            </w:tcBorders>
            <w:shd w:val="clear" w:color="auto" w:fill="CCECFF"/>
          </w:tcPr>
          <w:p>
            <w:pPr>
              <w:spacing w:after="0"/>
              <w:rPr>
                <w:sz w:val="21"/>
                <w:szCs w:val="21"/>
                <w:color w:val="auto"/>
              </w:rPr>
            </w:pPr>
          </w:p>
        </w:tc>
        <w:tc>
          <w:tcPr>
            <w:tcW w:w="380" w:type="dxa"/>
            <w:vAlign w:val="bottom"/>
            <w:tcBorders>
              <w:top w:val="single" w:sz="8" w:color="auto"/>
            </w:tcBorders>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394</w:t>
            </w:r>
          </w:p>
        </w:tc>
        <w:tc>
          <w:tcPr>
            <w:tcW w:w="520" w:type="dxa"/>
            <w:vAlign w:val="bottom"/>
            <w:tcBorders>
              <w:right w:val="single" w:sz="8" w:color="CCECFF"/>
            </w:tcBorders>
            <w:shd w:val="clear" w:color="auto" w:fill="CCECFF"/>
          </w:tcPr>
          <w:p>
            <w:pPr>
              <w:spacing w:after="0"/>
              <w:rPr>
                <w:sz w:val="21"/>
                <w:szCs w:val="21"/>
                <w:color w:val="auto"/>
              </w:rPr>
            </w:pPr>
          </w:p>
        </w:tc>
        <w:tc>
          <w:tcPr>
            <w:tcW w:w="360" w:type="dxa"/>
            <w:vAlign w:val="bottom"/>
            <w:tcBorders>
              <w:top w:val="single" w:sz="8" w:color="auto"/>
            </w:tcBorders>
            <w:shd w:val="clear" w:color="auto" w:fill="CCECFF"/>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CFF"/>
          </w:tcPr>
          <w:p>
            <w:pPr>
              <w:spacing w:after="0"/>
              <w:rPr>
                <w:sz w:val="21"/>
                <w:szCs w:val="21"/>
                <w:color w:val="auto"/>
              </w:rPr>
            </w:pP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6,283</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Bitcoin received from equity investees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CECFF"/>
          </w:tcPr>
          <w:p>
            <w:pPr>
              <w:ind w:left="200"/>
              <w:spacing w:after="0"/>
              <w:rPr>
                <w:sz w:val="20"/>
                <w:szCs w:val="20"/>
                <w:color w:val="auto"/>
              </w:rPr>
            </w:pPr>
            <w:r>
              <w:rPr>
                <w:rFonts w:ascii="Arial" w:cs="Arial" w:eastAsia="Arial" w:hAnsi="Arial"/>
                <w:sz w:val="18"/>
                <w:szCs w:val="18"/>
                <w:color w:val="auto"/>
                <w:w w:val="97"/>
              </w:rPr>
              <w:t>Revenue recognized from bitcoin mined, net of receivable</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2,055</w:t>
            </w:r>
          </w:p>
        </w:tc>
        <w:tc>
          <w:tcPr>
            <w:tcW w:w="520" w:type="dxa"/>
            <w:vAlign w:val="bottom"/>
            <w:tcBorders>
              <w:right w:val="single" w:sz="8" w:color="CCECFF"/>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52,836</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Proceeds from sale of bitcoin, net of realized gain</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(2,063 )</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(44,267 )</w:t>
            </w:r>
          </w:p>
        </w:tc>
        <w:tc>
          <w:tcPr>
            <w:tcW w:w="0" w:type="dxa"/>
            <w:vAlign w:val="bottom"/>
          </w:tcPr>
          <w:p>
            <w:pPr>
              <w:spacing w:after="0"/>
              <w:rPr>
                <w:sz w:val="1"/>
                <w:szCs w:val="1"/>
                <w:color w:val="auto"/>
              </w:rPr>
            </w:pPr>
          </w:p>
        </w:tc>
      </w:tr>
      <w:tr>
        <w:trPr>
          <w:trHeight w:val="249"/>
        </w:trPr>
        <w:tc>
          <w:tcPr>
            <w:tcW w:w="47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Impairment of bitcoin</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CFF"/>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(4,633 )</w:t>
            </w:r>
          </w:p>
        </w:tc>
        <w:tc>
          <w:tcPr>
            <w:tcW w:w="0" w:type="dxa"/>
            <w:vAlign w:val="bottom"/>
          </w:tcPr>
          <w:p>
            <w:pPr>
              <w:spacing w:after="0"/>
              <w:rPr>
                <w:sz w:val="1"/>
                <w:szCs w:val="1"/>
                <w:color w:val="auto"/>
              </w:rPr>
            </w:pPr>
          </w:p>
        </w:tc>
      </w:tr>
      <w:tr>
        <w:trPr>
          <w:trHeight w:val="237"/>
        </w:trPr>
        <w:tc>
          <w:tcPr>
            <w:tcW w:w="472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80" w:type="dxa"/>
            <w:vAlign w:val="bottom"/>
            <w:tcBorders>
              <w:top w:val="single" w:sz="8" w:color="CCECFF"/>
            </w:tcBorders>
          </w:tcPr>
          <w:p>
            <w:pPr>
              <w:spacing w:after="0"/>
              <w:rPr>
                <w:sz w:val="20"/>
                <w:szCs w:val="20"/>
                <w:color w:val="auto"/>
              </w:rPr>
            </w:pPr>
          </w:p>
        </w:tc>
        <w:tc>
          <w:tcPr>
            <w:tcW w:w="1040" w:type="dxa"/>
            <w:vAlign w:val="bottom"/>
            <w:tcBorders>
              <w:top w:val="single" w:sz="8" w:color="CCECFF"/>
            </w:tcBorders>
          </w:tcPr>
          <w:p>
            <w:pPr>
              <w:spacing w:after="0"/>
              <w:rPr>
                <w:sz w:val="20"/>
                <w:szCs w:val="20"/>
                <w:color w:val="auto"/>
              </w:rPr>
            </w:pPr>
          </w:p>
        </w:tc>
        <w:tc>
          <w:tcPr>
            <w:tcW w:w="380" w:type="dxa"/>
            <w:vAlign w:val="bottom"/>
            <w:tcBorders>
              <w:top w:val="single" w:sz="8" w:color="CCECFF"/>
            </w:tcBorders>
          </w:tcPr>
          <w:p>
            <w:pPr>
              <w:spacing w:after="0"/>
              <w:rPr>
                <w:sz w:val="20"/>
                <w:szCs w:val="20"/>
                <w:color w:val="auto"/>
              </w:rPr>
            </w:pPr>
          </w:p>
        </w:tc>
        <w:tc>
          <w:tcPr>
            <w:tcW w:w="280" w:type="dxa"/>
            <w:vAlign w:val="bottom"/>
            <w:tcBorders>
              <w:top w:val="single" w:sz="8" w:color="CCECFF"/>
            </w:tcBorders>
          </w:tcPr>
          <w:p>
            <w:pPr>
              <w:spacing w:after="0"/>
              <w:rPr>
                <w:sz w:val="20"/>
                <w:szCs w:val="20"/>
                <w:color w:val="auto"/>
              </w:rPr>
            </w:pPr>
          </w:p>
        </w:tc>
        <w:tc>
          <w:tcPr>
            <w:tcW w:w="440" w:type="dxa"/>
            <w:vAlign w:val="bottom"/>
            <w:tcBorders>
              <w:top w:val="single" w:sz="8" w:color="CCEC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520" w:type="dxa"/>
            <w:vAlign w:val="bottom"/>
            <w:tcBorders>
              <w:top w:val="single" w:sz="8" w:color="CCEC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14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w w:val="99"/>
              </w:rPr>
              <w:t>Three Months Ended June 30,</w:t>
            </w:r>
          </w:p>
        </w:tc>
        <w:tc>
          <w:tcPr>
            <w:tcW w:w="300" w:type="dxa"/>
            <w:vAlign w:val="bottom"/>
          </w:tcPr>
          <w:p>
            <w:pPr>
              <w:spacing w:after="0"/>
              <w:rPr>
                <w:sz w:val="24"/>
                <w:szCs w:val="24"/>
                <w:color w:val="auto"/>
              </w:rPr>
            </w:pPr>
          </w:p>
        </w:tc>
        <w:tc>
          <w:tcPr>
            <w:tcW w:w="284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2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6"/>
                <w:szCs w:val="16"/>
                <w:color w:val="auto"/>
              </w:rPr>
              <w:t>Revenue - bitcoin mining</w:t>
            </w:r>
          </w:p>
        </w:tc>
        <w:tc>
          <w:tcPr>
            <w:tcW w:w="280" w:type="dxa"/>
            <w:vAlign w:val="bottom"/>
            <w:tcBorders>
              <w:bottom w:val="single" w:sz="8" w:color="auto"/>
            </w:tcBorders>
            <w:shd w:val="clear" w:color="auto" w:fill="CCEC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31,224</w:t>
            </w:r>
          </w:p>
        </w:tc>
        <w:tc>
          <w:tcPr>
            <w:tcW w:w="3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53,119</w:t>
            </w:r>
          </w:p>
        </w:tc>
        <w:tc>
          <w:tcPr>
            <w:tcW w:w="36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60"/>
              <w:spacing w:after="0"/>
              <w:rPr>
                <w:sz w:val="20"/>
                <w:szCs w:val="20"/>
                <w:color w:val="auto"/>
              </w:rPr>
            </w:pPr>
            <w:r>
              <w:rPr>
                <w:rFonts w:ascii="Arial" w:cs="Arial" w:eastAsia="Arial" w:hAnsi="Arial"/>
                <w:sz w:val="16"/>
                <w:szCs w:val="16"/>
                <w:color w:val="auto"/>
              </w:rPr>
              <w:t>Costs and operating expenses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15,868</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24,009</w:t>
            </w: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21,335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16,704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38,755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Depreciation</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14,412</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8</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26,067</w:t>
            </w: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240"/>
              <w:spacing w:after="0"/>
              <w:rPr>
                <w:sz w:val="20"/>
                <w:szCs w:val="20"/>
                <w:color w:val="auto"/>
              </w:rPr>
            </w:pPr>
            <w:r>
              <w:rPr>
                <w:rFonts w:ascii="Arial" w:cs="Arial" w:eastAsia="Arial" w:hAnsi="Arial"/>
                <w:sz w:val="16"/>
                <w:szCs w:val="16"/>
                <w:color w:val="auto"/>
              </w:rPr>
              <w:t>Change in fair value of derivative asset</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(3,222 )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(8,550 )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Power sales</w:t>
            </w:r>
          </w:p>
        </w:tc>
        <w:tc>
          <w:tcPr>
            <w:tcW w:w="280" w:type="dxa"/>
            <w:vAlign w:val="bottom"/>
            <w:shd w:val="clear" w:color="auto" w:fill="CCECFF"/>
          </w:tcPr>
          <w:p>
            <w:pPr>
              <w:spacing w:after="0"/>
              <w:rPr>
                <w:sz w:val="21"/>
                <w:szCs w:val="21"/>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(5,651 )</w:t>
            </w: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(5,749 )</w:t>
            </w: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240"/>
              <w:spacing w:after="0"/>
              <w:rPr>
                <w:sz w:val="20"/>
                <w:szCs w:val="20"/>
                <w:color w:val="auto"/>
              </w:rPr>
            </w:pPr>
            <w:r>
              <w:rPr>
                <w:rFonts w:ascii="Arial" w:cs="Arial" w:eastAsia="Arial" w:hAnsi="Arial"/>
                <w:sz w:val="16"/>
                <w:szCs w:val="16"/>
                <w:color w:val="auto"/>
              </w:rPr>
              <w:t>Equity in losses of equity investees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1,431</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12,079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2,181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Realized gain on sale of bitcoin</w:t>
            </w:r>
          </w:p>
        </w:tc>
        <w:tc>
          <w:tcPr>
            <w:tcW w:w="280" w:type="dxa"/>
            <w:vAlign w:val="bottom"/>
            <w:shd w:val="clear" w:color="auto" w:fill="CCECFF"/>
          </w:tcPr>
          <w:p>
            <w:pPr>
              <w:spacing w:after="0"/>
              <w:rPr>
                <w:sz w:val="21"/>
                <w:szCs w:val="21"/>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(4,185 )</w:t>
            </w: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(8,206 )</w:t>
            </w: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240"/>
              <w:spacing w:after="0"/>
              <w:rPr>
                <w:sz w:val="20"/>
                <w:szCs w:val="20"/>
                <w:color w:val="auto"/>
              </w:rPr>
            </w:pPr>
            <w:r>
              <w:rPr>
                <w:rFonts w:ascii="Arial" w:cs="Arial" w:eastAsia="Arial" w:hAnsi="Arial"/>
                <w:sz w:val="16"/>
                <w:szCs w:val="16"/>
                <w:color w:val="auto"/>
              </w:rPr>
              <w:t>Impairment of bitcoin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4,633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Other gains</w:t>
            </w:r>
          </w:p>
        </w:tc>
        <w:tc>
          <w:tcPr>
            <w:tcW w:w="280" w:type="dxa"/>
            <w:vAlign w:val="bottom"/>
            <w:shd w:val="clear" w:color="auto" w:fill="CCECFF"/>
          </w:tcPr>
          <w:p>
            <w:pPr>
              <w:spacing w:after="0"/>
              <w:rPr>
                <w:sz w:val="20"/>
                <w:szCs w:val="20"/>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(2,260 )</w:t>
            </w:r>
          </w:p>
        </w:tc>
        <w:tc>
          <w:tcPr>
            <w:tcW w:w="120" w:type="dxa"/>
            <w:vAlign w:val="bottom"/>
            <w:shd w:val="clear" w:color="auto" w:fill="CCECFF"/>
          </w:tcPr>
          <w:p>
            <w:pPr>
              <w:spacing w:after="0"/>
              <w:rPr>
                <w:sz w:val="20"/>
                <w:szCs w:val="20"/>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CFF"/>
            </w:tcBorders>
          </w:tcPr>
          <w:p>
            <w:pPr>
              <w:ind w:left="420"/>
              <w:spacing w:after="0"/>
              <w:rPr>
                <w:sz w:val="20"/>
                <w:szCs w:val="20"/>
                <w:color w:val="auto"/>
              </w:rPr>
            </w:pPr>
            <w:r>
              <w:rPr>
                <w:rFonts w:ascii="Arial" w:cs="Arial" w:eastAsia="Arial" w:hAnsi="Arial"/>
                <w:sz w:val="16"/>
                <w:szCs w:val="16"/>
                <w:color w:val="auto"/>
              </w:rPr>
              <w:t>Total costs and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42,816</w:t>
            </w:r>
          </w:p>
        </w:tc>
        <w:tc>
          <w:tcPr>
            <w:tcW w:w="38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29,326</w:t>
            </w:r>
          </w:p>
        </w:tc>
        <w:tc>
          <w:tcPr>
            <w:tcW w:w="380" w:type="dxa"/>
            <w:vAlign w:val="bottom"/>
            <w:tcBorders>
              <w:top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70,880</w:t>
            </w:r>
          </w:p>
        </w:tc>
        <w:tc>
          <w:tcPr>
            <w:tcW w:w="36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46,880</w:t>
            </w:r>
          </w:p>
        </w:tc>
        <w:tc>
          <w:tcPr>
            <w:tcW w:w="14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CFF"/>
          </w:tcPr>
          <w:p>
            <w:pPr>
              <w:ind w:left="60"/>
              <w:spacing w:after="0"/>
              <w:rPr>
                <w:sz w:val="20"/>
                <w:szCs w:val="20"/>
                <w:color w:val="auto"/>
              </w:rPr>
            </w:pPr>
            <w:r>
              <w:rPr>
                <w:rFonts w:ascii="Arial" w:cs="Arial" w:eastAsia="Arial" w:hAnsi="Arial"/>
                <w:sz w:val="16"/>
                <w:szCs w:val="16"/>
                <w:color w:val="auto"/>
              </w:rPr>
              <w:t>Operating loss</w:t>
            </w:r>
          </w:p>
        </w:tc>
        <w:tc>
          <w:tcPr>
            <w:tcW w:w="28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(11,592 )</w:t>
            </w:r>
          </w:p>
        </w:tc>
        <w:tc>
          <w:tcPr>
            <w:tcW w:w="280" w:type="dxa"/>
            <w:vAlign w:val="bottom"/>
            <w:shd w:val="clear" w:color="auto" w:fill="CCECFF"/>
          </w:tcPr>
          <w:p>
            <w:pPr>
              <w:spacing w:after="0"/>
              <w:rPr>
                <w:sz w:val="19"/>
                <w:szCs w:val="19"/>
                <w:color w:val="auto"/>
              </w:rPr>
            </w:pPr>
          </w:p>
        </w:tc>
        <w:tc>
          <w:tcPr>
            <w:tcW w:w="1400" w:type="dxa"/>
            <w:vAlign w:val="bottom"/>
            <w:gridSpan w:val="3"/>
            <w:shd w:val="clear" w:color="auto" w:fill="CCECFF"/>
          </w:tcPr>
          <w:p>
            <w:pPr>
              <w:jc w:val="right"/>
              <w:ind w:right="300"/>
              <w:spacing w:after="0"/>
              <w:rPr>
                <w:sz w:val="20"/>
                <w:szCs w:val="20"/>
                <w:color w:val="auto"/>
              </w:rPr>
            </w:pPr>
            <w:r>
              <w:rPr>
                <w:rFonts w:ascii="Arial" w:cs="Arial" w:eastAsia="Arial" w:hAnsi="Arial"/>
                <w:sz w:val="16"/>
                <w:szCs w:val="16"/>
                <w:color w:val="auto"/>
              </w:rPr>
              <w:t>(29,326 )</w:t>
            </w:r>
          </w:p>
        </w:tc>
        <w:tc>
          <w:tcPr>
            <w:tcW w:w="300" w:type="dxa"/>
            <w:vAlign w:val="bottom"/>
            <w:shd w:val="clear" w:color="auto" w:fill="CCECFF"/>
          </w:tcPr>
          <w:p>
            <w:pPr>
              <w:spacing w:after="0"/>
              <w:rPr>
                <w:sz w:val="19"/>
                <w:szCs w:val="19"/>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(17,761 )</w:t>
            </w:r>
          </w:p>
        </w:tc>
        <w:tc>
          <w:tcPr>
            <w:tcW w:w="12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(46,880 )</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CFF"/>
            </w:tcBorders>
          </w:tcPr>
          <w:p>
            <w:pPr>
              <w:ind w:left="60"/>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CCEC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44</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tcBorders>
              <w:right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101</w:t>
            </w:r>
          </w:p>
        </w:tc>
        <w:tc>
          <w:tcPr>
            <w:tcW w:w="3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(485 )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(886 )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CCECFF"/>
          </w:tcPr>
          <w:p>
            <w:pPr>
              <w:ind w:left="240"/>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shd w:val="clear" w:color="auto" w:fill="CCECFF"/>
          </w:tcPr>
          <w:p>
            <w:pPr>
              <w:spacing w:after="0"/>
              <w:rPr>
                <w:sz w:val="21"/>
                <w:szCs w:val="21"/>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(22 )</w:t>
            </w:r>
          </w:p>
        </w:tc>
        <w:tc>
          <w:tcPr>
            <w:tcW w:w="28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63</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2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(12 )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CFF"/>
          </w:tcPr>
          <w:p>
            <w:pPr>
              <w:ind w:left="420"/>
              <w:spacing w:after="0"/>
              <w:rPr>
                <w:sz w:val="20"/>
                <w:szCs w:val="20"/>
                <w:color w:val="auto"/>
              </w:rPr>
            </w:pPr>
            <w:r>
              <w:rPr>
                <w:rFonts w:ascii="Arial" w:cs="Arial" w:eastAsia="Arial" w:hAnsi="Arial"/>
                <w:sz w:val="16"/>
                <w:szCs w:val="16"/>
                <w:color w:val="auto"/>
              </w:rPr>
              <w:t>Total other income (expense)</w:t>
            </w:r>
          </w:p>
        </w:tc>
        <w:tc>
          <w:tcPr>
            <w:tcW w:w="28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(494 )</w:t>
            </w:r>
          </w:p>
        </w:tc>
        <w:tc>
          <w:tcPr>
            <w:tcW w:w="2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107</w:t>
            </w:r>
          </w:p>
        </w:tc>
        <w:tc>
          <w:tcPr>
            <w:tcW w:w="3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(856 )</w:t>
            </w:r>
          </w:p>
        </w:tc>
        <w:tc>
          <w:tcPr>
            <w:tcW w:w="12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tcPr>
          <w:p>
            <w:pPr>
              <w:ind w:left="60"/>
              <w:spacing w:after="0"/>
              <w:rPr>
                <w:sz w:val="20"/>
                <w:szCs w:val="20"/>
                <w:color w:val="auto"/>
              </w:rPr>
            </w:pPr>
            <w:r>
              <w:rPr>
                <w:rFonts w:ascii="Arial" w:cs="Arial" w:eastAsia="Arial" w:hAnsi="Arial"/>
                <w:sz w:val="16"/>
                <w:szCs w:val="16"/>
                <w:color w:val="auto"/>
              </w:rPr>
              <w:t>Loss before taxes</w:t>
            </w:r>
          </w:p>
        </w:tc>
        <w:tc>
          <w:tcPr>
            <w:tcW w:w="2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(12,086 )</w:t>
            </w:r>
          </w:p>
        </w:tc>
        <w:tc>
          <w:tcPr>
            <w:tcW w:w="28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6"/>
                <w:szCs w:val="16"/>
                <w:color w:val="auto"/>
              </w:rPr>
              <w:t>(29,219 )</w:t>
            </w:r>
          </w:p>
        </w:tc>
        <w:tc>
          <w:tcPr>
            <w:tcW w:w="300" w:type="dxa"/>
            <w:vAlign w:val="bottom"/>
          </w:tcPr>
          <w:p>
            <w:pPr>
              <w:spacing w:after="0"/>
              <w:rPr>
                <w:sz w:val="18"/>
                <w:szCs w:val="18"/>
                <w:color w:val="auto"/>
              </w:rPr>
            </w:pP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 xml:space="preserve">(18,617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(46,718 )</w:t>
            </w:r>
          </w:p>
        </w:tc>
        <w:tc>
          <w:tcPr>
            <w:tcW w:w="0" w:type="dxa"/>
            <w:vAlign w:val="bottom"/>
          </w:tcPr>
          <w:p>
            <w:pPr>
              <w:spacing w:after="0"/>
              <w:rPr>
                <w:sz w:val="1"/>
                <w:szCs w:val="1"/>
                <w:color w:val="auto"/>
              </w:rPr>
            </w:pPr>
          </w:p>
        </w:tc>
      </w:tr>
      <w:tr>
        <w:trPr>
          <w:trHeight w:val="239"/>
        </w:trPr>
        <w:tc>
          <w:tcPr>
            <w:tcW w:w="4720" w:type="dxa"/>
            <w:vAlign w:val="bottom"/>
            <w:shd w:val="clear" w:color="auto" w:fill="CCECFF"/>
          </w:tcPr>
          <w:p>
            <w:pPr>
              <w:ind w:left="60"/>
              <w:spacing w:after="0"/>
              <w:rPr>
                <w:sz w:val="20"/>
                <w:szCs w:val="20"/>
                <w:color w:val="auto"/>
              </w:rPr>
            </w:pPr>
            <w:r>
              <w:rPr>
                <w:rFonts w:ascii="Arial" w:cs="Arial" w:eastAsia="Arial" w:hAnsi="Arial"/>
                <w:sz w:val="16"/>
                <w:szCs w:val="16"/>
                <w:color w:val="auto"/>
              </w:rPr>
              <w:t>Current income tax expense</w:t>
            </w:r>
          </w:p>
        </w:tc>
        <w:tc>
          <w:tcPr>
            <w:tcW w:w="280" w:type="dxa"/>
            <w:vAlign w:val="bottom"/>
            <w:shd w:val="clear" w:color="auto" w:fill="CCECFF"/>
          </w:tcPr>
          <w:p>
            <w:pPr>
              <w:spacing w:after="0"/>
              <w:rPr>
                <w:sz w:val="20"/>
                <w:szCs w:val="20"/>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(31 )</w:t>
            </w:r>
          </w:p>
        </w:tc>
        <w:tc>
          <w:tcPr>
            <w:tcW w:w="2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CFF"/>
          </w:tcPr>
          <w:p>
            <w:pPr>
              <w:spacing w:after="0"/>
              <w:rPr>
                <w:sz w:val="20"/>
                <w:szCs w:val="20"/>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20" w:type="dxa"/>
            <w:vAlign w:val="bottom"/>
          </w:tcPr>
          <w:p>
            <w:pPr>
              <w:ind w:left="60"/>
              <w:spacing w:after="0"/>
              <w:rPr>
                <w:sz w:val="20"/>
                <w:szCs w:val="20"/>
                <w:color w:val="auto"/>
              </w:rPr>
            </w:pPr>
            <w:r>
              <w:rPr>
                <w:rFonts w:ascii="Arial" w:cs="Arial" w:eastAsia="Arial" w:hAnsi="Arial"/>
                <w:sz w:val="16"/>
                <w:szCs w:val="16"/>
                <w:color w:val="auto"/>
              </w:rPr>
              <w:t>Deferred income tax expense</w:t>
            </w:r>
          </w:p>
        </w:tc>
        <w:tc>
          <w:tcPr>
            <w:tcW w:w="2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(584 )</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(637 )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CFF"/>
          </w:tcPr>
          <w:p>
            <w:pPr>
              <w:ind w:left="60"/>
              <w:spacing w:after="0"/>
              <w:rPr>
                <w:sz w:val="20"/>
                <w:szCs w:val="20"/>
                <w:color w:val="auto"/>
              </w:rPr>
            </w:pPr>
            <w:r>
              <w:rPr>
                <w:rFonts w:ascii="Arial" w:cs="Arial" w:eastAsia="Arial" w:hAnsi="Arial"/>
                <w:sz w:val="16"/>
                <w:szCs w:val="16"/>
                <w:color w:val="auto"/>
              </w:rPr>
              <w:t>Total income tax expense</w:t>
            </w:r>
          </w:p>
        </w:tc>
        <w:tc>
          <w:tcPr>
            <w:tcW w:w="280" w:type="dxa"/>
            <w:vAlign w:val="bottom"/>
            <w:shd w:val="clear" w:color="auto" w:fill="CCECFF"/>
          </w:tcPr>
          <w:p>
            <w:pPr>
              <w:spacing w:after="0"/>
              <w:rPr>
                <w:sz w:val="19"/>
                <w:szCs w:val="19"/>
                <w:color w:val="auto"/>
              </w:rPr>
            </w:pPr>
          </w:p>
        </w:tc>
        <w:tc>
          <w:tcPr>
            <w:tcW w:w="1420" w:type="dxa"/>
            <w:vAlign w:val="bottom"/>
            <w:gridSpan w:val="2"/>
            <w:shd w:val="clear" w:color="auto" w:fill="CCECFF"/>
          </w:tcPr>
          <w:p>
            <w:pPr>
              <w:jc w:val="right"/>
              <w:ind w:right="320"/>
              <w:spacing w:after="0"/>
              <w:rPr>
                <w:sz w:val="20"/>
                <w:szCs w:val="20"/>
                <w:color w:val="auto"/>
              </w:rPr>
            </w:pPr>
            <w:r>
              <w:rPr>
                <w:rFonts w:ascii="Arial" w:cs="Arial" w:eastAsia="Arial" w:hAnsi="Arial"/>
                <w:sz w:val="16"/>
                <w:szCs w:val="16"/>
                <w:color w:val="auto"/>
              </w:rPr>
              <w:t>(615 )</w:t>
            </w:r>
          </w:p>
        </w:tc>
        <w:tc>
          <w:tcPr>
            <w:tcW w:w="2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380" w:type="dxa"/>
            <w:vAlign w:val="bottom"/>
            <w:gridSpan w:val="3"/>
            <w:shd w:val="clear" w:color="auto" w:fill="CCECFF"/>
          </w:tcPr>
          <w:p>
            <w:pPr>
              <w:jc w:val="right"/>
              <w:ind w:right="227"/>
              <w:spacing w:after="0"/>
              <w:rPr>
                <w:sz w:val="20"/>
                <w:szCs w:val="20"/>
                <w:color w:val="auto"/>
              </w:rPr>
            </w:pPr>
            <w:r>
              <w:rPr>
                <w:rFonts w:ascii="Arial" w:cs="Arial" w:eastAsia="Arial" w:hAnsi="Arial"/>
                <w:sz w:val="16"/>
                <w:szCs w:val="16"/>
                <w:color w:val="auto"/>
              </w:rPr>
              <w:t>(685 )</w:t>
            </w:r>
          </w:p>
        </w:tc>
        <w:tc>
          <w:tcPr>
            <w:tcW w:w="120" w:type="dxa"/>
            <w:vAlign w:val="bottom"/>
            <w:shd w:val="clear" w:color="auto" w:fill="CCECFF"/>
          </w:tcPr>
          <w:p>
            <w:pPr>
              <w:spacing w:after="0"/>
              <w:rPr>
                <w:sz w:val="19"/>
                <w:szCs w:val="19"/>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20" w:type="dxa"/>
            <w:vAlign w:val="bottom"/>
          </w:tcPr>
          <w:p>
            <w:pPr>
              <w:ind w:left="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(12,701 )</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300"/>
              <w:spacing w:after="0"/>
              <w:rPr>
                <w:sz w:val="20"/>
                <w:szCs w:val="20"/>
                <w:color w:val="auto"/>
              </w:rPr>
            </w:pPr>
            <w:r>
              <w:rPr>
                <w:rFonts w:ascii="Arial" w:cs="Arial" w:eastAsia="Arial" w:hAnsi="Arial"/>
                <w:sz w:val="16"/>
                <w:szCs w:val="16"/>
                <w:color w:val="auto"/>
              </w:rPr>
              <w:t>(29,219 )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27"/>
              <w:spacing w:after="0"/>
              <w:rPr>
                <w:sz w:val="20"/>
                <w:szCs w:val="20"/>
                <w:color w:val="auto"/>
              </w:rPr>
            </w:pPr>
            <w:r>
              <w:rPr>
                <w:rFonts w:ascii="Arial" w:cs="Arial" w:eastAsia="Arial" w:hAnsi="Arial"/>
                <w:sz w:val="16"/>
                <w:szCs w:val="16"/>
                <w:color w:val="auto"/>
              </w:rPr>
              <w:t xml:space="preserve">(19,302 </w:t>
            </w:r>
            <w:r>
              <w:rPr>
                <w:rFonts w:ascii="Arial" w:cs="Arial" w:eastAsia="Arial" w:hAnsi="Arial"/>
                <w:sz w:val="16"/>
                <w:szCs w:val="16"/>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(46,718 )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-4636770</wp:posOffset>
            </wp:positionV>
            <wp:extent cx="8572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-4636770</wp:posOffset>
            </wp:positionV>
            <wp:extent cx="857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-3496945</wp:posOffset>
            </wp:positionV>
            <wp:extent cx="8572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-3496945</wp:posOffset>
            </wp:positionV>
            <wp:extent cx="8572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-3496945</wp:posOffset>
            </wp:positionV>
            <wp:extent cx="7747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-3496945</wp:posOffset>
            </wp:positionV>
            <wp:extent cx="8572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-1997075</wp:posOffset>
            </wp:positionV>
            <wp:extent cx="8572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-1997075</wp:posOffset>
            </wp:positionV>
            <wp:extent cx="8572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-1997075</wp:posOffset>
            </wp:positionV>
            <wp:extent cx="7747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-1997075</wp:posOffset>
            </wp:positionV>
            <wp:extent cx="8572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-1687830</wp:posOffset>
            </wp:positionV>
            <wp:extent cx="8572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-1687830</wp:posOffset>
            </wp:positionV>
            <wp:extent cx="8572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-1687830</wp:posOffset>
            </wp:positionV>
            <wp:extent cx="7747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-1687830</wp:posOffset>
            </wp:positionV>
            <wp:extent cx="8572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-779780</wp:posOffset>
            </wp:positionV>
            <wp:extent cx="85725"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-779780</wp:posOffset>
            </wp:positionV>
            <wp:extent cx="8572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-179705</wp:posOffset>
            </wp:positionV>
            <wp:extent cx="8572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-179705</wp:posOffset>
            </wp:positionV>
            <wp:extent cx="85725"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Results for the Three Months Ended June 30,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Bitcoin mining operations at our Odessa Facility mined 1,112 bitcoin and generated revenue of $31.2 million for the three months ended June 30, 2023, at an average price per bitcoin of $28,009. The Odessa Facility began mining operations in mid-November 2022, therefore, we did not earn revenue from bitcoin mining during the three months ended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revenue for the three months ended June 30, 2023 was $15.9 million and consisted primarily of power costs at the Odessa Facility as delivered under our power purchase agreement with Luminant ET Services Company LLC (the “Luminant Power Agreement”), as well as maintenance expenses for mining equipment. We incurred no costs of revenue during the three months ended June 30, 2022 as the Odessa Facility did not begin its bitcoin mining operations until mid-November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were $21.3 million for the three months ended June 30, 2023, compared to $16.7 million for the three months ended June 30, 2022. The increase was primarily driven by increases of $2.5 million for payroll and payroll-related benefits due to increasing headcount, a $2.0 million accrual for the cost of resolving legal claims, and a $0.8 million increase in office supplies and software costs, partially offset by a decrease of $0.9 million for share-based compensation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Depreciation for the three months ended June 30, 2023 was $14.4 million, primarily related to miners, mining equipment and leasehold improvements at the Odessa Facility being placed into service beginning in November 2022, with additional miners and mining-related assets placed into service during the three months ended June 30, 2023 as we continued to expand capacity at the Odessa Facility. Also included in depreciation is the amortization of our finance lease right-of-use asset for our Interconnection Electrical Facilities (as defined below) that provides power to the Odessa Facility, amortization of our finance lease right-of-use assets representing mining equipment from the Canaan Agreement (as defined below), and accretion of our estimated asset retirement obligation related to the Odessa Facility and depreciation of the associated capitalized costs. Depreciation for the three months ended June 30, 2022 was immaterial.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asset</w:t>
      </w:r>
    </w:p>
    <w:p>
      <w:pPr>
        <w:spacing w:after="0" w:line="18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change in the fair value of our derivative asset related to the Luminant Power Agreement resulted in a gain of $3.2 million during the three months ended June 30, 2023. The gain was primarily due to the change in the power market forward curve as compared to the curve as of March 31, 2023. The Luminant Power Agreement was not in effect during the three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sales</w:t>
      </w:r>
    </w:p>
    <w:p>
      <w:pPr>
        <w:spacing w:after="0" w:line="19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$5.7 million for three months ended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equity investees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Equity in losses of equity investees totaled approximately $1.4 million for the three months ended June 30, 2023, a decrease of $10.7 million from approximately $12.1 million for the three months ended June 30, 2022. Equity in losses of equity investees consists of our 49% share in the earnings (losses) generated by our three partially-owned mining sites and also includes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Our share of the losses in the mining operations of Alborz LLC, Bear LLC and Chief LLC increased to approximately $3.1 million for the three months ended June 30, 2023 from approximately $0.5 million for the three months ended June 30, 2022. During the current three month period, all three sites were fully operational, whereas in the prior year period, only Alborz LLC had begun mining operations with a limited number of miners prior to June 30, 2022. We recognized approximately $1.7 million and nil for the three months ended June 30, 2023 and 2022, respectively, for the accretion of basis differences.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Realized gain on sale of bitcoin</w:t>
      </w:r>
    </w:p>
    <w:p>
      <w:pPr>
        <w:spacing w:after="0" w:line="19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Realized gain on sale of bitcoin was $4.2 million during the three months ended June 30, 2023. We began selling a portion of our bitcoin holdings at the start of 2023 to support our operations and cash requirements. We did not sell any bitcoin during the three months ended June 30,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bitcoin</w:t>
      </w:r>
    </w:p>
    <w:p>
      <w:pPr>
        <w:spacing w:after="0" w:line="18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recognized a total of approximately $2.8 million of impairment on our bitcoin holdings during the three months ended June 30, 2023, compared to $0.5 million for the three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Other expense totaled $0.5 million for the three months ended June 30, 2023, consisting primarily of $0.5 million of interest expense recognized related to our finance leases for the Interconnection Electrical Facilities and Canaan Agreement. Other income and expense for the three months ended June 30, 2022 was not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Income tax expense totaled $0.6 million, or -5.1% of loss before taxes, and nil for the three months ended June 30, 2023 and 2022, respectively, and was determined using the estimated effective tax rate for the year, adjusted for the impact of any discrete items which are accounted for in the period in which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Results for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Bitcoin mining operations at our Odessa Facility mined 2,055 bitcoin and generated revenue of $53.1 million for the six months ended June 30, 2023, at an average price per bitcoin of $25,390. The Odessa Facility began mining operations in mid-November 2022, therefore, we did not earn revenue from bitcoin mining during the six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Cost of revenue for the six months ended June 30, 2023 was $24.0 million and consisted primarily of power costs at the Odessa Facility as delivered under our power purchase agreement with Luminant ET Services Company LLC (the “Luminant Power Agreement”), as well as maintenance expenses for mining equipment. Power costs for the six months ended June 30, 2023 included $2.1 million of power costs related to the year ended December 31, 2022 that were recorded as an out-of-period adjustment during the current reporting period. We incurred no costs of revenue during the six months ended June 30, 2022 as the Odessa Facility did not begin its bitcoin mining operations until mid-November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General and administrative expenses were $38.8 million for the six months ended June 30, 2023 compared to $34.1 million for the six months ended June 30, 2022. The increase was primarily driven by increases of $4.8 million for payroll and payroll-related benefits due to increasing headcount, a $2.0 million accrual for the cost of resolving legal claims, and a $1.4 million increase in office supplies and software costs. These increases were partially offset by decreases of $1.6 million for state and franchise taxes, $1.6 million for share-based compensation costs, $0.8 million for legal expenses, and $0.4 million for business insurance. Legal and consulting expenses were higher during the six months ended June 30, 2022 in part due to legal expenses associated with the waiver, lock-up and board observer agreements that we entered into in early April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Depreciation for the six months ended June 30, 2023 was $26.1 million, primarily related to miners, mining equipment and leasehold improvements at the Odessa Facility being placed into service beginning in November 2022, with additional miners and mining-related assets placed into service during the six months ended June 30, 2023 as we continued to expand capacity at the Odessa Facility. Also included in depreciation is the amortization of our finance lease right-of-use asset for our Interconnection Electrical Facilities (as defined below) that provides power to the Odessa Facility, amortization of our finance lease right-of-use assets representing mining equipment from the Canaan Agreement, and accretion of our estimated asset retirement obligation related to the Odessa Facility and depreciation of the associated capitalized costs. Depreciation for the six months ended June 30, 2022 was immaterial.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Change in fair value of derivative asset</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change in the fair value of our derivative asset related to the Luminant Power Agreement resulted in a gain of $8.6 million during the six months ended June 30, 2023. The gain was primarily due to the change in the power market forward curve as compared to the curve as of December 31, 2022. The Luminant Power Agreement was not effective during the six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sales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$5.7 million for the six months ended June 30, 2023. Power sales for the six months ended June 30, 2023 included $1.6 million for sales of power that occurred during the year ended December 31, 2022 that were recorded as an out-of-period adjustment during the current reporting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equity investees</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Equity in losses of equity investees totaled approximately $2.2 million for the six months ended June 30, 2023, a decrease of $10.0 million from approximately $12.2 million for the six months ended June 30, 2022. Equity in losses of equity investees consists of our 49% share in the earnings (losses) generated by our three partially-owned mining sites and also includes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Our share of the losses in the mining operations of Alborz LLC, Bear LLC and Chief LLC increased to approximately $5.5 million for the six months ended June 30, 2023 from approximately $0.6 million for the six months ended June 30, 2022. During the current six month period, all three sites were fully operational, whereas in the prior year period, only Alborz LLC had begun mining operations with a limited number of miners prior to June 30, 2022. We recognized approximately $3.3 million and nil for the six months ended June 30, 2023 and 2022, respectively, for the accretion of basis differences.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 on sale of bitcoin</w:t>
      </w:r>
    </w:p>
    <w:p>
      <w:pPr>
        <w:spacing w:after="0" w:line="19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Realized gain on sale of bitcoin was $8.2 million during the six months ended June 30, 2023. We began selling a portion of our bitcoin holdings at the start of 2023 to support our operations and cash requirements. We did not sell any bitcoin during the six months ended June 30,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bitcoin</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recognized a total of approximately $4.6 million of impairment on our bitcoin holdings during the six months ended June 30, 2023, compared to $0.5 million for the six months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recognized proceeds of approximately $2.3 million during the six months ended June 30, 2023 related to the sale of transferrable coupons received from Bitmain Technologies Limited (“Bitmain”) during fiscal year 2022. These coupons could be redeemed by us only through the purchase of additional miners from Bitmain prior to the April 2023 expiration date, however, we did not expect to use them and instead sold the coupons to a third party that approached us with interest to purchase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Other expense totaled $0.9 million for the six months ended June 30, 2023, consisting mainly of $0.9 million of interest expense recognized related to our finance lease for the Interconnection Electrical Facilities. Other income for the six months ended June 30, 2023 was not significant.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Income tax expense totaled $0.7 million, or -3.7% of loss before taxes, and nil for the six months ended June 30, 2023 and 2022, respectively, and was determined using the estimated effective tax rate for the year, adjusted for the impact of any discrete items which are accounted for in the period in which they occur.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generated cash flows from operations of $24.7 million for the six months ended June 30, 2023. As of June 30, 2023, we had cash and cash equivalents of $1.7 million, total stockholders’ equity of $343.2 million and an accumulated deficit of $130.5 million. For our fiscal years ended December 31, 2022 and 2021, in large part, we relied on proceeds from the consummation of our business combination with Good Works Acquisition Corp. (“GWAC’) to fund our operations; however, during the six months ended June 30, 2023, we utilized proceeds from sales of bitcoin earned by or received from its bitcoin mining data centers to support operating expenses. During the six months ended June 30, 2023, we sold 2,063 bitcoin for proceeds of approximately $52.5 million. On May 4, 2023, we entered into an agreement with Canaan Creative Global Pte. Ltd. (“Canaan”) to purchase 11,000 new A1346 model miners (the “Canaan Agreement”), all of which were delivered prior to June 30, 2023 and have been installed at the Odessa Facility. Because we are paying for the Canaan miners over time, we do not yet hold title to the miners. We paid an initial 10% deposit plus 18% of the total purchase price prior to delivery, and are required to pay monthly installment payments for the Canaan miners through November 2023, at which time title to the miners will transfer to us. We expect to fund our ongoing payment obligations for the purchase through our ongoing operations, including by selling bitcoin generated at our data centers.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intends to continue with the infrastructure buildout at the Odessa Facility to get the site to full capacity in support of our current business plans. Management believes that our existing financial resources, combined with projected cash and bitcoin inflows from its data centers and its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at-the market offering agreement (the “Sales Agreement”) with H.C. Wainwright &amp; Co., LLC (the “Agent”), under which the Company may, from time to time, sell shares of its Common Stock having an aggregate offering price of up to $250.0 million in “at-the-market” offerings through the Agent, which is included in the $500.0 million of securities that may be offered pursuant to the Registration Statement. As of June 30, 2023, the Company had received net proceeds on sales of 1.0 million shares of common stock under the Prior Sales Agreement of approximately $2.7 million (net of commissions and expenses) at a weighted average price of $2.78.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68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9"/>
                <w:szCs w:val="19"/>
                <w:color w:val="auto"/>
              </w:rPr>
            </w:pPr>
          </w:p>
        </w:tc>
      </w:tr>
      <w:tr>
        <w:trPr>
          <w:trHeight w:val="243"/>
        </w:trPr>
        <w:tc>
          <w:tcPr>
            <w:tcW w:w="6800" w:type="dxa"/>
            <w:vAlign w:val="bottom"/>
            <w:shd w:val="clear" w:color="auto" w:fill="CCECFF"/>
          </w:tcPr>
          <w:p>
            <w:pPr>
              <w:ind w:left="60"/>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shd w:val="clear" w:color="auto" w:fill="CCECFF"/>
          </w:tcPr>
          <w:p>
            <w:pPr>
              <w:jc w:val="right"/>
              <w:ind w:right="97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24,679</w:t>
            </w:r>
          </w:p>
        </w:tc>
        <w:tc>
          <w:tcPr>
            <w:tcW w:w="480" w:type="dxa"/>
            <w:vAlign w:val="bottom"/>
            <w:shd w:val="clear" w:color="auto" w:fill="CCECFF"/>
          </w:tcPr>
          <w:p>
            <w:pPr>
              <w:spacing w:after="0"/>
              <w:rPr>
                <w:sz w:val="21"/>
                <w:szCs w:val="21"/>
                <w:color w:val="auto"/>
              </w:rPr>
            </w:pPr>
          </w:p>
        </w:tc>
        <w:tc>
          <w:tcPr>
            <w:tcW w:w="760" w:type="dxa"/>
            <w:vAlign w:val="bottom"/>
            <w:shd w:val="clear" w:color="auto" w:fill="CCEC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(9,932</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800" w:type="dxa"/>
            <w:vAlign w:val="bottom"/>
          </w:tcPr>
          <w:p>
            <w:pPr>
              <w:ind w:left="6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(34,437 )</w:t>
            </w:r>
          </w:p>
        </w:tc>
        <w:tc>
          <w:tcPr>
            <w:tcW w:w="7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(159,815 )</w:t>
            </w:r>
          </w:p>
        </w:tc>
      </w:tr>
      <w:tr>
        <w:trPr>
          <w:trHeight w:val="243"/>
        </w:trPr>
        <w:tc>
          <w:tcPr>
            <w:tcW w:w="6800" w:type="dxa"/>
            <w:vAlign w:val="bottom"/>
            <w:shd w:val="clear" w:color="auto" w:fill="CCECFF"/>
          </w:tcPr>
          <w:p>
            <w:pPr>
              <w:ind w:left="6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400"/>
              <w:spacing w:after="0"/>
              <w:rPr>
                <w:sz w:val="20"/>
                <w:szCs w:val="20"/>
                <w:color w:val="auto"/>
              </w:rPr>
            </w:pPr>
            <w:r>
              <w:rPr>
                <w:rFonts w:ascii="Arial" w:cs="Arial" w:eastAsia="Arial" w:hAnsi="Arial"/>
                <w:sz w:val="18"/>
                <w:szCs w:val="18"/>
                <w:color w:val="auto"/>
              </w:rPr>
              <w:t>(428 )</w:t>
            </w:r>
          </w:p>
        </w:tc>
        <w:tc>
          <w:tcPr>
            <w:tcW w:w="76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(3,052 )</w:t>
            </w:r>
          </w:p>
        </w:tc>
      </w:tr>
      <w:tr>
        <w:trPr>
          <w:trHeight w:val="20"/>
        </w:trPr>
        <w:tc>
          <w:tcPr>
            <w:tcW w:w="680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r>
      <w:tr>
        <w:trPr>
          <w:trHeight w:val="243"/>
        </w:trPr>
        <w:tc>
          <w:tcPr>
            <w:tcW w:w="6800" w:type="dxa"/>
            <w:vAlign w:val="bottom"/>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tcPr>
          <w:p>
            <w:pPr>
              <w:jc w:val="right"/>
              <w:ind w:right="973"/>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(10,186 )</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(172,799 )</w:t>
            </w:r>
          </w:p>
        </w:tc>
      </w:tr>
      <w:tr>
        <w:trPr>
          <w:trHeight w:val="20"/>
        </w:trPr>
        <w:tc>
          <w:tcPr>
            <w:tcW w:w="6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-187960</wp:posOffset>
            </wp:positionV>
            <wp:extent cx="9461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provided by operating activities increased by $34.6 million to $24.7 million for the six months ended June 30, 2023 from net cash used of $9.9 million for the six months ended June 30, 2022. Net loss improved by $27.4 million to $19.3 million for the six months ended June 30, 2023 from $46.7 million for the six months ended June 30, 2022. Net loss impact to cash flows was affected by a $49.2 million decrease in non-cash items, primarily driven by $52.8 million for bitcoin received as payment from our mining pool operator (with no comparable activity in the prior year period), a $10.1 million decrease in equity in losses of equity investees, $8.6 million change in fair value of the Luminant Power Agreement derivative asset, $8.2 million realized gain on the sale of bitcoin (with no comparable activity in the prior year period), partially offset by an increase of $26.1 million of depreciation and $4.1 million increase in the impairment of bitcoin. Additionally, changes in assets and liabilities resulted in an increase in cash provided of $56.4 million between the six months ended June 30, 2023 and 2022. This increase in cash provided was due primarily to proceeds of $52.5 million from the sale of bitcoin, and a $5.1 million increase in accrued expenses and other current liabilities, partially offset by the $1.5 million decrease in accounts payable to related parties.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decreased by $125.4 million to $34.4 million for the six months ended June 30, 2023 from $159.8 million for the six months ended June 30, 2022, primarily related to a $153.9 million decrease of deposits for miners and mining equipment, partially offset by a $15.5 million increase in purchases of property and equipment related to our continued build out of the infrastructure at our Odessa Facility, $6.3 million decrease in capital distributions from equitee investees.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financing activities decreased to $0.4 million for the six months ended June 30, 2023 from $3.1 million for the six months ended June 30, 2022, primarily driven by $2.8 million of proceeds from the issuance of common stock (with no comparable activity in the prior year period), a $1.9 million decrease in the repurchase of shares to cover tax obligations of employees resulting from the vesting of RSUs during the respective periods, partially offset by $2.1 million in principal payments on finance leases.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Business History; Need for Additional Capital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limited historical financial information about us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“Risks Factors—Risks Related to Our Business, Industry and Operations—We may need to raise additional capital, which may not be available on terms acceptable to us, or at all” in our 2022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9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December 17, 2021, we entered into a lease agreement for executive office space, with an effective term that commenced on February 1, 2022 and monthly rent payments of approximately $0.1 million. The initial lease term is for a period of five years and four months.</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us (estimated total undiscounted principal payments of approximately $15.0 million).</w:t>
      </w:r>
    </w:p>
    <w:p>
      <w:pPr>
        <w:spacing w:after="0" w:line="14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Combined Luminant Lease Agreement commenced on November 22, 2022 and has an initial term of five years, with renewal provisions that are aligned with the Luminant Power Agreement. Since commencement, we have not made any payments for rent of the Interconnection Electrical Facilities, but we have recorded an accrual of approximately $2.4 million for the estimated payments due under the Luminant Lease Agreement. The Company expects to begin making monthly lease payments in August 2023. At the end of the lease term for the Interconnection Electrical Facilities, the substation will be sold back to Luminant’s affiliate, Vistra Operations Company, LLC at a price to be determined based upon bids obtained in the secondary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and Mining Equipment</w:t>
      </w:r>
    </w:p>
    <w:p>
      <w:pPr>
        <w:spacing w:after="0" w:line="18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November and December 2022, we agreed to purchase 5,000 and 2,200, respectively, Antminer S19j Pro (100 TH/s) (“S19j Pro”) miners from Bitmain. For these miners, we paid an average price of $2.35 per terahash, covering the majority of the purchase price by using accumulated Bitmain coupons from previous orders. We have no further payments due in respect of those orders. As of April 2023, all of those miners have been delivered to us in Texas.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ind w:right="180"/>
        <w:spacing w:after="0" w:line="296" w:lineRule="auto"/>
        <w:rPr>
          <w:sz w:val="20"/>
          <w:szCs w:val="20"/>
          <w:color w:val="auto"/>
        </w:rPr>
      </w:pPr>
      <w:r>
        <w:rPr>
          <w:rFonts w:ascii="Arial" w:cs="Arial" w:eastAsia="Arial" w:hAnsi="Arial"/>
          <w:sz w:val="16"/>
          <w:szCs w:val="16"/>
          <w:color w:val="auto"/>
        </w:rPr>
        <w:t>On May 4, 2023, we entered into the Canaan Agreement with Canaan to purchase 11,000 new A1346 model miners, all of which were delivered prior to June 30, 2023 and have been installed at the Odessa Facility. Because the Company is paying for the Canaan miners over time, the Company does not yet hold title to the miners. We paid an initial 10% deposit plus 18% of the total purchase price prior to delivery, and we are required to pay monthly installment payments for the Canaan miners through November 2023, at which time title to the miners will transfer to us. We expect to fund our ongoing payment obligations for the purchase through our ongoing operations, including by selling bitcoin generated at our data centers.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providing supplemental financial measures for (i) non-GAAP loss from operations that excludes the impact of depreciation and amortization, the non-cash change in the fair value of our derivative asset, share-based compensation expense and nonrecurring gains, which in the six months ended June 30, 2023 were associated with the sale of Bitmain coupons and (ii) non-GAAP net income (loss) and non-GAAP basic and diluted income (loss) per share that exclude the impact of depreciation and amortization, the non-cash change in the fair value of our derivative asset, share-based compensation expense, nonrecurring gains, the change in the fair value of the warrant liability and deferred income tax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and amortization, (ii) the non-cash change in the fair value of our derivative asset (iii) share-based compensation expense and (iv) nonrecurring gains, which could vary significantly in comparison to other companies.</w:t>
      </w:r>
    </w:p>
    <w:p>
      <w:pPr>
        <w:spacing w:after="0" w:line="16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Non-GAAP net income (loss) and non-GAAP basic and diluted income (loss) per share exclude the impact of (i) depreciation and amortization, (ii) the non-cash change in the fair value of our derivative asset, (iii) share-based compensation expense, (iv) nonrecurring gains, (v) the non-cash change in the fair value of our warrant liability and (vi) deferred income tax expense. We believe the use of these non-GAAP financial measures can also facilitate comparison of our operating results to those of our competitors.</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and amortization will continue to be a recurring expense over the useful lives of the related assets. Our non-GAAP financial measures are not meant to be considered in isolation and should be read only in conjunction with our unaudited condensed consolidated financial statements included elsewhere in this Quarterly Report, which have been prepared in accordance with GAAP. We rely primarily on such unaudited condensed consolidated financial statements to understand, manage and evaluate our business performance and use the non-GAAP financial measures only supplementally.</w:t>
      </w:r>
    </w:p>
    <w:p>
      <w:pPr>
        <w:spacing w:after="0" w:line="13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following is a reconciliation of our non-GAAP loss from operations, which excludes the impact of (i) depreciation and amortization, (ii) the non-cash change in the fair value of our derivative asset (iii) share-based compensation expense and (iv) nonrecurring gains, to its most directly comparable GAAP measure for the periods indicated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5"/>
          </w:tcPr>
          <w:p>
            <w:pPr>
              <w:jc w:val="right"/>
              <w:ind w:right="750"/>
              <w:spacing w:after="0"/>
              <w:rPr>
                <w:sz w:val="20"/>
                <w:szCs w:val="20"/>
                <w:color w:val="auto"/>
              </w:rPr>
            </w:pPr>
            <w:r>
              <w:rPr>
                <w:rFonts w:ascii="Arial" w:cs="Arial" w:eastAsia="Arial" w:hAnsi="Arial"/>
                <w:sz w:val="16"/>
                <w:szCs w:val="16"/>
                <w:b w:val="1"/>
                <w:bCs w:val="1"/>
                <w:color w:val="auto"/>
                <w:w w:val="99"/>
              </w:rPr>
              <w:t>Three Months Ended June 30,</w:t>
            </w:r>
          </w:p>
        </w:tc>
        <w:tc>
          <w:tcPr>
            <w:tcW w:w="280" w:type="dxa"/>
            <w:vAlign w:val="bottom"/>
          </w:tcPr>
          <w:p>
            <w:pPr>
              <w:spacing w:after="0"/>
              <w:rPr>
                <w:sz w:val="19"/>
                <w:szCs w:val="19"/>
                <w:color w:val="auto"/>
              </w:rPr>
            </w:pPr>
          </w:p>
        </w:tc>
        <w:tc>
          <w:tcPr>
            <w:tcW w:w="2860" w:type="dxa"/>
            <w:vAlign w:val="bottom"/>
            <w:gridSpan w:val="5"/>
          </w:tcPr>
          <w:p>
            <w:pPr>
              <w:jc w:val="right"/>
              <w:ind w:right="61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47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11"/>
        </w:trPr>
        <w:tc>
          <w:tcPr>
            <w:tcW w:w="470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rPr>
              <w:t>Reconciliation of non-GAAP income (loss) from</w:t>
            </w:r>
          </w:p>
        </w:tc>
        <w:tc>
          <w:tcPr>
            <w:tcW w:w="28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r>
      <w:tr>
        <w:trPr>
          <w:trHeight w:val="248"/>
        </w:trPr>
        <w:tc>
          <w:tcPr>
            <w:tcW w:w="47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700" w:type="dxa"/>
            <w:vAlign w:val="bottom"/>
          </w:tcPr>
          <w:p>
            <w:pPr>
              <w:ind w:left="6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(11,592 )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(29,326 )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(17,761 )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(46,880 )</w:t>
            </w:r>
          </w:p>
        </w:tc>
      </w:tr>
      <w:tr>
        <w:trPr>
          <w:trHeight w:val="249"/>
        </w:trPr>
        <w:tc>
          <w:tcPr>
            <w:tcW w:w="4700" w:type="dxa"/>
            <w:vAlign w:val="bottom"/>
            <w:shd w:val="clear" w:color="auto" w:fill="CCECFF"/>
          </w:tcPr>
          <w:p>
            <w:pPr>
              <w:ind w:left="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14,642</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26,519</w:t>
            </w:r>
          </w:p>
        </w:tc>
        <w:tc>
          <w:tcPr>
            <w:tcW w:w="4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CFF"/>
          </w:tcPr>
          <w:p>
            <w:pPr>
              <w:spacing w:after="0"/>
              <w:rPr>
                <w:sz w:val="21"/>
                <w:szCs w:val="21"/>
                <w:color w:val="auto"/>
              </w:rPr>
            </w:pPr>
          </w:p>
        </w:tc>
      </w:tr>
      <w:tr>
        <w:trPr>
          <w:trHeight w:val="237"/>
        </w:trPr>
        <w:tc>
          <w:tcPr>
            <w:tcW w:w="4700" w:type="dxa"/>
            <w:vAlign w:val="bottom"/>
          </w:tcPr>
          <w:p>
            <w:pPr>
              <w:ind w:left="60"/>
              <w:spacing w:after="0"/>
              <w:rPr>
                <w:sz w:val="20"/>
                <w:szCs w:val="20"/>
                <w:color w:val="auto"/>
              </w:rPr>
            </w:pPr>
            <w:r>
              <w:rPr>
                <w:rFonts w:ascii="Arial" w:cs="Arial" w:eastAsia="Arial" w:hAnsi="Arial"/>
                <w:sz w:val="18"/>
                <w:szCs w:val="18"/>
                <w:color w:val="auto"/>
              </w:rPr>
              <w:t>Change in fair value of derivative asset</w:t>
            </w:r>
          </w:p>
        </w:tc>
        <w:tc>
          <w:tcPr>
            <w:tcW w:w="2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(3,222 )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(8,550 )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00" w:type="dxa"/>
            <w:vAlign w:val="bottom"/>
            <w:shd w:val="clear" w:color="auto" w:fill="CCECFF"/>
          </w:tcPr>
          <w:p>
            <w:pPr>
              <w:ind w:left="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CFF"/>
          </w:tcPr>
          <w:p>
            <w:pPr>
              <w:spacing w:after="0"/>
              <w:rPr>
                <w:sz w:val="21"/>
                <w:szCs w:val="21"/>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9,178</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10,064</w:t>
            </w:r>
          </w:p>
        </w:tc>
        <w:tc>
          <w:tcPr>
            <w:tcW w:w="3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17,988</w:t>
            </w:r>
          </w:p>
        </w:tc>
        <w:tc>
          <w:tcPr>
            <w:tcW w:w="4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19,578</w:t>
            </w:r>
          </w:p>
        </w:tc>
        <w:tc>
          <w:tcPr>
            <w:tcW w:w="140" w:type="dxa"/>
            <w:vAlign w:val="bottom"/>
            <w:shd w:val="clear" w:color="auto" w:fill="CCECFF"/>
          </w:tcPr>
          <w:p>
            <w:pPr>
              <w:spacing w:after="0"/>
              <w:rPr>
                <w:sz w:val="21"/>
                <w:szCs w:val="21"/>
                <w:color w:val="auto"/>
              </w:rPr>
            </w:pPr>
          </w:p>
        </w:tc>
      </w:tr>
      <w:tr>
        <w:trPr>
          <w:trHeight w:val="237"/>
        </w:trPr>
        <w:tc>
          <w:tcPr>
            <w:tcW w:w="4700" w:type="dxa"/>
            <w:vAlign w:val="bottom"/>
          </w:tcPr>
          <w:p>
            <w:pPr>
              <w:ind w:left="60"/>
              <w:spacing w:after="0"/>
              <w:rPr>
                <w:sz w:val="20"/>
                <w:szCs w:val="20"/>
                <w:color w:val="auto"/>
              </w:rPr>
            </w:pPr>
            <w:r>
              <w:rPr>
                <w:rFonts w:ascii="Arial" w:cs="Arial" w:eastAsia="Arial" w:hAnsi="Arial"/>
                <w:sz w:val="18"/>
                <w:szCs w:val="18"/>
                <w:color w:val="auto"/>
              </w:rPr>
              <w:t>Other gains - nonrecurring</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(2,255 )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83"/>
        </w:trPr>
        <w:tc>
          <w:tcPr>
            <w:tcW w:w="470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Non-GAAP income (loss) from operations</w:t>
            </w:r>
          </w:p>
        </w:tc>
        <w:tc>
          <w:tcPr>
            <w:tcW w:w="28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9,006</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(19,254</w:t>
            </w:r>
          </w:p>
        </w:tc>
        <w:tc>
          <w:tcPr>
            <w:tcW w:w="380" w:type="dxa"/>
            <w:vAlign w:val="bottom"/>
            <w:tcBorders>
              <w:bottom w:val="single" w:sz="8" w:color="CCECFF"/>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15,941</w:t>
            </w:r>
          </w:p>
        </w:tc>
        <w:tc>
          <w:tcPr>
            <w:tcW w:w="40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(27,287</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are reconciliations of our non-GAAP net income (loss) and non-GAAP basic and diluted net income (loss) per share, in each case excluding the impact of (i) depreciation and amortization (ii) the non-cash change in the fair value of our derivative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160" w:firstLine="8"/>
        <w:spacing w:after="0" w:line="27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compensation expense, (iv) nonrecurring gains, (v) the non-cash change in the fair value of our warrant liability and (vi) deferred income tax expense, to the most directly comparable GAAP measures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gridSpan w:val="5"/>
          </w:tcPr>
          <w:p>
            <w:pPr>
              <w:jc w:val="right"/>
              <w:ind w:right="730"/>
              <w:spacing w:after="0"/>
              <w:rPr>
                <w:sz w:val="20"/>
                <w:szCs w:val="20"/>
                <w:color w:val="auto"/>
              </w:rPr>
            </w:pPr>
            <w:r>
              <w:rPr>
                <w:rFonts w:ascii="Arial" w:cs="Arial" w:eastAsia="Arial" w:hAnsi="Arial"/>
                <w:sz w:val="16"/>
                <w:szCs w:val="16"/>
                <w:b w:val="1"/>
                <w:bCs w:val="1"/>
                <w:color w:val="auto"/>
                <w:w w:val="98"/>
              </w:rPr>
              <w:t>Three Months Ended June 30,</w:t>
            </w:r>
          </w:p>
        </w:tc>
        <w:tc>
          <w:tcPr>
            <w:tcW w:w="300" w:type="dxa"/>
            <w:vAlign w:val="bottom"/>
          </w:tcPr>
          <w:p>
            <w:pPr>
              <w:spacing w:after="0"/>
              <w:rPr>
                <w:sz w:val="19"/>
                <w:szCs w:val="19"/>
                <w:color w:val="auto"/>
              </w:rPr>
            </w:pPr>
          </w:p>
        </w:tc>
        <w:tc>
          <w:tcPr>
            <w:tcW w:w="2840" w:type="dxa"/>
            <w:vAlign w:val="bottom"/>
            <w:gridSpan w:val="5"/>
          </w:tcPr>
          <w:p>
            <w:pPr>
              <w:jc w:val="right"/>
              <w:ind w:right="59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4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rPr>
              <w:t>Reconciliation of non-GAAP net income (loss):</w:t>
            </w: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(12,701 )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(29,219 )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(19,302 )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(46,718 )</w:t>
            </w:r>
          </w:p>
        </w:tc>
      </w:tr>
      <w:tr>
        <w:trPr>
          <w:trHeight w:val="249"/>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color w:val="auto"/>
              </w:rPr>
              <w:t>Non-cash adjustments to net loss:</w:t>
            </w: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26,519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r>
      <w:tr>
        <w:trPr>
          <w:trHeight w:val="249"/>
        </w:trPr>
        <w:tc>
          <w:tcPr>
            <w:tcW w:w="47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Change in fair value of derivative asset</w:t>
            </w:r>
          </w:p>
        </w:tc>
        <w:tc>
          <w:tcPr>
            <w:tcW w:w="28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(3,222 )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(8,550 )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17,988</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19,578</w:t>
            </w:r>
          </w:p>
        </w:tc>
        <w:tc>
          <w:tcPr>
            <w:tcW w:w="140" w:type="dxa"/>
            <w:vAlign w:val="bottom"/>
          </w:tcPr>
          <w:p>
            <w:pPr>
              <w:spacing w:after="0"/>
              <w:rPr>
                <w:sz w:val="20"/>
                <w:szCs w:val="20"/>
                <w:color w:val="auto"/>
              </w:rPr>
            </w:pPr>
          </w:p>
        </w:tc>
      </w:tr>
      <w:tr>
        <w:trPr>
          <w:trHeight w:val="249"/>
        </w:trPr>
        <w:tc>
          <w:tcPr>
            <w:tcW w:w="47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Other gains - nonrecurring</w:t>
            </w: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(2,255 )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(59 )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r>
      <w:tr>
        <w:trPr>
          <w:trHeight w:val="249"/>
        </w:trPr>
        <w:tc>
          <w:tcPr>
            <w:tcW w:w="47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Deferred income tax expense</w:t>
            </w:r>
          </w:p>
        </w:tc>
        <w:tc>
          <w:tcPr>
            <w:tcW w:w="28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(584 )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(637 )</w:t>
            </w: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Borders>
              <w:top w:val="single" w:sz="8" w:color="CCECFF"/>
            </w:tcBorders>
          </w:tcPr>
          <w:p>
            <w:pPr>
              <w:ind w:left="160"/>
              <w:spacing w:after="0"/>
              <w:rPr>
                <w:sz w:val="20"/>
                <w:szCs w:val="20"/>
                <w:color w:val="auto"/>
              </w:rPr>
            </w:pPr>
            <w:r>
              <w:rPr>
                <w:rFonts w:ascii="Arial" w:cs="Arial" w:eastAsia="Arial" w:hAnsi="Arial"/>
                <w:sz w:val="18"/>
                <w:szCs w:val="18"/>
                <w:color w:val="auto"/>
              </w:rPr>
              <w:t>Total non-cash adjustments to net loss</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380" w:type="dxa"/>
            <w:vAlign w:val="bottom"/>
            <w:tcBorders>
              <w:top w:val="single" w:sz="8" w:color="CCEC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380" w:type="dxa"/>
            <w:vAlign w:val="bottom"/>
            <w:tcBorders>
              <w:top w:val="single" w:sz="8" w:color="CCEC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380" w:type="dxa"/>
            <w:vAlign w:val="bottom"/>
            <w:tcBorders>
              <w:top w:val="single" w:sz="8" w:color="CCEC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140" w:type="dxa"/>
            <w:vAlign w:val="bottom"/>
            <w:tcBorders>
              <w:top w:val="single" w:sz="8" w:color="CCECFF"/>
            </w:tcBorders>
          </w:tcPr>
          <w:p>
            <w:pPr>
              <w:spacing w:after="0"/>
              <w:rPr>
                <w:sz w:val="20"/>
                <w:szCs w:val="20"/>
                <w:color w:val="auto"/>
              </w:rPr>
            </w:pPr>
          </w:p>
        </w:tc>
      </w:tr>
      <w:tr>
        <w:trPr>
          <w:trHeight w:val="276"/>
        </w:trPr>
        <w:tc>
          <w:tcPr>
            <w:tcW w:w="4740" w:type="dxa"/>
            <w:vAlign w:val="bottom"/>
            <w:tcBorders>
              <w:bottom w:val="single" w:sz="8" w:color="CCECFF"/>
            </w:tcBorders>
            <w:shd w:val="clear" w:color="auto" w:fill="CCECFF"/>
          </w:tcPr>
          <w:p>
            <w:pPr>
              <w:ind w:left="240"/>
              <w:spacing w:after="0"/>
              <w:rPr>
                <w:sz w:val="20"/>
                <w:szCs w:val="20"/>
                <w:color w:val="auto"/>
              </w:rPr>
            </w:pPr>
            <w:r>
              <w:rPr>
                <w:rFonts w:ascii="Arial" w:cs="Arial" w:eastAsia="Arial" w:hAnsi="Arial"/>
                <w:sz w:val="18"/>
                <w:szCs w:val="18"/>
                <w:color w:val="auto"/>
              </w:rPr>
              <w:t>Non-GAAP net income (loss)</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7,291</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(19,084</w:t>
            </w:r>
          </w:p>
        </w:tc>
        <w:tc>
          <w:tcPr>
            <w:tcW w:w="380" w:type="dxa"/>
            <w:vAlign w:val="bottom"/>
            <w:tcBorders>
              <w:bottom w:val="single" w:sz="8" w:color="CCECFF"/>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13,704</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(27,014</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b w:val="1"/>
                <w:bCs w:val="1"/>
                <w:color w:val="auto"/>
              </w:rPr>
              <w:t>Reconciliation of non-GAAP basic and diluted net</w:t>
            </w:r>
          </w:p>
        </w:tc>
        <w:tc>
          <w:tcPr>
            <w:tcW w:w="28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r>
      <w:tr>
        <w:trPr>
          <w:trHeight w:val="248"/>
        </w:trPr>
        <w:tc>
          <w:tcPr>
            <w:tcW w:w="47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income (loss) per share:</w:t>
            </w:r>
          </w:p>
        </w:tc>
        <w:tc>
          <w:tcPr>
            <w:tcW w:w="28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6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(0.12 )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(0.08 )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(0.19 )</w:t>
            </w:r>
          </w:p>
        </w:tc>
      </w:tr>
      <w:tr>
        <w:trPr>
          <w:trHeight w:val="249"/>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color w:val="auto"/>
              </w:rPr>
              <w:t>Depreciation and amortization (per share)</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60"/>
              <w:spacing w:after="0"/>
              <w:rPr>
                <w:sz w:val="20"/>
                <w:szCs w:val="20"/>
                <w:color w:val="auto"/>
              </w:rPr>
            </w:pPr>
            <w:r>
              <w:rPr>
                <w:rFonts w:ascii="Arial" w:cs="Arial" w:eastAsia="Arial" w:hAnsi="Arial"/>
                <w:sz w:val="18"/>
                <w:szCs w:val="18"/>
                <w:color w:val="auto"/>
              </w:rPr>
              <w:t>Change in fair value of derivative asset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(0.01 )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(0.03 )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color w:val="auto"/>
              </w:rPr>
              <w:t>Share-based compensation expense (per share)</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0.07</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CFF"/>
          </w:tcPr>
          <w:p>
            <w:pPr>
              <w:spacing w:after="0"/>
              <w:rPr>
                <w:sz w:val="21"/>
                <w:szCs w:val="21"/>
                <w:color w:val="auto"/>
              </w:rPr>
            </w:pPr>
          </w:p>
        </w:tc>
      </w:tr>
      <w:tr>
        <w:trPr>
          <w:trHeight w:val="237"/>
        </w:trPr>
        <w:tc>
          <w:tcPr>
            <w:tcW w:w="4740" w:type="dxa"/>
            <w:vAlign w:val="bottom"/>
          </w:tcPr>
          <w:p>
            <w:pPr>
              <w:ind w:left="60"/>
              <w:spacing w:after="0"/>
              <w:rPr>
                <w:sz w:val="20"/>
                <w:szCs w:val="20"/>
                <w:color w:val="auto"/>
              </w:rPr>
            </w:pPr>
            <w:r>
              <w:rPr>
                <w:rFonts w:ascii="Arial" w:cs="Arial" w:eastAsia="Arial" w:hAnsi="Arial"/>
                <w:sz w:val="18"/>
                <w:szCs w:val="18"/>
                <w:color w:val="auto"/>
              </w:rPr>
              <w:t>Other gains - nonrecurring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(0.01 )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4740" w:type="dxa"/>
            <w:vAlign w:val="bottom"/>
            <w:shd w:val="clear" w:color="auto" w:fill="CCECFF"/>
          </w:tcPr>
          <w:p>
            <w:pPr>
              <w:ind w:left="60"/>
              <w:spacing w:after="0"/>
              <w:rPr>
                <w:sz w:val="20"/>
                <w:szCs w:val="20"/>
                <w:color w:val="auto"/>
              </w:rPr>
            </w:pPr>
            <w:r>
              <w:rPr>
                <w:rFonts w:ascii="Arial" w:cs="Arial" w:eastAsia="Arial" w:hAnsi="Arial"/>
                <w:sz w:val="18"/>
                <w:szCs w:val="18"/>
                <w:color w:val="auto"/>
              </w:rPr>
              <w:t>Change in fair value of warrant liability (per share)</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21"/>
                <w:szCs w:val="21"/>
                <w:color w:val="auto"/>
              </w:rPr>
            </w:pPr>
          </w:p>
        </w:tc>
      </w:tr>
      <w:tr>
        <w:trPr>
          <w:trHeight w:val="243"/>
        </w:trPr>
        <w:tc>
          <w:tcPr>
            <w:tcW w:w="4740" w:type="dxa"/>
            <w:vAlign w:val="bottom"/>
          </w:tcPr>
          <w:p>
            <w:pPr>
              <w:ind w:left="60"/>
              <w:spacing w:after="0"/>
              <w:rPr>
                <w:sz w:val="20"/>
                <w:szCs w:val="20"/>
                <w:color w:val="auto"/>
              </w:rPr>
            </w:pPr>
            <w:r>
              <w:rPr>
                <w:rFonts w:ascii="Arial" w:cs="Arial" w:eastAsia="Arial" w:hAnsi="Arial"/>
                <w:sz w:val="18"/>
                <w:szCs w:val="18"/>
                <w:color w:val="auto"/>
              </w:rPr>
              <w:t>Deferred income tax expense (per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7"/>
        </w:trPr>
        <w:tc>
          <w:tcPr>
            <w:tcW w:w="474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Non-GAAP basic and diluted net income (loss) per share</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Borders>
              <w:bottom w:val="single" w:sz="8" w:color="CCECFF"/>
            </w:tcBorders>
            <w:shd w:val="clear" w:color="auto" w:fill="CCECFF"/>
          </w:tcPr>
          <w:p>
            <w:pPr>
              <w:jc w:val="right"/>
              <w:ind w:right="2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-2065020</wp:posOffset>
            </wp:positionV>
            <wp:extent cx="8572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-2065020</wp:posOffset>
            </wp:positionV>
            <wp:extent cx="8572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-2065020</wp:posOffset>
            </wp:positionV>
            <wp:extent cx="8572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-2065020</wp:posOffset>
            </wp:positionV>
            <wp:extent cx="8572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-1739900</wp:posOffset>
            </wp:positionV>
            <wp:extent cx="3300730" cy="180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00730" cy="18034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-24765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-8255</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2022 Form 10-K. You should read the accompanying unaudited condensed consolidated financial statements in conjunction with our audited consolidated financial statements and accompanying notes in our 2022 Form 10-K. There have been no material changes in the information disclosed in the notes to our audited consolidated financial statements included in our 2022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under this item.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conducted an evaluation of the effectiveness of our “disclosure controls and procedures” (“Disclosure Controls”), as defined by Rules 13a-15(e) and 15d-15(e) of the Exchange Act, as of June 30, 2023,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noted in the 2022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Our plan includes the following:</w:t>
      </w:r>
    </w:p>
    <w:p>
      <w:pPr>
        <w:spacing w:after="0" w:line="292"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Enhance our remediation efforts by continuing to devote resources in 2023 in key financial reporting and information technology areas.</w:t>
      </w:r>
    </w:p>
    <w:p>
      <w:pPr>
        <w:spacing w:after="0" w:line="128" w:lineRule="exact"/>
        <w:rPr>
          <w:rFonts w:ascii="Arial" w:cs="Arial" w:eastAsia="Arial" w:hAnsi="Arial"/>
          <w:sz w:val="17"/>
          <w:szCs w:val="17"/>
          <w:color w:val="auto"/>
        </w:rPr>
      </w:pPr>
    </w:p>
    <w:p>
      <w:pPr>
        <w:ind w:left="1020" w:right="18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7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62" w:lineRule="exact"/>
        <w:rPr>
          <w:rFonts w:ascii="Arial" w:cs="Arial" w:eastAsia="Arial" w:hAnsi="Arial"/>
          <w:sz w:val="18"/>
          <w:szCs w:val="18"/>
          <w:color w:val="auto"/>
        </w:rPr>
      </w:pPr>
    </w:p>
    <w:p>
      <w:pPr>
        <w:ind w:left="1020" w:right="200" w:hanging="503"/>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2022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2022 Form 10-K, which is incorporated herein by reference. There have been no material changes to the risk factors previously disclosed in our 2022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three months ended June 30, 2023, no director or “officer” (as defined in Rule 16a-1(f) under the Exchange Act) of the Company adopted or terminated a “Rule 10b5-1 trading arrangement” or “non-Rule 10b5-1 trading arrangement,” as each term is defined in Item 408(a) of Regulation S-K.</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Incorporated by Reference</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8"/>
          </w:tcPr>
          <w:p>
            <w:pPr>
              <w:ind w:left="120"/>
              <w:spacing w:after="0"/>
              <w:rPr>
                <w:sz w:val="20"/>
                <w:szCs w:val="20"/>
                <w:color w:val="auto"/>
              </w:rPr>
            </w:pPr>
            <w:r>
              <w:rPr>
                <w:rFonts w:ascii="Arial" w:cs="Arial" w:eastAsia="Arial" w:hAnsi="Arial"/>
                <w:sz w:val="14"/>
                <w:szCs w:val="14"/>
                <w:b w:val="1"/>
                <w:bCs w:val="1"/>
                <w:color w:val="auto"/>
              </w:rPr>
              <w:t>Exhibit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From</w:t>
            </w:r>
          </w:p>
        </w:tc>
        <w:tc>
          <w:tcPr>
            <w:tcW w:w="180" w:type="dxa"/>
            <w:vAlign w:val="bottom"/>
          </w:tcPr>
          <w:p>
            <w:pPr>
              <w:spacing w:after="0"/>
              <w:rPr>
                <w:sz w:val="16"/>
                <w:szCs w:val="16"/>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880" w:type="dxa"/>
            <w:vAlign w:val="bottom"/>
          </w:tcPr>
          <w:p>
            <w:pPr>
              <w:spacing w:after="0" w:line="183" w:lineRule="exact"/>
              <w:rPr>
                <w:sz w:val="20"/>
                <w:szCs w:val="20"/>
                <w:color w:val="auto"/>
              </w:rPr>
            </w:pPr>
            <w:r>
              <w:rPr>
                <w:rFonts w:ascii="Arial" w:cs="Arial" w:eastAsia="Arial" w:hAnsi="Arial"/>
                <w:sz w:val="16"/>
                <w:szCs w:val="16"/>
                <w:color w:val="auto"/>
              </w:rPr>
              <w:t>2.1†</w:t>
            </w: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w w:val="94"/>
              </w:rPr>
            </w:pPr>
            <w:hyperlink r:id="rId241">
              <w:r>
                <w:rPr>
                  <w:rFonts w:ascii="Arial" w:cs="Arial" w:eastAsia="Arial" w:hAnsi="Arial"/>
                  <w:sz w:val="16"/>
                  <w:szCs w:val="16"/>
                  <w:color w:val="0000FF"/>
                  <w:w w:val="94"/>
                </w:rPr>
                <w:t>Agreement and Plan of Merger, dated as of March 4, 2021, by and among</w:t>
              </w:r>
            </w:hyperlink>
          </w:p>
        </w:tc>
        <w:tc>
          <w:tcPr>
            <w:tcW w:w="660" w:type="dxa"/>
            <w:vAlign w:val="bottom"/>
          </w:tcPr>
          <w:p>
            <w:pPr>
              <w:jc w:val="center"/>
              <w:spacing w:after="0" w:line="183" w:lineRule="exact"/>
              <w:rPr>
                <w:sz w:val="20"/>
                <w:szCs w:val="20"/>
                <w:color w:val="auto"/>
              </w:rPr>
            </w:pPr>
            <w:r>
              <w:rPr>
                <w:rFonts w:ascii="Arial" w:cs="Arial" w:eastAsia="Arial" w:hAnsi="Arial"/>
                <w:sz w:val="16"/>
                <w:szCs w:val="16"/>
                <w:color w:val="auto"/>
              </w:rPr>
              <w:t>8-K</w:t>
            </w:r>
          </w:p>
        </w:tc>
        <w:tc>
          <w:tcPr>
            <w:tcW w:w="1380" w:type="dxa"/>
            <w:vAlign w:val="bottom"/>
            <w:gridSpan w:val="2"/>
          </w:tcPr>
          <w:p>
            <w:pPr>
              <w:jc w:val="center"/>
              <w:ind w:left="79"/>
              <w:spacing w:after="0" w:line="183" w:lineRule="exact"/>
              <w:rPr>
                <w:sz w:val="20"/>
                <w:szCs w:val="20"/>
                <w:color w:val="auto"/>
              </w:rPr>
            </w:pPr>
            <w:r>
              <w:rPr>
                <w:rFonts w:ascii="Arial" w:cs="Arial" w:eastAsia="Arial" w:hAnsi="Arial"/>
                <w:sz w:val="16"/>
                <w:szCs w:val="16"/>
                <w:color w:val="auto"/>
                <w:w w:val="91"/>
              </w:rPr>
              <w:t>001-39625</w:t>
            </w:r>
          </w:p>
        </w:tc>
        <w:tc>
          <w:tcPr>
            <w:tcW w:w="820" w:type="dxa"/>
            <w:vAlign w:val="bottom"/>
            <w:gridSpan w:val="2"/>
          </w:tcPr>
          <w:p>
            <w:pPr>
              <w:jc w:val="center"/>
              <w:ind w:left="79"/>
              <w:spacing w:after="0" w:line="183" w:lineRule="exact"/>
              <w:rPr>
                <w:sz w:val="20"/>
                <w:szCs w:val="20"/>
                <w:color w:val="auto"/>
              </w:rPr>
            </w:pPr>
            <w:r>
              <w:rPr>
                <w:rFonts w:ascii="Arial" w:cs="Arial" w:eastAsia="Arial" w:hAnsi="Arial"/>
                <w:sz w:val="16"/>
                <w:szCs w:val="16"/>
                <w:color w:val="auto"/>
                <w:w w:val="98"/>
              </w:rPr>
              <w:t>2.1</w:t>
            </w:r>
          </w:p>
        </w:tc>
        <w:tc>
          <w:tcPr>
            <w:tcW w:w="1140" w:type="dxa"/>
            <w:vAlign w:val="bottom"/>
            <w:gridSpan w:val="2"/>
          </w:tcPr>
          <w:p>
            <w:pPr>
              <w:jc w:val="center"/>
              <w:ind w:left="79"/>
              <w:spacing w:after="0" w:line="183" w:lineRule="exact"/>
              <w:rPr>
                <w:sz w:val="20"/>
                <w:szCs w:val="20"/>
                <w:color w:val="auto"/>
              </w:rPr>
            </w:pPr>
            <w:r>
              <w:rPr>
                <w:rFonts w:ascii="Arial" w:cs="Arial" w:eastAsia="Arial" w:hAnsi="Arial"/>
                <w:sz w:val="16"/>
                <w:szCs w:val="16"/>
                <w:color w:val="auto"/>
                <w:w w:val="93"/>
              </w:rPr>
              <w:t>3/5/2021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1">
              <w:r>
                <w:rPr>
                  <w:rFonts w:ascii="Arial" w:cs="Arial" w:eastAsia="Arial" w:hAnsi="Arial"/>
                  <w:sz w:val="16"/>
                  <w:szCs w:val="16"/>
                  <w:color w:val="0000FF"/>
                </w:rPr>
                <w:t>Good Works Acquisition Corp., Currency Merger Sub, Inc. and Cipher</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17"/>
          </w:tcPr>
          <w:p>
            <w:pPr>
              <w:spacing w:after="0"/>
              <w:rPr>
                <w:rFonts w:ascii="Arial" w:cs="Arial" w:eastAsia="Arial" w:hAnsi="Arial"/>
                <w:sz w:val="16"/>
                <w:szCs w:val="16"/>
                <w:color w:val="0000FF"/>
              </w:rPr>
            </w:pPr>
            <w:hyperlink r:id="rId241">
              <w:r>
                <w:rPr>
                  <w:rFonts w:ascii="Arial" w:cs="Arial" w:eastAsia="Arial" w:hAnsi="Arial"/>
                  <w:sz w:val="16"/>
                  <w:szCs w:val="16"/>
                  <w:color w:val="0000FF"/>
                </w:rPr>
                <w:t>Mining Technologies Inc.</w:t>
              </w:r>
            </w:hyperlink>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880" w:type="dxa"/>
            <w:vAlign w:val="bottom"/>
          </w:tcPr>
          <w:p>
            <w:pPr>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4980" w:type="dxa"/>
            <w:vAlign w:val="bottom"/>
            <w:gridSpan w:val="17"/>
          </w:tcPr>
          <w:p>
            <w:pPr>
              <w:spacing w:after="0"/>
              <w:rPr>
                <w:rFonts w:ascii="Arial" w:cs="Arial" w:eastAsia="Arial" w:hAnsi="Arial"/>
                <w:sz w:val="16"/>
                <w:szCs w:val="16"/>
                <w:color w:val="0000FF"/>
              </w:rPr>
            </w:pPr>
            <w:hyperlink r:id="rId242">
              <w:r>
                <w:rPr>
                  <w:rFonts w:ascii="Arial" w:cs="Arial" w:eastAsia="Arial" w:hAnsi="Arial"/>
                  <w:sz w:val="16"/>
                  <w:szCs w:val="16"/>
                  <w:color w:val="0000FF"/>
                </w:rPr>
                <w:t>Second Amended and Restated Certificate of Incorporation of Cipher</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1"/>
              </w:rPr>
              <w:t>001-39625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3.1</w:t>
            </w:r>
          </w:p>
        </w:tc>
        <w:tc>
          <w:tcPr>
            <w:tcW w:w="11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8/31/2021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2">
              <w:r>
                <w:rPr>
                  <w:rFonts w:ascii="Arial" w:cs="Arial" w:eastAsia="Arial" w:hAnsi="Arial"/>
                  <w:sz w:val="16"/>
                  <w:szCs w:val="16"/>
                  <w:color w:val="0000FF"/>
                </w:rPr>
                <w:t>Mining Inc.</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8"/>
                <w:szCs w:val="18"/>
                <w:color w:val="auto"/>
              </w:rPr>
            </w:pPr>
          </w:p>
        </w:tc>
        <w:tc>
          <w:tcPr>
            <w:tcW w:w="4980" w:type="dxa"/>
            <w:vAlign w:val="bottom"/>
            <w:gridSpan w:val="17"/>
          </w:tcPr>
          <w:p>
            <w:pPr>
              <w:spacing w:after="0"/>
              <w:rPr>
                <w:rFonts w:ascii="Arial" w:cs="Arial" w:eastAsia="Arial" w:hAnsi="Arial"/>
                <w:sz w:val="16"/>
                <w:szCs w:val="16"/>
                <w:color w:val="0000FF"/>
              </w:rPr>
            </w:pPr>
            <w:hyperlink r:id="rId243">
              <w:r>
                <w:rPr>
                  <w:rFonts w:ascii="Arial" w:cs="Arial" w:eastAsia="Arial" w:hAnsi="Arial"/>
                  <w:sz w:val="16"/>
                  <w:szCs w:val="16"/>
                  <w:color w:val="0000FF"/>
                </w:rPr>
                <w:t>Amended and Restated Bylaws of Cipher Mining Inc.</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1"/>
              </w:rPr>
              <w:t>001-39625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3.2</w:t>
            </w:r>
          </w:p>
        </w:tc>
        <w:tc>
          <w:tcPr>
            <w:tcW w:w="11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8/31/2021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4980" w:type="dxa"/>
            <w:vAlign w:val="bottom"/>
            <w:gridSpan w:val="17"/>
          </w:tcPr>
          <w:p>
            <w:pPr>
              <w:spacing w:after="0"/>
              <w:rPr>
                <w:rFonts w:ascii="Arial" w:cs="Arial" w:eastAsia="Arial" w:hAnsi="Arial"/>
                <w:sz w:val="16"/>
                <w:szCs w:val="16"/>
                <w:color w:val="0000FF"/>
              </w:rPr>
            </w:pPr>
            <w:hyperlink r:id="rId244">
              <w:r>
                <w:rPr>
                  <w:rFonts w:ascii="Arial" w:cs="Arial" w:eastAsia="Arial" w:hAnsi="Arial"/>
                  <w:sz w:val="16"/>
                  <w:szCs w:val="16"/>
                  <w:color w:val="0000FF"/>
                </w:rPr>
                <w:t>Specimen Warrant Certificate of Good Works Acquisition Corp.</w:t>
              </w:r>
            </w:hyperlink>
          </w:p>
        </w:tc>
        <w:tc>
          <w:tcPr>
            <w:tcW w:w="6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1"/>
              </w:rPr>
              <w:t>333-248333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4.3</w:t>
            </w:r>
          </w:p>
        </w:tc>
        <w:tc>
          <w:tcPr>
            <w:tcW w:w="11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10/9/2020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4980" w:type="dxa"/>
            <w:vAlign w:val="bottom"/>
            <w:gridSpan w:val="17"/>
          </w:tcPr>
          <w:p>
            <w:pPr>
              <w:spacing w:after="0"/>
              <w:rPr>
                <w:rFonts w:ascii="Arial" w:cs="Arial" w:eastAsia="Arial" w:hAnsi="Arial"/>
                <w:sz w:val="16"/>
                <w:szCs w:val="16"/>
                <w:color w:val="0000FF"/>
              </w:rPr>
            </w:pPr>
            <w:hyperlink r:id="rId245">
              <w:r>
                <w:rPr>
                  <w:rFonts w:ascii="Arial" w:cs="Arial" w:eastAsia="Arial" w:hAnsi="Arial"/>
                  <w:sz w:val="16"/>
                  <w:szCs w:val="16"/>
                  <w:color w:val="0000FF"/>
                </w:rPr>
                <w:t>Warrant Agreement, dated as of October 19, 2020, by and between</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1"/>
              </w:rPr>
              <w:t>001-39625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4.1</w:t>
            </w:r>
          </w:p>
        </w:tc>
        <w:tc>
          <w:tcPr>
            <w:tcW w:w="1140" w:type="dxa"/>
            <w:vAlign w:val="bottom"/>
            <w:gridSpan w:val="2"/>
          </w:tcPr>
          <w:p>
            <w:pPr>
              <w:jc w:val="center"/>
              <w:ind w:left="79"/>
              <w:spacing w:after="0"/>
              <w:rPr>
                <w:sz w:val="20"/>
                <w:szCs w:val="20"/>
                <w:color w:val="auto"/>
              </w:rPr>
            </w:pPr>
            <w:r>
              <w:rPr>
                <w:rFonts w:ascii="Arial" w:cs="Arial" w:eastAsia="Arial" w:hAnsi="Arial"/>
                <w:sz w:val="16"/>
                <w:szCs w:val="16"/>
                <w:color w:val="auto"/>
                <w:w w:val="92"/>
              </w:rPr>
              <w:t>10/28/2020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5">
              <w:r>
                <w:rPr>
                  <w:rFonts w:ascii="Arial" w:cs="Arial" w:eastAsia="Arial" w:hAnsi="Arial"/>
                  <w:sz w:val="16"/>
                  <w:szCs w:val="16"/>
                  <w:color w:val="0000FF"/>
                </w:rPr>
                <w:t>Continental Stock Transfer &amp; Trust Company and Good Works</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5">
              <w:r>
                <w:rPr>
                  <w:rFonts w:ascii="Arial" w:cs="Arial" w:eastAsia="Arial" w:hAnsi="Arial"/>
                  <w:sz w:val="16"/>
                  <w:szCs w:val="16"/>
                  <w:color w:val="0000FF"/>
                </w:rPr>
                <w:t>Acquisition Corp.</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8"/>
                <w:szCs w:val="18"/>
                <w:color w:val="auto"/>
              </w:rPr>
            </w:pPr>
          </w:p>
        </w:tc>
        <w:tc>
          <w:tcPr>
            <w:tcW w:w="4980" w:type="dxa"/>
            <w:vAlign w:val="bottom"/>
            <w:gridSpan w:val="17"/>
          </w:tcPr>
          <w:p>
            <w:pPr>
              <w:spacing w:after="0"/>
              <w:rPr>
                <w:rFonts w:ascii="Arial" w:cs="Arial" w:eastAsia="Arial" w:hAnsi="Arial"/>
                <w:sz w:val="16"/>
                <w:szCs w:val="16"/>
                <w:color w:val="0000FF"/>
                <w:w w:val="98"/>
              </w:rPr>
            </w:pPr>
            <w:hyperlink r:id="rId246">
              <w:r>
                <w:rPr>
                  <w:rFonts w:ascii="Arial" w:cs="Arial" w:eastAsia="Arial" w:hAnsi="Arial"/>
                  <w:sz w:val="16"/>
                  <w:szCs w:val="16"/>
                  <w:color w:val="0000FF"/>
                  <w:w w:val="98"/>
                </w:rPr>
                <w:t>Controlled Equity OfferingSM Sales Agreement by and between Cipher</w:t>
              </w:r>
            </w:hyperlink>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tcPr>
          <w:p>
            <w:pPr>
              <w:jc w:val="center"/>
              <w:ind w:left="79"/>
              <w:spacing w:after="0"/>
              <w:rPr>
                <w:sz w:val="20"/>
                <w:szCs w:val="20"/>
                <w:color w:val="auto"/>
              </w:rPr>
            </w:pPr>
            <w:r>
              <w:rPr>
                <w:rFonts w:ascii="Arial" w:cs="Arial" w:eastAsia="Arial" w:hAnsi="Arial"/>
                <w:sz w:val="16"/>
                <w:szCs w:val="16"/>
                <w:color w:val="auto"/>
                <w:w w:val="91"/>
              </w:rPr>
              <w:t>001-39625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8"/>
              </w:rPr>
              <w:t>1.1</w:t>
            </w:r>
          </w:p>
        </w:tc>
        <w:tc>
          <w:tcPr>
            <w:tcW w:w="114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8/4/2023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6">
              <w:r>
                <w:rPr>
                  <w:rFonts w:ascii="Arial" w:cs="Arial" w:eastAsia="Arial" w:hAnsi="Arial"/>
                  <w:sz w:val="16"/>
                  <w:szCs w:val="16"/>
                  <w:color w:val="0000FF"/>
                </w:rPr>
                <w:t>Mining Inc. and Cantor Fitzgerald &amp; Co., Canaccord Genuity LLC,</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6">
              <w:r>
                <w:rPr>
                  <w:rFonts w:ascii="Arial" w:cs="Arial" w:eastAsia="Arial" w:hAnsi="Arial"/>
                  <w:sz w:val="16"/>
                  <w:szCs w:val="16"/>
                  <w:color w:val="0000FF"/>
                </w:rPr>
                <w:t>Needham &amp; Company, LLC and Compass Point Research &amp; Trading,</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rFonts w:ascii="Arial" w:cs="Arial" w:eastAsia="Arial" w:hAnsi="Arial"/>
                <w:sz w:val="16"/>
                <w:szCs w:val="16"/>
                <w:color w:val="0000FF"/>
              </w:rPr>
            </w:pPr>
            <w:hyperlink r:id="rId246">
              <w:r>
                <w:rPr>
                  <w:rFonts w:ascii="Arial" w:cs="Arial" w:eastAsia="Arial" w:hAnsi="Arial"/>
                  <w:sz w:val="16"/>
                  <w:szCs w:val="16"/>
                  <w:color w:val="0000FF"/>
                </w:rPr>
                <w:t>LLC, dated August 3, 2023.</w:t>
              </w:r>
            </w:hyperlink>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8"/>
                <w:szCs w:val="18"/>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0000FF"/>
                <w:w w:val="98"/>
              </w:rPr>
              <w:t>Amended and Restated Non-Employee Directors Compensation Policy.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8"/>
                <w:szCs w:val="18"/>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0000FF"/>
              </w:rPr>
              <w:t>Certification of Chief Executive Officer pursuant to Rule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840" w:type="dxa"/>
            <w:vAlign w:val="bottom"/>
            <w:tcBorders>
              <w:left w:val="single" w:sz="8" w:color="0000FF"/>
            </w:tcBorders>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sz w:val="20"/>
                <w:szCs w:val="20"/>
                <w:color w:val="auto"/>
              </w:rPr>
            </w:pPr>
            <w:r>
              <w:rPr>
                <w:rFonts w:ascii="Arial" w:cs="Arial" w:eastAsia="Arial" w:hAnsi="Arial"/>
                <w:sz w:val="16"/>
                <w:szCs w:val="16"/>
                <w:color w:val="0000FF"/>
              </w:rPr>
              <w:t>13a</w:t>
            </w:r>
            <w:r>
              <w:rPr>
                <w:rFonts w:ascii="MS PGothic" w:cs="MS PGothic" w:eastAsia="MS PGothic" w:hAnsi="MS PGothic"/>
                <w:sz w:val="16"/>
                <w:szCs w:val="16"/>
                <w:color w:val="0000FF"/>
              </w:rPr>
              <w:t>‑</w:t>
            </w:r>
            <w:r>
              <w:rPr>
                <w:rFonts w:ascii="Arial" w:cs="Arial" w:eastAsia="Arial" w:hAnsi="Arial"/>
                <w:sz w:val="16"/>
                <w:szCs w:val="16"/>
                <w:color w:val="0000FF"/>
              </w:rPr>
              <w:t>14(a)/15d</w:t>
            </w:r>
            <w:r>
              <w:rPr>
                <w:rFonts w:ascii="MS PGothic" w:cs="MS PGothic" w:eastAsia="MS PGothic" w:hAnsi="MS PGothic"/>
                <w:sz w:val="16"/>
                <w:szCs w:val="16"/>
                <w:color w:val="0000FF"/>
              </w:rPr>
              <w:t>‑</w:t>
            </w:r>
            <w:r>
              <w:rPr>
                <w:rFonts w:ascii="Arial" w:cs="Arial" w:eastAsia="Arial" w:hAnsi="Arial"/>
                <w:sz w:val="16"/>
                <w:szCs w:val="16"/>
                <w:color w:val="0000FF"/>
              </w:rPr>
              <w:t>14(a).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8"/>
                <w:szCs w:val="18"/>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0000FF"/>
              </w:rPr>
              <w:t>Certification of Chief Financial Officer pursuant to Rule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7"/>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80" w:type="dxa"/>
            <w:vAlign w:val="bottom"/>
            <w:gridSpan w:val="17"/>
          </w:tcPr>
          <w:p>
            <w:pPr>
              <w:spacing w:after="0" w:line="183" w:lineRule="exact"/>
              <w:rPr>
                <w:sz w:val="20"/>
                <w:szCs w:val="20"/>
                <w:color w:val="auto"/>
              </w:rPr>
            </w:pPr>
            <w:r>
              <w:rPr>
                <w:rFonts w:ascii="Arial" w:cs="Arial" w:eastAsia="Arial" w:hAnsi="Arial"/>
                <w:sz w:val="16"/>
                <w:szCs w:val="16"/>
                <w:color w:val="0000FF"/>
              </w:rPr>
              <w:t>13a</w:t>
            </w:r>
            <w:r>
              <w:rPr>
                <w:rFonts w:ascii="MS PGothic" w:cs="MS PGothic" w:eastAsia="MS PGothic" w:hAnsi="MS PGothic"/>
                <w:sz w:val="16"/>
                <w:szCs w:val="16"/>
                <w:color w:val="0000FF"/>
              </w:rPr>
              <w:t>‑</w:t>
            </w:r>
            <w:r>
              <w:rPr>
                <w:rFonts w:ascii="Arial" w:cs="Arial" w:eastAsia="Arial" w:hAnsi="Arial"/>
                <w:sz w:val="16"/>
                <w:szCs w:val="16"/>
                <w:color w:val="0000FF"/>
              </w:rPr>
              <w:t>14(a)/15d</w:t>
            </w:r>
            <w:r>
              <w:rPr>
                <w:rFonts w:ascii="MS PGothic" w:cs="MS PGothic" w:eastAsia="MS PGothic" w:hAnsi="MS PGothic"/>
                <w:sz w:val="16"/>
                <w:szCs w:val="16"/>
                <w:color w:val="0000FF"/>
              </w:rPr>
              <w:t>‑</w:t>
            </w:r>
            <w:r>
              <w:rPr>
                <w:rFonts w:ascii="Arial" w:cs="Arial" w:eastAsia="Arial" w:hAnsi="Arial"/>
                <w:sz w:val="16"/>
                <w:szCs w:val="16"/>
                <w:color w:val="0000FF"/>
              </w:rPr>
              <w:t>14(a).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8"/>
                <w:szCs w:val="18"/>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0000FF"/>
              </w:rPr>
              <w:t>Certification of Chief Executive Officer pursuant to 18 U.S.C. Section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center"/>
              <w:ind w:lef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0000FF"/>
                <w:w w:val="79"/>
              </w:rPr>
              <w:t>1350.</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160" w:type="dxa"/>
            <w:vAlign w:val="bottom"/>
            <w:gridSpan w:val="11"/>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8"/>
                <w:szCs w:val="18"/>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0000FF"/>
              </w:rPr>
              <w:t>Certification of Chief Financial Officer pursuant to 18 U.S.C. Section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center"/>
              <w:ind w:lef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0000FF"/>
                <w:w w:val="79"/>
              </w:rPr>
              <w:t>1350.</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80" w:type="dxa"/>
            <w:vAlign w:val="bottom"/>
          </w:tcPr>
          <w:p>
            <w:pPr>
              <w:spacing w:after="0"/>
              <w:rPr>
                <w:sz w:val="20"/>
                <w:szCs w:val="20"/>
                <w:color w:val="auto"/>
              </w:rPr>
            </w:pPr>
            <w:r>
              <w:rPr>
                <w:rFonts w:ascii="Arial" w:cs="Arial" w:eastAsia="Arial" w:hAnsi="Arial"/>
                <w:sz w:val="16"/>
                <w:szCs w:val="16"/>
                <w:color w:val="auto"/>
              </w:rPr>
              <w:t>101.INS</w:t>
            </w:r>
          </w:p>
        </w:tc>
        <w:tc>
          <w:tcPr>
            <w:tcW w:w="180" w:type="dxa"/>
            <w:vAlign w:val="bottom"/>
          </w:tcPr>
          <w:p>
            <w:pPr>
              <w:spacing w:after="0"/>
              <w:rPr>
                <w:sz w:val="20"/>
                <w:szCs w:val="20"/>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w w:val="94"/>
              </w:rPr>
              <w:t>Inline XBRL Instance Document – the instance document does not appear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w w:val="98"/>
              </w:rPr>
              <w:t>in the Interactive Data File because its XBRL tags are embedded within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the Inline XBRL document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6"/>
                <w:szCs w:val="16"/>
                <w:color w:val="auto"/>
              </w:rPr>
              <w:t>101.SCH</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6"/>
                <w:szCs w:val="16"/>
                <w:color w:val="auto"/>
              </w:rPr>
              <w:t>101.CAL</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6"/>
                <w:szCs w:val="16"/>
                <w:color w:val="auto"/>
              </w:rPr>
              <w:t>101.DEF</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6"/>
                <w:szCs w:val="16"/>
                <w:color w:val="auto"/>
              </w:rPr>
              <w:t>101.PRE</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9"/>
                <w:szCs w:val="19"/>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2"/>
          </w:tcPr>
          <w:p>
            <w:pPr>
              <w:jc w:val="center"/>
              <w:ind w:lef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gridSpan w:val="17"/>
          </w:tcPr>
          <w:p>
            <w:pPr>
              <w:spacing w:after="0"/>
              <w:rPr>
                <w:sz w:val="20"/>
                <w:szCs w:val="20"/>
                <w:color w:val="auto"/>
              </w:rPr>
            </w:pPr>
            <w:r>
              <w:rPr>
                <w:rFonts w:ascii="Arial" w:cs="Arial" w:eastAsia="Arial" w:hAnsi="Arial"/>
                <w:sz w:val="16"/>
                <w:szCs w:val="16"/>
                <w:color w:val="auto"/>
              </w:rPr>
              <w:t>contained in Exhibit 101)</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9512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right="160" w:firstLine="8"/>
        <w:spacing w:after="0" w:line="260"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7" w:name="page38"/>
    <w:bookmarkEnd w:id="3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CIPHER MINING INC.</w:t>
      </w:r>
    </w:p>
    <w:p>
      <w:pPr>
        <w:spacing w:after="0" w:line="279" w:lineRule="exact"/>
        <w:rPr>
          <w:sz w:val="20"/>
          <w:szCs w:val="20"/>
          <w:color w:val="auto"/>
        </w:rPr>
      </w:pPr>
    </w:p>
    <w:p>
      <w:pPr>
        <w:ind w:left="20"/>
        <w:spacing w:after="0"/>
        <w:tabs>
          <w:tab w:leader="none" w:pos="5040" w:val="left"/>
          <w:tab w:leader="none" w:pos="782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23495</wp:posOffset>
            </wp:positionV>
            <wp:extent cx="3703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ind w:left="72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5040" w:val="left"/>
          <w:tab w:leader="none" w:pos="76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40640</wp:posOffset>
            </wp:positionV>
            <wp:extent cx="3703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IPHER</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INING</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ON</w:t>
      </w:r>
      <w:r>
        <w:rPr>
          <w:rFonts w:ascii="Arial" w:cs="Arial" w:eastAsia="Arial" w:hAnsi="Arial"/>
          <w:sz w:val="18"/>
          <w:szCs w:val="18"/>
          <w:b w:val="1"/>
          <w:bCs w:val="1"/>
          <w:color w:val="auto"/>
        </w:rPr>
        <w:t>-E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OLICY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Amended and Restated Effective March 9, 2023)</w:t>
      </w:r>
    </w:p>
    <w:p>
      <w:pPr>
        <w:spacing w:after="0" w:line="201"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Non-employee members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Cipher Mining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be eligible to receive cash and equity compensation as set forth in this Amended and Restated Non-Employee Directors Compensation Policy (this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65" w:lineRule="exact"/>
        <w:rPr>
          <w:sz w:val="20"/>
          <w:szCs w:val="20"/>
          <w:color w:val="auto"/>
        </w:rPr>
      </w:pPr>
    </w:p>
    <w:p>
      <w:pPr>
        <w:ind w:left="700" w:hanging="18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80" w:hanging="226"/>
        <w:spacing w:after="0"/>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$100,000 for service on the Board.</w:t>
      </w:r>
    </w:p>
    <w:p>
      <w:pPr>
        <w:spacing w:after="0" w:line="117" w:lineRule="exact"/>
        <w:rPr>
          <w:rFonts w:ascii="Arial" w:cs="Arial" w:eastAsia="Arial" w:hAnsi="Arial"/>
          <w:sz w:val="18"/>
          <w:szCs w:val="18"/>
          <w:color w:val="auto"/>
        </w:rPr>
      </w:pPr>
    </w:p>
    <w:p>
      <w:pPr>
        <w:ind w:left="1400" w:hanging="246"/>
        <w:spacing w:after="0"/>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Additional Annual Retainers</w:t>
      </w:r>
      <w:r>
        <w:rPr>
          <w:rFonts w:ascii="Arial" w:cs="Arial" w:eastAsia="Arial" w:hAnsi="Arial"/>
          <w:sz w:val="18"/>
          <w:szCs w:val="18"/>
          <w:color w:val="auto"/>
        </w:rPr>
        <w:t>. In addition, a Non-Employee Director shall receive the following annual retainers:</w:t>
      </w:r>
    </w:p>
    <w:p>
      <w:pPr>
        <w:spacing w:after="0" w:line="117" w:lineRule="exact"/>
        <w:rPr>
          <w:rFonts w:ascii="Arial" w:cs="Arial" w:eastAsia="Arial" w:hAnsi="Arial"/>
          <w:sz w:val="18"/>
          <w:szCs w:val="18"/>
          <w:color w:val="auto"/>
        </w:rPr>
      </w:pPr>
    </w:p>
    <w:p>
      <w:pPr>
        <w:ind w:right="240" w:firstLine="1663"/>
        <w:spacing w:after="0" w:line="277" w:lineRule="auto"/>
        <w:tabs>
          <w:tab w:leader="none" w:pos="187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A Non-Employee Director serving as Lead Independent Director shall receive an additional annual retainer of $50,000 for such service.</w:t>
      </w:r>
    </w:p>
    <w:p>
      <w:pPr>
        <w:spacing w:after="0" w:line="62" w:lineRule="exact"/>
        <w:rPr>
          <w:rFonts w:ascii="Arial" w:cs="Arial" w:eastAsia="Arial" w:hAnsi="Arial"/>
          <w:sz w:val="18"/>
          <w:szCs w:val="18"/>
          <w:color w:val="auto"/>
        </w:rPr>
      </w:pPr>
    </w:p>
    <w:p>
      <w:pPr>
        <w:ind w:right="180" w:firstLine="1663"/>
        <w:spacing w:after="0" w:line="263" w:lineRule="auto"/>
        <w:tabs>
          <w:tab w:leader="none" w:pos="191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A Non-Employee Director serving as Chairperson of the Audit Committee shall receive an additional annual retainer of $20,000 for such service. A Non-Employee Director serving as a member of the Audit Committee (other than the Chairperson of the Audit Committee) shall receive an additional annual retainer of $10,000 for such service.</w:t>
      </w:r>
    </w:p>
    <w:p>
      <w:pPr>
        <w:spacing w:after="0" w:line="75" w:lineRule="exact"/>
        <w:rPr>
          <w:rFonts w:ascii="Arial" w:cs="Arial" w:eastAsia="Arial" w:hAnsi="Arial"/>
          <w:sz w:val="18"/>
          <w:szCs w:val="18"/>
          <w:color w:val="auto"/>
        </w:rPr>
      </w:pPr>
    </w:p>
    <w:p>
      <w:pPr>
        <w:ind w:right="140" w:firstLine="1663"/>
        <w:spacing w:after="0" w:line="286" w:lineRule="auto"/>
        <w:tabs>
          <w:tab w:leader="none" w:pos="1970" w:val="left"/>
        </w:tabs>
        <w:numPr>
          <w:ilvl w:val="2"/>
          <w:numId w:val="12"/>
        </w:numPr>
        <w:rPr>
          <w:rFonts w:ascii="Arial" w:cs="Arial" w:eastAsia="Arial" w:hAnsi="Arial"/>
          <w:sz w:val="17"/>
          <w:szCs w:val="17"/>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A Non-Employee Director serving as Chairperson of the Compensation Committee shall receive an additional annual retainer of $15,000 for such service. A Non-Employee Director serving as a member of the Compensation Committee (other than the Chairperson of the Compensation Committee) shall receive an additional annual retainer of $10,000 for such service.</w:t>
      </w:r>
    </w:p>
    <w:p>
      <w:pPr>
        <w:spacing w:after="0" w:line="57" w:lineRule="exact"/>
        <w:rPr>
          <w:rFonts w:ascii="Arial" w:cs="Arial" w:eastAsia="Arial" w:hAnsi="Arial"/>
          <w:sz w:val="17"/>
          <w:szCs w:val="17"/>
          <w:color w:val="auto"/>
        </w:rPr>
      </w:pPr>
    </w:p>
    <w:p>
      <w:pPr>
        <w:jc w:val="both"/>
        <w:ind w:right="180" w:firstLine="1663"/>
        <w:spacing w:after="0" w:line="259"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A Non-Employee Director serving as Chairperson of the Nominating and Corporate Governance Committee shall receive an additional annual retainer of $12,500 for such service. A Non-Employee Director serving as a member of the Nominating and Corporate Governance Committee (other than the Chairperson of the Nominating and Corporate Governance Committee) shall receive an additional annual retainer of $7,500 for such service.</w:t>
      </w:r>
    </w:p>
    <w:p>
      <w:pPr>
        <w:spacing w:after="0" w:line="119" w:lineRule="exact"/>
        <w:rPr>
          <w:rFonts w:ascii="Arial" w:cs="Arial" w:eastAsia="Arial" w:hAnsi="Arial"/>
          <w:sz w:val="18"/>
          <w:szCs w:val="18"/>
          <w:color w:val="auto"/>
        </w:rPr>
      </w:pPr>
    </w:p>
    <w:p>
      <w:pPr>
        <w:ind w:firstLine="1154"/>
        <w:spacing w:after="0" w:line="254" w:lineRule="auto"/>
        <w:tabs>
          <w:tab w:leader="none" w:pos="139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 The annual retainers described in Sections 1(a) and 1(b) shall be earned on a quarterly basis based on a calendar quarter and shall be paid by the Company in arrears on a quarterly prorated portion basis (where applicable)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annual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both"/>
        <w:ind w:left="-8" w:firstLine="517"/>
        <w:spacing w:after="0" w:line="257" w:lineRule="auto"/>
        <w:tabs>
          <w:tab w:leader="none" w:pos="68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in the form of fully vested shares of Company common stock (par value $0.001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under and shall be subject to the terms and provisions of the Company’s 2021 Incentive Award Plan or any other applicable Company equity incentive plan then maintained by the Company (such plan, as may be amended from time to time,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All applicable terms of the Equity Plan apply to this Policy as if fully set forth herein, and all equity grants hereunder are subject in all respects to the terms of the Equity Plan.</w:t>
      </w:r>
    </w:p>
    <w:p>
      <w:pPr>
        <w:spacing w:after="0" w:line="187" w:lineRule="exact"/>
        <w:rPr>
          <w:rFonts w:ascii="Arial" w:cs="Arial" w:eastAsia="Arial" w:hAnsi="Arial"/>
          <w:sz w:val="18"/>
          <w:szCs w:val="18"/>
          <w:color w:val="auto"/>
        </w:rPr>
      </w:pPr>
    </w:p>
    <w:p>
      <w:pPr>
        <w:ind w:left="-8" w:right="20" w:firstLine="1154"/>
        <w:spacing w:after="0" w:line="269" w:lineRule="auto"/>
        <w:tabs>
          <w:tab w:leader="none" w:pos="1372" w:val="left"/>
        </w:tabs>
        <w:numPr>
          <w:ilvl w:val="2"/>
          <w:numId w:val="13"/>
        </w:numPr>
        <w:rPr>
          <w:rFonts w:ascii="Arial" w:cs="Arial" w:eastAsia="Arial" w:hAnsi="Arial"/>
          <w:sz w:val="17"/>
          <w:szCs w:val="17"/>
          <w:color w:val="auto"/>
        </w:rPr>
      </w:pPr>
      <w:r>
        <w:rPr>
          <w:rFonts w:ascii="Arial" w:cs="Arial" w:eastAsia="Arial" w:hAnsi="Arial"/>
          <w:sz w:val="17"/>
          <w:szCs w:val="17"/>
          <w:u w:val="single" w:color="auto"/>
          <w:color w:val="auto"/>
        </w:rPr>
        <w:t>Annual Awards</w:t>
      </w:r>
      <w:r>
        <w:rPr>
          <w:rFonts w:ascii="Arial" w:cs="Arial" w:eastAsia="Arial" w:hAnsi="Arial"/>
          <w:sz w:val="17"/>
          <w:szCs w:val="17"/>
          <w:color w:val="auto"/>
        </w:rPr>
        <w:t>. Without any further action of the Board or the compensation committee of the Board, each Non-Employee Director who is elected to the Board on the date of an annual meeting of the Company’s stockholders (each,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xml:space="preserve">”) and who serves on the Board as of the </w:t>
      </w:r>
      <w:r>
        <w:rPr>
          <w:rFonts w:ascii="Arial" w:cs="Arial" w:eastAsia="Arial" w:hAnsi="Arial"/>
          <w:sz w:val="17"/>
          <w:szCs w:val="17"/>
          <w:b w:val="1"/>
          <w:bCs w:val="1"/>
          <w:i w:val="1"/>
          <w:iCs w:val="1"/>
          <w:color w:val="auto"/>
        </w:rPr>
        <w:t>Grant Dates</w:t>
      </w:r>
      <w:r>
        <w:rPr>
          <w:rFonts w:ascii="Arial" w:cs="Arial" w:eastAsia="Arial" w:hAnsi="Arial"/>
          <w:sz w:val="17"/>
          <w:szCs w:val="17"/>
          <w:color w:val="auto"/>
        </w:rPr>
        <w:t xml:space="preserve"> (as defined below) shall automatically receive, for each one (1) year period commencing on the date of the 2023 Annual Meeting, an annual award of fully vested shares of Common Stock (each, 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Annual Award</w:t>
      </w:r>
      <w:r>
        <w:rPr>
          <w:rFonts w:ascii="Arial" w:cs="Arial" w:eastAsia="Arial" w:hAnsi="Arial"/>
          <w:sz w:val="17"/>
          <w:szCs w:val="17"/>
          <w:b w:val="1"/>
          <w:bCs w:val="1"/>
          <w:color w:val="auto"/>
        </w:rPr>
        <w:t>”</w:t>
      </w:r>
      <w:r>
        <w:rPr>
          <w:rFonts w:ascii="Arial" w:cs="Arial" w:eastAsia="Arial" w:hAnsi="Arial"/>
          <w:sz w:val="17"/>
          <w:szCs w:val="17"/>
          <w:color w:val="auto"/>
        </w:rPr>
        <w:t xml:space="preserve">), having a value of $140,000. Each Annual Award shall be granted in four (4) equal $35,000 installments on each of the following dates: (i) the date of the Annual Meeting; (ii) August 20; (iii) November 20; and (iv) February 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of the foregoing dates is not a trading day, then the grant shall be made on the immediately following trading day (each such date, a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subject to the relevant Grantee’s continued service on the applicable Grant Date;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Board shall have authority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for any reason not to grant an installment on an applicable Grant Date. The number of shares of Common Stock granted on each Grant Date shall be determined by dividing $35,000 by the average of the closing sales price for such Common Stock as quoted on the Nasdaq on each of the seven trading days immediately preceding the applicable Grant Date. For the purposes of this Policy, a “trading day” is a day on which national stock exchanges are open for trading.</w:t>
      </w:r>
    </w:p>
    <w:p>
      <w:pPr>
        <w:spacing w:after="0" w:line="181" w:lineRule="exact"/>
        <w:rPr>
          <w:rFonts w:ascii="Arial" w:cs="Arial" w:eastAsia="Arial" w:hAnsi="Arial"/>
          <w:sz w:val="17"/>
          <w:szCs w:val="17"/>
          <w:color w:val="auto"/>
        </w:rPr>
      </w:pPr>
    </w:p>
    <w:p>
      <w:pPr>
        <w:ind w:left="-8" w:right="20" w:firstLine="1154"/>
        <w:spacing w:after="0" w:line="285" w:lineRule="auto"/>
        <w:tabs>
          <w:tab w:leader="none" w:pos="1392"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Initial Awards</w:t>
      </w:r>
      <w:r>
        <w:rPr>
          <w:rFonts w:ascii="Arial" w:cs="Arial" w:eastAsia="Arial" w:hAnsi="Arial"/>
          <w:sz w:val="16"/>
          <w:szCs w:val="16"/>
          <w:color w:val="auto"/>
        </w:rPr>
        <w:t>. Except as otherwise determined by the Board, each Non-Employee Director who is initially elected or appointed to the Board on any date other than the date of an Annual Meeting shall be automatically granted, on the date of such Non-Employee Director’s initial election or appointment to the Board (such Non-Employee Director’s “</w:t>
      </w:r>
      <w:r>
        <w:rPr>
          <w:rFonts w:ascii="Arial" w:cs="Arial" w:eastAsia="Arial" w:hAnsi="Arial"/>
          <w:sz w:val="16"/>
          <w:szCs w:val="16"/>
          <w:b w:val="1"/>
          <w:bCs w:val="1"/>
          <w:i w:val="1"/>
          <w:iCs w:val="1"/>
          <w:color w:val="auto"/>
        </w:rPr>
        <w:t>Start Date</w:t>
      </w:r>
      <w:r>
        <w:rPr>
          <w:rFonts w:ascii="Arial" w:cs="Arial" w:eastAsia="Arial" w:hAnsi="Arial"/>
          <w:sz w:val="16"/>
          <w:szCs w:val="16"/>
          <w:color w:val="auto"/>
        </w:rPr>
        <w:t>”), an award of vested shares of Common Stock having a value equal to the product of (i) $35,000 and (ii) a fraction, the numerator of which is (x) 90 minus (y) the number of days in the period beginning on the most recent Grant Date immediately preceding such Non-Employee Director’s Start Date and ending on such Non-Employee Director’s Start Date and the denominator of which is</w:t>
      </w:r>
    </w:p>
    <w:p>
      <w:pPr>
        <w:spacing w:after="0" w:line="1" w:lineRule="exact"/>
        <w:rPr>
          <w:rFonts w:ascii="Arial" w:cs="Arial" w:eastAsia="Arial" w:hAnsi="Arial"/>
          <w:sz w:val="16"/>
          <w:szCs w:val="16"/>
          <w:color w:val="auto"/>
        </w:rPr>
      </w:pPr>
    </w:p>
    <w:p>
      <w:pPr>
        <w:ind w:left="-8" w:right="20" w:firstLine="8"/>
        <w:spacing w:after="0" w:line="288"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shares of Common Stock granted on the Non-Employee Director’s Start Date shall be determined by dividing the value determined in accordance with the immediately preceding sentence by the average of the closing sales price for such Common Stock as quoted on the Nasdaq on each of the seven trading days immediately preceding the Non-Employee Director’s Start Date. The award made on the Non-Employee Director’s Start Date shall be referred to as an “</w:t>
      </w:r>
      <w:r>
        <w:rPr>
          <w:rFonts w:ascii="Arial" w:cs="Arial" w:eastAsia="Arial" w:hAnsi="Arial"/>
          <w:sz w:val="16"/>
          <w:szCs w:val="16"/>
          <w:b w:val="1"/>
          <w:bCs w:val="1"/>
          <w:i w:val="1"/>
          <w:iCs w:val="1"/>
          <w:color w:val="auto"/>
        </w:rPr>
        <w:t>Initial Award</w:t>
      </w:r>
      <w:r>
        <w:rPr>
          <w:rFonts w:ascii="Arial" w:cs="Arial" w:eastAsia="Arial" w:hAnsi="Arial"/>
          <w:sz w:val="16"/>
          <w:szCs w:val="16"/>
          <w:i w:val="1"/>
          <w:iCs w:val="1"/>
          <w:color w:val="auto"/>
        </w:rPr>
        <w:t>.</w:t>
      </w:r>
      <w:r>
        <w:rPr>
          <w:rFonts w:ascii="Arial" w:cs="Arial" w:eastAsia="Arial" w:hAnsi="Arial"/>
          <w:sz w:val="16"/>
          <w:szCs w:val="16"/>
          <w:color w:val="auto"/>
        </w:rPr>
        <w:t>” For the avoidance of doubt, no Non-Employee Director shall be granted more than one Initial Award. If the Non-Employee Director’s Start Date is on a Grant Date or more than 90 days following the immediately preceding Grant Date, the Non-Employee Director shall not receive an Initial Award. Following the Non-Employee Director’s Start Date, such Non-Employee Director shall receive installments of Annual Awards on each Grant Date on which such Non-Employee Director is serving on the Board in accordance with Section 2(a) above.</w:t>
      </w:r>
    </w:p>
    <w:p>
      <w:pPr>
        <w:spacing w:after="0" w:line="168" w:lineRule="exact"/>
        <w:rPr>
          <w:rFonts w:ascii="Arial" w:cs="Arial" w:eastAsia="Arial" w:hAnsi="Arial"/>
          <w:sz w:val="16"/>
          <w:szCs w:val="16"/>
          <w:color w:val="auto"/>
        </w:rPr>
      </w:pPr>
    </w:p>
    <w:p>
      <w:pPr>
        <w:ind w:left="-8" w:right="60" w:firstLine="1154"/>
        <w:spacing w:after="0" w:line="257" w:lineRule="auto"/>
        <w:tabs>
          <w:tab w:leader="none" w:pos="1379"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of Employee Directors</w:t>
      </w:r>
      <w:r>
        <w:rPr>
          <w:rFonts w:ascii="Arial" w:cs="Arial" w:eastAsia="Arial" w:hAnsi="Arial"/>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installments of Annual Awards as described in Section 2(a) above on each applicable Grant Date.</w:t>
      </w:r>
    </w:p>
    <w:p>
      <w:pPr>
        <w:spacing w:after="0" w:line="187" w:lineRule="exact"/>
        <w:rPr>
          <w:rFonts w:ascii="Arial" w:cs="Arial" w:eastAsia="Arial" w:hAnsi="Arial"/>
          <w:sz w:val="18"/>
          <w:szCs w:val="18"/>
          <w:color w:val="auto"/>
        </w:rPr>
      </w:pPr>
    </w:p>
    <w:p>
      <w:pPr>
        <w:ind w:left="-8" w:firstLine="517"/>
        <w:spacing w:after="0" w:line="272" w:lineRule="auto"/>
        <w:tabs>
          <w:tab w:leader="none" w:pos="68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will reimburse each Non-Employee Director for ordinary, necessary and reasonable out-of-pocket travel expenses to cover in-person attendance at and participation in Board meetings and meetings of any committee of the Board; </w:t>
      </w:r>
      <w:r>
        <w:rPr>
          <w:rFonts w:ascii="Arial" w:cs="Arial" w:eastAsia="Arial" w:hAnsi="Arial"/>
          <w:sz w:val="17"/>
          <w:szCs w:val="17"/>
          <w:i w:val="1"/>
          <w:iCs w:val="1"/>
          <w:color w:val="auto"/>
        </w:rPr>
        <w:t>provided</w:t>
      </w:r>
      <w:r>
        <w:rPr>
          <w:rFonts w:ascii="Arial" w:cs="Arial" w:eastAsia="Arial" w:hAnsi="Arial"/>
          <w:sz w:val="17"/>
          <w:szCs w:val="17"/>
          <w:color w:val="auto"/>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than the last day of such individual’s taxable year that immediately follows the taxable year in which the expense was incurred; and (iii) the right to any reimbursement may not be subject to liquidation or exchange for another benefit.</w:t>
      </w:r>
    </w:p>
    <w:p>
      <w:pPr>
        <w:spacing w:after="0" w:line="170" w:lineRule="exact"/>
        <w:rPr>
          <w:sz w:val="20"/>
          <w:szCs w:val="20"/>
          <w:color w:val="auto"/>
        </w:rPr>
      </w:pPr>
    </w:p>
    <w:p>
      <w:pPr>
        <w:jc w:val="both"/>
        <w:ind w:firstLine="517"/>
        <w:spacing w:after="0" w:line="259" w:lineRule="auto"/>
        <w:tabs>
          <w:tab w:leader="none" w:pos="68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In the event any time period or any date provided in this Policy ends or falls on a day other than a Business Day, such date shall be deemed to fall on the next succeeding Business Day, and performance herein may be made on such Business Day, with the same force and effect as if made on such other day. “Business Day” means any calendar day that is not a Saturday, a Sunday, or a day on which commercial banks in New York, New York are authorized or required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1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81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Roman"/>
      <w:start w:val="3"/>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6B68079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3">
    <w:nsid w:val="4E6AFB66"/>
    <w:multiLevelType w:val="hybridMultilevel"/>
    <w:lvl w:ilvl="0">
      <w:lvlJc w:val="left"/>
      <w:lvlText w:val="%1."/>
      <w:numFmt w:val="decimal"/>
      <w:start w:val="90"/>
    </w:lvl>
    <w:lvl w:ilvl="1">
      <w:lvlJc w:val="left"/>
      <w:lvlText w:val="%2."/>
      <w:numFmt w:val="decimal"/>
      <w:start w:val="2"/>
    </w:lvl>
    <w:lvl w:ilvl="2">
      <w:lvlJc w:val="left"/>
      <w:lvlText w:val="(%3)"/>
      <w:numFmt w:val="lowerLetter"/>
      <w:start w:val="3"/>
    </w:lvl>
  </w:abstractNum>
  <w:abstractNum w:abstractNumId="14">
    <w:nsid w:val="25E45D32"/>
    <w:multiLevelType w:val="hybridMultilevel"/>
    <w:lvl w:ilvl="0">
      <w:lvlJc w:val="left"/>
      <w:lvlText w:val="%1."/>
      <w:numFmt w:val="decimal"/>
      <w:start w:val="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41" Type="http://schemas.openxmlformats.org/officeDocument/2006/relationships/hyperlink" Target="https://www.sec.gov/Archives/edgar/data/0001819989/000121390021013594/ea136931ex2-1_goodworks.htm" TargetMode="External"/><Relationship Id="rId242" Type="http://schemas.openxmlformats.org/officeDocument/2006/relationships/hyperlink" Target="https://www.sec.gov/Archives/edgar/data/0001819989/000119312521260900/d212090dex31.htm" TargetMode="External"/><Relationship Id="rId243" Type="http://schemas.openxmlformats.org/officeDocument/2006/relationships/hyperlink" Target="https://www.sec.gov/Archives/edgar/data/0001819989/000119312521260900/d212090dex32.htm" TargetMode="External"/><Relationship Id="rId244" Type="http://schemas.openxmlformats.org/officeDocument/2006/relationships/hyperlink" Target="https://www.sec.gov/Archives/edgar/data/0001819989/000121390020030737/ea128022ex4-3_goodworks.htm" TargetMode="External"/><Relationship Id="rId245" Type="http://schemas.openxmlformats.org/officeDocument/2006/relationships/hyperlink" Target="https://www.sec.gov/Archives/edgar/data/0001819989/000121390020033703/ea128955ex4-1_goodworksacq.htm" TargetMode="External"/><Relationship Id="rId246" Type="http://schemas.openxmlformats.org/officeDocument/2006/relationships/hyperlink" Target="https://www.sec.gov/Archives/edgar/data/1819989/000119312523203906/d44336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2023-08-08T08:27:53Z</dcterms:created>
  <dcterms:modified xsi:type="dcterms:W3CDTF">2023-08-08T08:27:53Z</dcterms:modified>
</cp:coreProperties>
</file>