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407"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358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to</w:t>
            </w: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3760" w:type="dxa"/>
            <w:vAlign w:val="bottom"/>
            <w:gridSpan w:val="4"/>
          </w:tcPr>
          <w:p>
            <w:pPr>
              <w:ind w:left="620"/>
              <w:spacing w:after="0"/>
              <w:rPr>
                <w:sz w:val="20"/>
                <w:szCs w:val="20"/>
                <w:color w:val="auto"/>
              </w:rPr>
            </w:pPr>
            <w:r>
              <w:rPr>
                <w:rFonts w:ascii="Arial" w:cs="Arial" w:eastAsia="Arial" w:hAnsi="Arial"/>
                <w:sz w:val="18"/>
                <w:szCs w:val="18"/>
                <w:b w:val="1"/>
                <w:bCs w:val="1"/>
                <w:color w:val="auto"/>
                <w:w w:val="99"/>
              </w:rPr>
              <w:t>Commission File Number: 001-39625</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CIPHER MINING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tbl>
      <w:tblPr>
        <w:tblLayout w:type="fixed"/>
        <w:tblInd w:w="1340" w:type="dxa"/>
        <w:tblCellMar>
          <w:top w:w="0" w:type="dxa"/>
          <w:left w:w="0" w:type="dxa"/>
          <w:bottom w:w="0" w:type="dxa"/>
          <w:right w:w="0" w:type="dxa"/>
        </w:tblCellMar>
      </w:tblPr>
      <w:tr>
        <w:trPr>
          <w:trHeight w:val="234"/>
        </w:trPr>
        <w:tc>
          <w:tcPr>
            <w:tcW w:w="4780" w:type="dxa"/>
            <w:vAlign w:val="bottom"/>
          </w:tcPr>
          <w:p>
            <w:pPr>
              <w:jc w:val="center"/>
              <w:ind w:right="1744"/>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85-1614529</w:t>
            </w:r>
          </w:p>
        </w:tc>
      </w:tr>
      <w:tr>
        <w:trPr>
          <w:trHeight w:val="144"/>
        </w:trPr>
        <w:tc>
          <w:tcPr>
            <w:tcW w:w="4780" w:type="dxa"/>
            <w:vAlign w:val="bottom"/>
          </w:tcPr>
          <w:p>
            <w:pPr>
              <w:jc w:val="center"/>
              <w:ind w:right="1764"/>
              <w:spacing w:after="0" w:line="144" w:lineRule="exact"/>
              <w:rPr>
                <w:sz w:val="20"/>
                <w:szCs w:val="20"/>
                <w:color w:val="auto"/>
              </w:rPr>
            </w:pPr>
            <w:r>
              <w:rPr>
                <w:rFonts w:ascii="Arial" w:cs="Arial" w:eastAsia="Arial" w:hAnsi="Arial"/>
                <w:sz w:val="13"/>
                <w:szCs w:val="13"/>
                <w:b w:val="1"/>
                <w:bCs w:val="1"/>
                <w:color w:val="auto"/>
                <w:w w:val="88"/>
              </w:rPr>
              <w:t>(State or other jurisdiction of</w:t>
            </w:r>
          </w:p>
        </w:tc>
        <w:tc>
          <w:tcPr>
            <w:tcW w:w="2800" w:type="dxa"/>
            <w:vAlign w:val="bottom"/>
          </w:tcPr>
          <w:p>
            <w:pPr>
              <w:jc w:val="center"/>
              <w:ind w:left="1746"/>
              <w:spacing w:after="0" w:line="144"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780" w:type="dxa"/>
            <w:vAlign w:val="bottom"/>
          </w:tcPr>
          <w:p>
            <w:pPr>
              <w:jc w:val="center"/>
              <w:ind w:right="1744"/>
              <w:spacing w:after="0"/>
              <w:rPr>
                <w:sz w:val="20"/>
                <w:szCs w:val="20"/>
                <w:color w:val="auto"/>
              </w:rPr>
            </w:pPr>
            <w:r>
              <w:rPr>
                <w:rFonts w:ascii="Arial" w:cs="Arial" w:eastAsia="Arial" w:hAnsi="Arial"/>
                <w:sz w:val="13"/>
                <w:szCs w:val="13"/>
                <w:b w:val="1"/>
                <w:bCs w:val="1"/>
                <w:color w:val="auto"/>
                <w:w w:val="88"/>
              </w:rPr>
              <w:t>incorporation or organization)</w:t>
            </w:r>
          </w:p>
        </w:tc>
        <w:tc>
          <w:tcPr>
            <w:tcW w:w="2800" w:type="dxa"/>
            <w:vAlign w:val="bottom"/>
          </w:tcPr>
          <w:p>
            <w:pPr>
              <w:jc w:val="center"/>
              <w:ind w:left="1746"/>
              <w:spacing w:after="0"/>
              <w:rPr>
                <w:sz w:val="20"/>
                <w:szCs w:val="20"/>
                <w:color w:val="auto"/>
              </w:rPr>
            </w:pPr>
            <w:r>
              <w:rPr>
                <w:rFonts w:ascii="Arial" w:cs="Arial" w:eastAsia="Arial" w:hAnsi="Arial"/>
                <w:sz w:val="13"/>
                <w:szCs w:val="13"/>
                <w:b w:val="1"/>
                <w:bCs w:val="1"/>
                <w:color w:val="auto"/>
                <w:w w:val="89"/>
              </w:rPr>
              <w:t>Identification No.)</w:t>
            </w:r>
          </w:p>
        </w:tc>
      </w:tr>
      <w:tr>
        <w:trPr>
          <w:trHeight w:val="322"/>
        </w:trPr>
        <w:tc>
          <w:tcPr>
            <w:tcW w:w="4780" w:type="dxa"/>
            <w:vAlign w:val="bottom"/>
          </w:tcPr>
          <w:p>
            <w:pPr>
              <w:jc w:val="center"/>
              <w:ind w:right="1744"/>
              <w:spacing w:after="0"/>
              <w:rPr>
                <w:sz w:val="20"/>
                <w:szCs w:val="20"/>
                <w:color w:val="auto"/>
              </w:rPr>
            </w:pPr>
            <w:r>
              <w:rPr>
                <w:rFonts w:ascii="Arial" w:cs="Arial" w:eastAsia="Arial" w:hAnsi="Arial"/>
                <w:sz w:val="18"/>
                <w:szCs w:val="18"/>
                <w:b w:val="1"/>
                <w:bCs w:val="1"/>
                <w:color w:val="auto"/>
                <w:w w:val="91"/>
              </w:rPr>
              <w:t>1 Vanderbilt Avenue, Floor 54, Suite C</w:t>
            </w:r>
          </w:p>
        </w:tc>
        <w:tc>
          <w:tcPr>
            <w:tcW w:w="2800" w:type="dxa"/>
            <w:vAlign w:val="bottom"/>
          </w:tcPr>
          <w:p>
            <w:pPr>
              <w:spacing w:after="0"/>
              <w:rPr>
                <w:sz w:val="24"/>
                <w:szCs w:val="24"/>
                <w:color w:val="auto"/>
              </w:rPr>
            </w:pPr>
          </w:p>
        </w:tc>
      </w:tr>
      <w:tr>
        <w:trPr>
          <w:trHeight w:val="234"/>
        </w:trPr>
        <w:tc>
          <w:tcPr>
            <w:tcW w:w="4780" w:type="dxa"/>
            <w:vAlign w:val="bottom"/>
          </w:tcPr>
          <w:p>
            <w:pPr>
              <w:jc w:val="center"/>
              <w:ind w:right="1764"/>
              <w:spacing w:after="0"/>
              <w:rPr>
                <w:sz w:val="20"/>
                <w:szCs w:val="20"/>
                <w:color w:val="auto"/>
              </w:rPr>
            </w:pPr>
            <w:r>
              <w:rPr>
                <w:rFonts w:ascii="Arial" w:cs="Arial" w:eastAsia="Arial" w:hAnsi="Arial"/>
                <w:sz w:val="18"/>
                <w:szCs w:val="18"/>
                <w:b w:val="1"/>
                <w:bCs w:val="1"/>
                <w:color w:val="auto"/>
                <w:w w:val="93"/>
              </w:rPr>
              <w:t>New York, New York</w:t>
            </w:r>
          </w:p>
        </w:tc>
        <w:tc>
          <w:tcPr>
            <w:tcW w:w="2800" w:type="dxa"/>
            <w:vAlign w:val="bottom"/>
          </w:tcPr>
          <w:p>
            <w:pPr>
              <w:jc w:val="right"/>
              <w:ind w:right="186"/>
              <w:spacing w:after="0"/>
              <w:rPr>
                <w:sz w:val="20"/>
                <w:szCs w:val="20"/>
                <w:color w:val="auto"/>
              </w:rPr>
            </w:pPr>
            <w:r>
              <w:rPr>
                <w:rFonts w:ascii="Arial" w:cs="Arial" w:eastAsia="Arial" w:hAnsi="Arial"/>
                <w:sz w:val="18"/>
                <w:szCs w:val="18"/>
                <w:b w:val="1"/>
                <w:bCs w:val="1"/>
                <w:color w:val="auto"/>
              </w:rPr>
              <w:t>10017</w:t>
            </w:r>
          </w:p>
        </w:tc>
      </w:tr>
      <w:tr>
        <w:trPr>
          <w:trHeight w:val="173"/>
        </w:trPr>
        <w:tc>
          <w:tcPr>
            <w:tcW w:w="4780" w:type="dxa"/>
            <w:vAlign w:val="bottom"/>
          </w:tcPr>
          <w:p>
            <w:pPr>
              <w:jc w:val="center"/>
              <w:ind w:right="174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800" w:type="dxa"/>
            <w:vAlign w:val="bottom"/>
          </w:tcPr>
          <w:p>
            <w:pPr>
              <w:jc w:val="center"/>
              <w:ind w:left="1746"/>
              <w:spacing w:after="0"/>
              <w:rPr>
                <w:sz w:val="20"/>
                <w:szCs w:val="20"/>
                <w:color w:val="auto"/>
              </w:rPr>
            </w:pPr>
            <w:r>
              <w:rPr>
                <w:rFonts w:ascii="Arial" w:cs="Arial" w:eastAsia="Arial" w:hAnsi="Arial"/>
                <w:sz w:val="13"/>
                <w:szCs w:val="13"/>
                <w:b w:val="1"/>
                <w:bCs w:val="1"/>
                <w:color w:val="auto"/>
                <w:w w:val="90"/>
              </w:rPr>
              <w:t>(Zip Code)</w:t>
            </w:r>
          </w:p>
        </w:tc>
      </w:tr>
    </w:tbl>
    <w:p>
      <w:pPr>
        <w:spacing w:after="0" w:line="6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(332) 262-2300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CIFR</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r>
        <w:trPr>
          <w:trHeight w:val="221"/>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1"/>
              </w:rPr>
              <w:t>Warrants, each whole warrant exercisable for one share of</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89"/>
              </w:rPr>
              <w:t>Common Stock at an exercise price of $11.50 per whole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CIFRW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bl>
    <w:p>
      <w:pPr>
        <w:spacing w:after="0" w:line="118" w:lineRule="exact"/>
        <w:rPr>
          <w:sz w:val="24"/>
          <w:szCs w:val="24"/>
          <w:color w:val="auto"/>
        </w:rPr>
      </w:pPr>
    </w:p>
    <w:p>
      <w:pPr>
        <w:jc w:val="both"/>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5180" w:type="dxa"/>
            <w:vAlign w:val="bottom"/>
          </w:tcPr>
          <w:p>
            <w:pPr>
              <w:ind w:left="310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20"/>
        <w:spacing w:after="0" w:line="25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6, 2023, the registrant had 254,660,072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0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39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1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Condensed Consolidated Statement of Changes in Stockholder’s Equity</w:t>
            </w:r>
          </w:p>
        </w:tc>
        <w:tc>
          <w:tcPr>
            <w:tcW w:w="41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8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8"/>
                <w:szCs w:val="18"/>
                <w:color w:val="auto"/>
              </w:rPr>
            </w:pPr>
          </w:p>
        </w:tc>
        <w:tc>
          <w:tcPr>
            <w:tcW w:w="2560" w:type="dxa"/>
            <w:vAlign w:val="bottom"/>
            <w:tcBorders>
              <w:top w:val="single" w:sz="8" w:color="0000FF"/>
            </w:tcBorders>
            <w:gridSpan w:val="8"/>
          </w:tcPr>
          <w:p>
            <w:pPr>
              <w:spacing w:after="0"/>
              <w:rPr>
                <w:sz w:val="18"/>
                <w:szCs w:val="18"/>
                <w:color w:val="auto"/>
              </w:rPr>
            </w:pP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OTHER INFORMATION</w:t>
            </w:r>
          </w:p>
        </w:tc>
        <w:tc>
          <w:tcPr>
            <w:tcW w:w="740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1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Unregistered Sales of Equity Securities, Use of Proceeds, and Issuer Purchases of Equity Securities</w:t>
            </w:r>
          </w:p>
        </w:tc>
        <w:tc>
          <w:tcPr>
            <w:tcW w:w="2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regarding our future results of operations and financial position, business strategy, timing and likelihood of success, potential expansion of or additional bitcoin mining data centers, expectations regarding the operations of mining centers, and management plans and objectives are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although not all forward-looking statements use these words or expressions. The forward-looking statements in this Quarterly Report are only predictions and are largely based on our current expectations and projections about future events and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spacing w:after="0" w:line="78" w:lineRule="exact"/>
        <w:rPr>
          <w:sz w:val="20"/>
          <w:szCs w:val="20"/>
          <w:color w:val="auto"/>
        </w:rPr>
      </w:pPr>
    </w:p>
    <w:p>
      <w:pPr>
        <w:ind w:left="1020" w:right="16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75"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several risks due to disruptions in the crypto asset markets, including but not limited to, the risk from depreciation in our stock price, financing risk, risk of increased losses or impairments in our investments or other assets, risks of legal proceedings and government investigations, and risks from price declines or price volatility of crypto assets.</w:t>
      </w:r>
    </w:p>
    <w:p>
      <w:pPr>
        <w:spacing w:after="0" w:line="75"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the markets in which we operate are new and rapidly evolving, which makes it difficult to evaluate our future prospects and the risks and challenges we may encounter.</w:t>
      </w:r>
    </w:p>
    <w:p>
      <w:pPr>
        <w:spacing w:after="0" w:line="62" w:lineRule="exact"/>
        <w:rPr>
          <w:rFonts w:ascii="Arial" w:cs="Arial" w:eastAsia="Arial" w:hAnsi="Arial"/>
          <w:sz w:val="18"/>
          <w:szCs w:val="18"/>
          <w:color w:val="auto"/>
        </w:rPr>
      </w:pPr>
    </w:p>
    <w:p>
      <w:pPr>
        <w:ind w:left="1020" w:hanging="503"/>
        <w:spacing w:after="0" w:line="279"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currently operating in a period of economic uncertainty and capital markets disruption, which has been significantly impacted by geopolitical instability, such as the ongoing military conflict between Russia and Ukraine, and the armed conflict in Israel and its surrounding regions. Our business, financial condition and results of operations may be materially adversely affected by any negative impact on the global economy and capital markets resulting from the conflict in Ukraine, Israel or any other geopolitical tensions.</w:t>
      </w:r>
    </w:p>
    <w:p>
      <w:pPr>
        <w:spacing w:after="0" w:line="63"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grow our hashrate, we may be unable to compete, and our results of operations could suffer.</w:t>
      </w:r>
    </w:p>
    <w:p>
      <w:pPr>
        <w:spacing w:after="0" w:line="117" w:lineRule="exact"/>
        <w:rPr>
          <w:rFonts w:ascii="Arial" w:cs="Arial" w:eastAsia="Arial" w:hAnsi="Arial"/>
          <w:sz w:val="18"/>
          <w:szCs w:val="18"/>
          <w:color w:val="auto"/>
        </w:rPr>
      </w:pPr>
    </w:p>
    <w:p>
      <w:pPr>
        <w:ind w:left="1020" w:right="140" w:hanging="503"/>
        <w:spacing w:after="0" w:line="31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p>
    <w:p>
      <w:pPr>
        <w:spacing w:after="0" w:line="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concentrated our operations in Texas and, thus, are particularly exposed to changes in the regulatory environment, market conditions and natural disasters in this state.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may fluctuate due to the highly volatile nature of cryptocurrencies in general and, specifically, bitcoin.</w:t>
      </w:r>
    </w:p>
    <w:p>
      <w:pPr>
        <w:spacing w:after="0" w:line="117" w:lineRule="exact"/>
        <w:rPr>
          <w:rFonts w:ascii="Arial" w:cs="Arial" w:eastAsia="Arial" w:hAnsi="Arial"/>
          <w:sz w:val="18"/>
          <w:szCs w:val="18"/>
          <w:color w:val="auto"/>
        </w:rPr>
      </w:pPr>
    </w:p>
    <w:p>
      <w:pPr>
        <w:ind w:left="1020" w:right="160" w:hanging="503"/>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depend on third parties to provide us with certain critical equipment and may rely on components and raw materials that may be subject to price fluctuations or shortages, including ASIC chips that have been subject to periods of significant shortage and high innovation pace.</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affected by price fluctuations in the wholesale and retail power markets.</w:t>
      </w:r>
    </w:p>
    <w:p>
      <w:pPr>
        <w:spacing w:after="0" w:line="117"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vulnerable to severe weather conditions and natural disasters, including severe heat, winter weather events, earthquakes, fires, floods, hurricanes, as well as power outages and other industrial incidents, which could severely disrupt the normal operation of our business and adversely affect our results of operations.</w:t>
      </w:r>
    </w:p>
    <w:p>
      <w:pPr>
        <w:spacing w:after="0" w:line="75"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exposed to risks related to disruptions or other failures in the supply chain for bitcoin mining hardware and related data center hardware, and difficulties in obtaining new hardware.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Bitcoin miners and other necessary hardware are subject to malfunction, technological obsolescence and physical degradation.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automated processes with respect to curtailment may adversely affect our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important factors discussed in Part I, Item 1A, “Risk Factors” in our Annual Report on Form 10-K for the year ended December 31,</w:t>
      </w:r>
    </w:p>
    <w:p>
      <w:pPr>
        <w:spacing w:after="0" w:line="34" w:lineRule="exact"/>
        <w:rPr>
          <w:rFonts w:ascii="Arial" w:cs="Arial" w:eastAsia="Arial" w:hAnsi="Arial"/>
          <w:sz w:val="17"/>
          <w:szCs w:val="17"/>
          <w:color w:val="auto"/>
        </w:rPr>
      </w:pPr>
    </w:p>
    <w:p>
      <w:pPr>
        <w:ind w:left="1020"/>
        <w:spacing w:after="0" w:line="260" w:lineRule="auto"/>
        <w:rPr>
          <w:rFonts w:ascii="Arial" w:cs="Arial" w:eastAsia="Arial" w:hAnsi="Arial"/>
          <w:sz w:val="17"/>
          <w:szCs w:val="17"/>
          <w:color w:val="auto"/>
        </w:rPr>
      </w:pPr>
      <w:r>
        <w:rPr>
          <w:rFonts w:ascii="Arial" w:cs="Arial" w:eastAsia="Arial" w:hAnsi="Arial"/>
          <w:sz w:val="18"/>
          <w:szCs w:val="18"/>
          <w:color w:val="auto"/>
        </w:rPr>
        <w:t>2022 filed with the Securities and Exchange Commission (the “SEC”) on March 14, 2023 (the “2022 Form 10-K”) and our other reports filed with the SEC.</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Our corporate website address is https://www.ciphermining.com (“Corporate Website”). The contents of, or information accessible through, our Corporate Website are not part of this Quarterly Report.</w:t>
      </w:r>
    </w:p>
    <w:p>
      <w:pPr>
        <w:spacing w:after="0" w:line="13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 maintains a dedicated investor website at https://investors.ciphermining.com/investors (“Investors’ Website”) which is similarly not part of this Quarterly Report. We make our filings with the SEC, including our Annual Reports on Form 10-K, Quarterly Reports on Form 10-Q, Current Reports on Form 8-K, and all amendments to those reports, available free of charge on our Investors’ Website as soon as reasonably practicable after we file such reports with, or furnish such reports to, the SEC.</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non-public information for complying with disclosure obligations under Regulation FD.</w:t>
      </w:r>
    </w:p>
    <w:p>
      <w:pPr>
        <w:spacing w:after="0" w:line="13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Quarterly Report or any other filings we make with the SEC.</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3"/>
              </w:rPr>
              <w:t>September 30, 2023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2"/>
              </w:rPr>
              <w:t>December 31, 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6"/>
                <w:szCs w:val="16"/>
                <w:color w:val="auto"/>
              </w:rPr>
              <w:t>(unaudited)</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40" w:type="dxa"/>
            <w:vAlign w:val="bottom"/>
            <w:shd w:val="clear" w:color="auto" w:fill="CCEC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spacing w:after="0"/>
              <w:rPr>
                <w:sz w:val="20"/>
                <w:szCs w:val="20"/>
                <w:color w:val="auto"/>
              </w:rPr>
            </w:pPr>
          </w:p>
        </w:tc>
        <w:tc>
          <w:tcPr>
            <w:tcW w:w="4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5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40" w:type="dxa"/>
            <w:vAlign w:val="bottom"/>
            <w:shd w:val="clear" w:color="auto" w:fill="CCECFF"/>
          </w:tcPr>
          <w:p>
            <w:pPr>
              <w:ind w:left="20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3,342</w:t>
            </w:r>
          </w:p>
        </w:tc>
        <w:tc>
          <w:tcPr>
            <w:tcW w:w="420" w:type="dxa"/>
            <w:vAlign w:val="bottom"/>
            <w:shd w:val="clear" w:color="auto" w:fill="CCECFF"/>
          </w:tcPr>
          <w:p>
            <w:pPr>
              <w:spacing w:after="0"/>
              <w:rPr>
                <w:sz w:val="20"/>
                <w:szCs w:val="20"/>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11,927</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4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40" w:type="dxa"/>
            <w:vAlign w:val="bottom"/>
            <w:shd w:val="clear" w:color="auto" w:fill="CCECFF"/>
          </w:tcPr>
          <w:p>
            <w:pPr>
              <w:ind w:left="200"/>
              <w:spacing w:after="0"/>
              <w:rPr>
                <w:sz w:val="20"/>
                <w:szCs w:val="20"/>
                <w:color w:val="auto"/>
              </w:rPr>
            </w:pPr>
            <w:r>
              <w:rPr>
                <w:rFonts w:ascii="Arial" w:cs="Arial" w:eastAsia="Arial" w:hAnsi="Arial"/>
                <w:sz w:val="16"/>
                <w:szCs w:val="16"/>
                <w:color w:val="auto"/>
              </w:rPr>
              <w:t>Receivables, related party</w:t>
            </w: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4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3,962</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40" w:type="dxa"/>
            <w:vAlign w:val="bottom"/>
            <w:shd w:val="clear" w:color="auto" w:fill="CCECFF"/>
          </w:tcPr>
          <w:p>
            <w:pPr>
              <w:ind w:left="200"/>
              <w:spacing w:after="0"/>
              <w:rPr>
                <w:sz w:val="20"/>
                <w:szCs w:val="20"/>
                <w:color w:val="auto"/>
              </w:rPr>
            </w:pPr>
            <w:r>
              <w:rPr>
                <w:rFonts w:ascii="Arial" w:cs="Arial" w:eastAsia="Arial" w:hAnsi="Arial"/>
                <w:sz w:val="16"/>
                <w:szCs w:val="16"/>
                <w:color w:val="auto"/>
              </w:rPr>
              <w:t>Bitcoin</w:t>
            </w: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13,667</w:t>
            </w:r>
          </w:p>
        </w:tc>
        <w:tc>
          <w:tcPr>
            <w:tcW w:w="4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6,283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40" w:type="dxa"/>
            <w:vAlign w:val="bottom"/>
          </w:tcPr>
          <w:p>
            <w:pPr>
              <w:ind w:left="200"/>
              <w:spacing w:after="0"/>
              <w:rPr>
                <w:sz w:val="20"/>
                <w:szCs w:val="20"/>
                <w:color w:val="auto"/>
              </w:rPr>
            </w:pPr>
            <w:r>
              <w:rPr>
                <w:rFonts w:ascii="Arial" w:cs="Arial" w:eastAsia="Arial" w:hAnsi="Arial"/>
                <w:sz w:val="16"/>
                <w:szCs w:val="16"/>
                <w:color w:val="auto"/>
              </w:rPr>
              <w:t>Derivative asset</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33,087</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40" w:type="dxa"/>
            <w:vAlign w:val="bottom"/>
            <w:shd w:val="clear" w:color="auto" w:fill="CCECFF"/>
          </w:tcPr>
          <w:p>
            <w:pPr>
              <w:ind w:left="38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CFF"/>
          </w:tcPr>
          <w:p>
            <w:pPr>
              <w:spacing w:after="0"/>
              <w:rPr>
                <w:sz w:val="19"/>
                <w:szCs w:val="19"/>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54,418</w:t>
            </w:r>
          </w:p>
        </w:tc>
        <w:tc>
          <w:tcPr>
            <w:tcW w:w="4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47,735</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258,295</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191,784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40" w:type="dxa"/>
            <w:vAlign w:val="bottom"/>
            <w:shd w:val="clear" w:color="auto" w:fill="CCECFF"/>
          </w:tcPr>
          <w:p>
            <w:pPr>
              <w:ind w:left="20"/>
              <w:spacing w:after="0"/>
              <w:rPr>
                <w:sz w:val="20"/>
                <w:szCs w:val="20"/>
                <w:color w:val="auto"/>
              </w:rPr>
            </w:pPr>
            <w:r>
              <w:rPr>
                <w:rFonts w:ascii="Arial" w:cs="Arial" w:eastAsia="Arial" w:hAnsi="Arial"/>
                <w:sz w:val="16"/>
                <w:szCs w:val="16"/>
                <w:color w:val="auto"/>
              </w:rPr>
              <w:t>Deposits on equipment</w:t>
            </w: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1,220</w:t>
            </w:r>
          </w:p>
        </w:tc>
        <w:tc>
          <w:tcPr>
            <w:tcW w:w="4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73,018</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Arial" w:cs="Arial" w:eastAsia="Arial" w:hAnsi="Arial"/>
                <w:sz w:val="16"/>
                <w:szCs w:val="16"/>
                <w:color w:val="auto"/>
              </w:rPr>
              <w:t>Investment in equity investees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33,609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40" w:type="dxa"/>
            <w:vAlign w:val="bottom"/>
            <w:shd w:val="clear" w:color="auto" w:fill="CCECFF"/>
          </w:tcPr>
          <w:p>
            <w:pPr>
              <w:ind w:left="20"/>
              <w:spacing w:after="0"/>
              <w:rPr>
                <w:sz w:val="20"/>
                <w:szCs w:val="20"/>
                <w:color w:val="auto"/>
              </w:rPr>
            </w:pPr>
            <w:r>
              <w:rPr>
                <w:rFonts w:ascii="Arial" w:cs="Arial" w:eastAsia="Arial" w:hAnsi="Arial"/>
                <w:sz w:val="16"/>
                <w:szCs w:val="16"/>
                <w:color w:val="auto"/>
              </w:rPr>
              <w:t>Derivative asset</w:t>
            </w: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46,963</w:t>
            </w:r>
          </w:p>
        </w:tc>
        <w:tc>
          <w:tcPr>
            <w:tcW w:w="4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45,631</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Arial" w:cs="Arial" w:eastAsia="Arial" w:hAnsi="Arial"/>
                <w:sz w:val="16"/>
                <w:szCs w:val="16"/>
                <w:color w:val="auto"/>
              </w:rPr>
              <w:t>Operating lease right-of-use asset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4,399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6"/>
                <w:szCs w:val="16"/>
                <w:color w:val="auto"/>
              </w:rPr>
              <w:t>Security deposits</w:t>
            </w:r>
          </w:p>
        </w:tc>
        <w:tc>
          <w:tcPr>
            <w:tcW w:w="140" w:type="dxa"/>
            <w:vAlign w:val="bottom"/>
            <w:tcBorders>
              <w:bottom w:val="single" w:sz="8" w:color="auto"/>
            </w:tcBorders>
            <w:shd w:val="clear" w:color="auto" w:fill="CCECFF"/>
          </w:tcPr>
          <w:p>
            <w:pPr>
              <w:spacing w:after="0"/>
              <w:rPr>
                <w:sz w:val="20"/>
                <w:szCs w:val="20"/>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17,586</w:t>
            </w:r>
          </w:p>
        </w:tc>
        <w:tc>
          <w:tcPr>
            <w:tcW w:w="42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auto"/>
            </w:tcBorders>
            <w:shd w:val="clear" w:color="auto" w:fill="CCECFF"/>
          </w:tcPr>
          <w:p>
            <w:pPr>
              <w:spacing w:after="0"/>
              <w:rPr>
                <w:sz w:val="20"/>
                <w:szCs w:val="20"/>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17,730</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40" w:type="dxa"/>
            <w:vAlign w:val="bottom"/>
          </w:tcPr>
          <w:p>
            <w:pPr>
              <w:ind w:left="20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416,490</w:t>
            </w:r>
          </w:p>
        </w:tc>
        <w:tc>
          <w:tcPr>
            <w:tcW w:w="4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shd w:val="clear" w:color="auto" w:fill="CCEC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CFF"/>
          </w:tcPr>
          <w:p>
            <w:pPr>
              <w:spacing w:after="0"/>
              <w:rPr>
                <w:sz w:val="18"/>
                <w:szCs w:val="18"/>
                <w:color w:val="auto"/>
              </w:rPr>
            </w:pPr>
          </w:p>
        </w:tc>
        <w:tc>
          <w:tcPr>
            <w:tcW w:w="160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5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40" w:type="dxa"/>
            <w:vAlign w:val="bottom"/>
            <w:shd w:val="clear" w:color="auto" w:fill="CCECFF"/>
          </w:tcPr>
          <w:p>
            <w:pPr>
              <w:ind w:left="20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4,604</w:t>
            </w:r>
          </w:p>
        </w:tc>
        <w:tc>
          <w:tcPr>
            <w:tcW w:w="420" w:type="dxa"/>
            <w:vAlign w:val="bottom"/>
            <w:shd w:val="clear" w:color="auto" w:fill="CCECFF"/>
          </w:tcPr>
          <w:p>
            <w:pPr>
              <w:spacing w:after="0"/>
              <w:rPr>
                <w:sz w:val="20"/>
                <w:szCs w:val="20"/>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14,286</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40" w:type="dxa"/>
            <w:vAlign w:val="bottom"/>
          </w:tcPr>
          <w:p>
            <w:pPr>
              <w:ind w:left="200"/>
              <w:spacing w:after="0"/>
              <w:rPr>
                <w:sz w:val="20"/>
                <w:szCs w:val="20"/>
                <w:color w:val="auto"/>
              </w:rPr>
            </w:pPr>
            <w:r>
              <w:rPr>
                <w:rFonts w:ascii="Arial" w:cs="Arial" w:eastAsia="Arial" w:hAnsi="Arial"/>
                <w:sz w:val="16"/>
                <w:szCs w:val="16"/>
                <w:color w:val="auto"/>
              </w:rPr>
              <w:t>Accounts payable, related party</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1,554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40" w:type="dxa"/>
            <w:vAlign w:val="bottom"/>
            <w:shd w:val="clear" w:color="auto" w:fill="CCECFF"/>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24,813</w:t>
            </w:r>
          </w:p>
        </w:tc>
        <w:tc>
          <w:tcPr>
            <w:tcW w:w="4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19,353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40" w:type="dxa"/>
            <w:vAlign w:val="bottom"/>
          </w:tcPr>
          <w:p>
            <w:pPr>
              <w:ind w:left="200"/>
              <w:spacing w:after="0"/>
              <w:rPr>
                <w:sz w:val="20"/>
                <w:szCs w:val="20"/>
                <w:color w:val="auto"/>
              </w:rPr>
            </w:pPr>
            <w:r>
              <w:rPr>
                <w:rFonts w:ascii="Arial" w:cs="Arial" w:eastAsia="Arial" w:hAnsi="Arial"/>
                <w:sz w:val="16"/>
                <w:szCs w:val="16"/>
                <w:color w:val="auto"/>
              </w:rPr>
              <w:t>Finance lease liability, current portion</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6,749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40" w:type="dxa"/>
            <w:vAlign w:val="bottom"/>
            <w:shd w:val="clear" w:color="auto" w:fill="CCECFF"/>
          </w:tcPr>
          <w:p>
            <w:pPr>
              <w:ind w:left="200"/>
              <w:spacing w:after="0"/>
              <w:rPr>
                <w:sz w:val="20"/>
                <w:szCs w:val="20"/>
                <w:color w:val="auto"/>
              </w:rPr>
            </w:pPr>
            <w:r>
              <w:rPr>
                <w:rFonts w:ascii="Arial" w:cs="Arial" w:eastAsia="Arial" w:hAnsi="Arial"/>
                <w:sz w:val="16"/>
                <w:szCs w:val="16"/>
                <w:color w:val="auto"/>
              </w:rPr>
              <w:t>Operating lease liability, current portion</w:t>
            </w: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1,117</w:t>
            </w:r>
          </w:p>
        </w:tc>
        <w:tc>
          <w:tcPr>
            <w:tcW w:w="4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40" w:type="dxa"/>
            <w:vAlign w:val="bottom"/>
          </w:tcPr>
          <w:p>
            <w:pPr>
              <w:ind w:left="200"/>
              <w:spacing w:after="0"/>
              <w:rPr>
                <w:sz w:val="20"/>
                <w:szCs w:val="20"/>
                <w:color w:val="auto"/>
              </w:rPr>
            </w:pPr>
            <w:r>
              <w:rPr>
                <w:rFonts w:ascii="Arial" w:cs="Arial" w:eastAsia="Arial" w:hAnsi="Arial"/>
                <w:sz w:val="16"/>
                <w:szCs w:val="16"/>
                <w:color w:val="auto"/>
              </w:rPr>
              <w:t>Warrant liability</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40" w:type="dxa"/>
            <w:vAlign w:val="bottom"/>
            <w:shd w:val="clear" w:color="auto" w:fill="CCECFF"/>
          </w:tcPr>
          <w:p>
            <w:pPr>
              <w:ind w:left="38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CFF"/>
          </w:tcPr>
          <w:p>
            <w:pPr>
              <w:spacing w:after="0"/>
              <w:rPr>
                <w:sz w:val="19"/>
                <w:szCs w:val="19"/>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38,893</w:t>
            </w:r>
          </w:p>
        </w:tc>
        <w:tc>
          <w:tcPr>
            <w:tcW w:w="4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40,326</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Arial" w:cs="Arial" w:eastAsia="Arial" w:hAnsi="Arial"/>
                <w:sz w:val="16"/>
                <w:szCs w:val="16"/>
                <w:color w:val="auto"/>
              </w:rPr>
              <w:t>Asset retirement obligation</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17,966</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40" w:type="dxa"/>
            <w:vAlign w:val="bottom"/>
            <w:shd w:val="clear" w:color="auto" w:fill="CCECFF"/>
          </w:tcPr>
          <w:p>
            <w:pPr>
              <w:ind w:left="20"/>
              <w:spacing w:after="0"/>
              <w:rPr>
                <w:sz w:val="20"/>
                <w:szCs w:val="20"/>
                <w:color w:val="auto"/>
              </w:rPr>
            </w:pPr>
            <w:r>
              <w:rPr>
                <w:rFonts w:ascii="Arial" w:cs="Arial" w:eastAsia="Arial" w:hAnsi="Arial"/>
                <w:sz w:val="16"/>
                <w:szCs w:val="16"/>
                <w:color w:val="auto"/>
              </w:rPr>
              <w:t>Finance lease liability</w:t>
            </w: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12,014</w:t>
            </w:r>
          </w:p>
        </w:tc>
        <w:tc>
          <w:tcPr>
            <w:tcW w:w="4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12,229</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Arial" w:cs="Arial" w:eastAsia="Arial" w:hAnsi="Arial"/>
                <w:sz w:val="16"/>
                <w:szCs w:val="16"/>
                <w:color w:val="auto"/>
              </w:rPr>
              <w:t>Operating lease liability</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3,645</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6"/>
                <w:szCs w:val="16"/>
                <w:color w:val="auto"/>
              </w:rPr>
              <w:t>Deferred tax liability</w:t>
            </w:r>
          </w:p>
        </w:tc>
        <w:tc>
          <w:tcPr>
            <w:tcW w:w="140" w:type="dxa"/>
            <w:vAlign w:val="bottom"/>
            <w:tcBorders>
              <w:bottom w:val="single" w:sz="8" w:color="auto"/>
            </w:tcBorders>
            <w:shd w:val="clear" w:color="auto" w:fill="CCECFF"/>
          </w:tcPr>
          <w:p>
            <w:pPr>
              <w:spacing w:after="0"/>
              <w:rPr>
                <w:sz w:val="20"/>
                <w:szCs w:val="20"/>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1,285</w:t>
            </w:r>
          </w:p>
        </w:tc>
        <w:tc>
          <w:tcPr>
            <w:tcW w:w="42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auto"/>
            </w:tcBorders>
            <w:shd w:val="clear" w:color="auto" w:fill="CCECFF"/>
          </w:tcPr>
          <w:p>
            <w:pPr>
              <w:spacing w:after="0"/>
              <w:rPr>
                <w:sz w:val="20"/>
                <w:szCs w:val="20"/>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1,840</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73,803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40" w:type="dxa"/>
            <w:vAlign w:val="bottom"/>
            <w:shd w:val="clear" w:color="auto" w:fill="CCECFF"/>
          </w:tcPr>
          <w:p>
            <w:pPr>
              <w:ind w:left="20"/>
              <w:spacing w:after="0"/>
              <w:rPr>
                <w:sz w:val="20"/>
                <w:szCs w:val="20"/>
                <w:color w:val="auto"/>
              </w:rPr>
            </w:pPr>
            <w:r>
              <w:rPr>
                <w:rFonts w:ascii="Arial" w:cs="Arial" w:eastAsia="Arial" w:hAnsi="Arial"/>
                <w:sz w:val="16"/>
                <w:szCs w:val="16"/>
                <w:color w:val="auto"/>
              </w:rPr>
              <w:t>Commitments and contingencies (</w:t>
            </w:r>
            <w:r>
              <w:rPr>
                <w:rFonts w:ascii="Arial" w:cs="Arial" w:eastAsia="Arial" w:hAnsi="Arial"/>
                <w:sz w:val="16"/>
                <w:szCs w:val="16"/>
                <w:i w:val="1"/>
                <w:iCs w:val="1"/>
                <w:color w:val="auto"/>
              </w:rPr>
              <w:t>Note 12</w:t>
            </w:r>
            <w:r>
              <w:rPr>
                <w:rFonts w:ascii="Arial" w:cs="Arial" w:eastAsia="Arial" w:hAnsi="Arial"/>
                <w:sz w:val="16"/>
                <w:szCs w:val="16"/>
                <w:color w:val="auto"/>
              </w:rPr>
              <w:t>)</w:t>
            </w:r>
          </w:p>
        </w:tc>
        <w:tc>
          <w:tcPr>
            <w:tcW w:w="140" w:type="dxa"/>
            <w:vAlign w:val="bottom"/>
            <w:shd w:val="clear" w:color="auto" w:fill="CCECFF"/>
          </w:tcPr>
          <w:p>
            <w:pPr>
              <w:spacing w:after="0"/>
              <w:rPr>
                <w:sz w:val="19"/>
                <w:szCs w:val="19"/>
                <w:color w:val="auto"/>
              </w:rPr>
            </w:pPr>
          </w:p>
        </w:tc>
        <w:tc>
          <w:tcPr>
            <w:tcW w:w="160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5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CFF"/>
          </w:tcPr>
          <w:p>
            <w:pPr>
              <w:ind w:left="200"/>
              <w:spacing w:after="0"/>
              <w:rPr>
                <w:sz w:val="20"/>
                <w:szCs w:val="20"/>
                <w:color w:val="auto"/>
              </w:rPr>
            </w:pPr>
            <w:r>
              <w:rPr>
                <w:rFonts w:ascii="Arial" w:cs="Arial" w:eastAsia="Arial" w:hAnsi="Arial"/>
                <w:sz w:val="16"/>
                <w:szCs w:val="16"/>
                <w:color w:val="auto"/>
                <w:w w:val="98"/>
              </w:rPr>
              <w:t>Preferred stock, $0.001 par value; 10,000,000 shares authorized, none issued and outstanding as of</w:t>
            </w:r>
          </w:p>
        </w:tc>
        <w:tc>
          <w:tcPr>
            <w:tcW w:w="140" w:type="dxa"/>
            <w:vAlign w:val="bottom"/>
            <w:shd w:val="clear" w:color="auto" w:fill="CCECFF"/>
          </w:tcPr>
          <w:p>
            <w:pPr>
              <w:spacing w:after="0"/>
              <w:rPr>
                <w:sz w:val="18"/>
                <w:szCs w:val="18"/>
                <w:color w:val="auto"/>
              </w:rPr>
            </w:pPr>
          </w:p>
        </w:tc>
        <w:tc>
          <w:tcPr>
            <w:tcW w:w="160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5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240" w:type="dxa"/>
            <w:vAlign w:val="bottom"/>
            <w:shd w:val="clear" w:color="auto" w:fill="CCECFF"/>
          </w:tcPr>
          <w:p>
            <w:pPr>
              <w:ind w:left="200"/>
              <w:spacing w:after="0"/>
              <w:rPr>
                <w:sz w:val="20"/>
                <w:szCs w:val="20"/>
                <w:color w:val="auto"/>
              </w:rPr>
            </w:pPr>
            <w:r>
              <w:rPr>
                <w:rFonts w:ascii="Arial" w:cs="Arial" w:eastAsia="Arial" w:hAnsi="Arial"/>
                <w:sz w:val="16"/>
                <w:szCs w:val="16"/>
                <w:color w:val="auto"/>
              </w:rPr>
              <w:t>September 30, 2023 and December 31, 2022</w:t>
            </w:r>
          </w:p>
        </w:tc>
        <w:tc>
          <w:tcPr>
            <w:tcW w:w="140" w:type="dxa"/>
            <w:vAlign w:val="bottom"/>
            <w:shd w:val="clear" w:color="auto" w:fill="CCECFF"/>
          </w:tcPr>
          <w:p>
            <w:pPr>
              <w:spacing w:after="0"/>
              <w:rPr>
                <w:sz w:val="19"/>
                <w:szCs w:val="19"/>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40" w:type="dxa"/>
            <w:vAlign w:val="bottom"/>
          </w:tcPr>
          <w:p>
            <w:pPr>
              <w:ind w:left="200"/>
              <w:spacing w:after="0"/>
              <w:rPr>
                <w:sz w:val="20"/>
                <w:szCs w:val="20"/>
                <w:color w:val="auto"/>
              </w:rPr>
            </w:pPr>
            <w:r>
              <w:rPr>
                <w:rFonts w:ascii="Arial" w:cs="Arial" w:eastAsia="Arial" w:hAnsi="Arial"/>
                <w:sz w:val="16"/>
                <w:szCs w:val="16"/>
                <w:color w:val="auto"/>
                <w:w w:val="94"/>
              </w:rPr>
              <w:t>Common stock, $0.001 par value, 500,000,000 shares authorized, 259,682,742 and 251,095,305 shares</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00"/>
              <w:spacing w:after="0"/>
              <w:rPr>
                <w:sz w:val="20"/>
                <w:szCs w:val="20"/>
                <w:color w:val="auto"/>
              </w:rPr>
            </w:pPr>
            <w:r>
              <w:rPr>
                <w:rFonts w:ascii="Arial" w:cs="Arial" w:eastAsia="Arial" w:hAnsi="Arial"/>
                <w:sz w:val="16"/>
                <w:szCs w:val="16"/>
                <w:color w:val="auto"/>
              </w:rPr>
              <w:t>issued as of September 30, 2023 and December 31, 2022, respectively, and 254,558,178 and</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00"/>
              <w:spacing w:after="0"/>
              <w:rPr>
                <w:sz w:val="20"/>
                <w:szCs w:val="20"/>
                <w:color w:val="auto"/>
              </w:rPr>
            </w:pPr>
            <w:r>
              <w:rPr>
                <w:rFonts w:ascii="Arial" w:cs="Arial" w:eastAsia="Arial" w:hAnsi="Arial"/>
                <w:sz w:val="16"/>
                <w:szCs w:val="16"/>
                <w:color w:val="auto"/>
              </w:rPr>
              <w:t>247,551,958 shares outstanding as of September 30, 2023 and December 31, 2022, respectively</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240" w:type="dxa"/>
            <w:vAlign w:val="bottom"/>
            <w:shd w:val="clear" w:color="auto" w:fill="CCECFF"/>
          </w:tcPr>
          <w:p>
            <w:pPr>
              <w:ind w:left="20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490,655</w:t>
            </w:r>
          </w:p>
        </w:tc>
        <w:tc>
          <w:tcPr>
            <w:tcW w:w="4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453,854</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4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9"/>
                <w:szCs w:val="19"/>
                <w:color w:val="auto"/>
              </w:rPr>
            </w:pPr>
          </w:p>
        </w:tc>
        <w:tc>
          <w:tcPr>
            <w:tcW w:w="2020" w:type="dxa"/>
            <w:vAlign w:val="bottom"/>
            <w:gridSpan w:val="2"/>
          </w:tcPr>
          <w:p>
            <w:pPr>
              <w:jc w:val="right"/>
              <w:ind w:right="340"/>
              <w:spacing w:after="0"/>
              <w:rPr>
                <w:sz w:val="20"/>
                <w:szCs w:val="20"/>
                <w:color w:val="auto"/>
              </w:rPr>
            </w:pPr>
            <w:r>
              <w:rPr>
                <w:rFonts w:ascii="Arial" w:cs="Arial" w:eastAsia="Arial" w:hAnsi="Arial"/>
                <w:sz w:val="16"/>
                <w:szCs w:val="16"/>
                <w:color w:val="auto"/>
              </w:rPr>
              <w:t>(148,222 )</w:t>
            </w:r>
          </w:p>
        </w:tc>
        <w:tc>
          <w:tcPr>
            <w:tcW w:w="16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(111,209 )</w:t>
            </w:r>
          </w:p>
        </w:tc>
        <w:tc>
          <w:tcPr>
            <w:tcW w:w="0" w:type="dxa"/>
            <w:vAlign w:val="bottom"/>
          </w:tcPr>
          <w:p>
            <w:pPr>
              <w:spacing w:after="0"/>
              <w:rPr>
                <w:sz w:val="1"/>
                <w:szCs w:val="1"/>
                <w:color w:val="auto"/>
              </w:rPr>
            </w:pPr>
          </w:p>
        </w:tc>
      </w:tr>
      <w:tr>
        <w:trPr>
          <w:trHeight w:val="216"/>
        </w:trPr>
        <w:tc>
          <w:tcPr>
            <w:tcW w:w="7240" w:type="dxa"/>
            <w:vAlign w:val="bottom"/>
            <w:shd w:val="clear" w:color="auto" w:fill="CCECFF"/>
          </w:tcPr>
          <w:p>
            <w:pPr>
              <w:ind w:left="200"/>
              <w:spacing w:after="0"/>
              <w:rPr>
                <w:sz w:val="20"/>
                <w:szCs w:val="20"/>
                <w:color w:val="auto"/>
              </w:rPr>
            </w:pPr>
            <w:r>
              <w:rPr>
                <w:rFonts w:ascii="Arial" w:cs="Arial" w:eastAsia="Arial" w:hAnsi="Arial"/>
                <w:sz w:val="16"/>
                <w:szCs w:val="16"/>
                <w:color w:val="auto"/>
                <w:w w:val="94"/>
              </w:rPr>
              <w:t>Treasury stock, at par, 5,124,564 and 3,543,347 shares at September 30, 2023 and December 31, 2022,</w:t>
            </w:r>
          </w:p>
        </w:tc>
        <w:tc>
          <w:tcPr>
            <w:tcW w:w="140" w:type="dxa"/>
            <w:vAlign w:val="bottom"/>
            <w:shd w:val="clear" w:color="auto" w:fill="CCECFF"/>
          </w:tcPr>
          <w:p>
            <w:pPr>
              <w:spacing w:after="0"/>
              <w:rPr>
                <w:sz w:val="18"/>
                <w:szCs w:val="18"/>
                <w:color w:val="auto"/>
              </w:rPr>
            </w:pPr>
          </w:p>
        </w:tc>
        <w:tc>
          <w:tcPr>
            <w:tcW w:w="2020" w:type="dxa"/>
            <w:vAlign w:val="bottom"/>
            <w:gridSpan w:val="2"/>
            <w:vMerge w:val="restart"/>
            <w:shd w:val="clear" w:color="auto" w:fill="CCECFF"/>
          </w:tcPr>
          <w:p>
            <w:pPr>
              <w:jc w:val="right"/>
              <w:ind w:right="340"/>
              <w:spacing w:after="0"/>
              <w:rPr>
                <w:sz w:val="20"/>
                <w:szCs w:val="20"/>
                <w:color w:val="auto"/>
              </w:rPr>
            </w:pPr>
            <w:r>
              <w:rPr>
                <w:rFonts w:ascii="Arial" w:cs="Arial" w:eastAsia="Arial" w:hAnsi="Arial"/>
                <w:sz w:val="16"/>
                <w:szCs w:val="16"/>
                <w:color w:val="auto"/>
              </w:rPr>
              <w:t>(5 )</w:t>
            </w:r>
          </w:p>
        </w:tc>
        <w:tc>
          <w:tcPr>
            <w:tcW w:w="160" w:type="dxa"/>
            <w:vAlign w:val="bottom"/>
            <w:shd w:val="clear" w:color="auto" w:fill="CCECFF"/>
          </w:tcPr>
          <w:p>
            <w:pPr>
              <w:spacing w:after="0"/>
              <w:rPr>
                <w:sz w:val="18"/>
                <w:szCs w:val="18"/>
                <w:color w:val="auto"/>
              </w:rPr>
            </w:pPr>
          </w:p>
        </w:tc>
        <w:tc>
          <w:tcPr>
            <w:tcW w:w="168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09"/>
        </w:trPr>
        <w:tc>
          <w:tcPr>
            <w:tcW w:w="7240" w:type="dxa"/>
            <w:vAlign w:val="bottom"/>
            <w:shd w:val="clear" w:color="auto" w:fill="CCECFF"/>
          </w:tcPr>
          <w:p>
            <w:pPr>
              <w:ind w:left="200"/>
              <w:spacing w:after="0"/>
              <w:rPr>
                <w:sz w:val="20"/>
                <w:szCs w:val="20"/>
                <w:color w:val="auto"/>
              </w:rPr>
            </w:pPr>
            <w:r>
              <w:rPr>
                <w:rFonts w:ascii="Arial" w:cs="Arial" w:eastAsia="Arial" w:hAnsi="Arial"/>
                <w:sz w:val="16"/>
                <w:szCs w:val="16"/>
                <w:color w:val="auto"/>
              </w:rPr>
              <w:t>respectively</w:t>
            </w:r>
          </w:p>
        </w:tc>
        <w:tc>
          <w:tcPr>
            <w:tcW w:w="140" w:type="dxa"/>
            <w:vAlign w:val="bottom"/>
            <w:shd w:val="clear" w:color="auto" w:fill="CCECFF"/>
          </w:tcPr>
          <w:p>
            <w:pPr>
              <w:spacing w:after="0"/>
              <w:rPr>
                <w:sz w:val="18"/>
                <w:szCs w:val="18"/>
                <w:color w:val="auto"/>
              </w:rPr>
            </w:pPr>
          </w:p>
        </w:tc>
        <w:tc>
          <w:tcPr>
            <w:tcW w:w="2020" w:type="dxa"/>
            <w:vAlign w:val="bottom"/>
            <w:gridSpan w:val="2"/>
            <w:vMerge w:val="continue"/>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80" w:type="dxa"/>
            <w:vAlign w:val="bottom"/>
            <w:gridSpan w:val="2"/>
            <w:vMerge w:val="continue"/>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tcBorders>
              <w:top w:val="single" w:sz="8" w:color="CCECFF"/>
            </w:tcBorders>
          </w:tcPr>
          <w:p>
            <w:pPr>
              <w:ind w:left="3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342,687</w:t>
            </w:r>
          </w:p>
        </w:tc>
        <w:tc>
          <w:tcPr>
            <w:tcW w:w="420" w:type="dxa"/>
            <w:vAlign w:val="bottom"/>
            <w:tcBorders>
              <w:top w:val="single" w:sz="8" w:color="CCEC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342,892</w:t>
            </w:r>
          </w:p>
        </w:tc>
        <w:tc>
          <w:tcPr>
            <w:tcW w:w="100" w:type="dxa"/>
            <w:vAlign w:val="bottom"/>
            <w:tcBorders>
              <w:top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2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416,490</w:t>
            </w:r>
          </w:p>
        </w:tc>
        <w:tc>
          <w:tcPr>
            <w:tcW w:w="420" w:type="dxa"/>
            <w:vAlign w:val="bottom"/>
            <w:tcBorders>
              <w:bottom w:val="single" w:sz="8" w:color="CCECFF"/>
            </w:tcBorders>
            <w:shd w:val="clear" w:color="auto" w:fill="CCECFF"/>
          </w:tcPr>
          <w:p>
            <w:pPr>
              <w:spacing w:after="0"/>
              <w:rPr>
                <w:sz w:val="23"/>
                <w:szCs w:val="23"/>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418,463</w:t>
            </w:r>
          </w:p>
        </w:tc>
        <w:tc>
          <w:tcPr>
            <w:tcW w:w="100" w:type="dxa"/>
            <w:vAlign w:val="bottom"/>
            <w:tcBorders>
              <w:bottom w:val="single" w:sz="8" w:color="CCECFF"/>
            </w:tcBorders>
            <w:shd w:val="clear" w:color="auto" w:fill="CCEC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-4105275</wp:posOffset>
            </wp:positionV>
            <wp:extent cx="685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-4105275</wp:posOffset>
            </wp:positionV>
            <wp:extent cx="6858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-2022475</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-333375</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14319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31925" cy="1714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 bitcoin mining</w:t>
      </w:r>
    </w:p>
    <w:p>
      <w:pPr>
        <w:spacing w:after="0" w:line="46" w:lineRule="exact"/>
        <w:rPr>
          <w:sz w:val="20"/>
          <w:szCs w:val="20"/>
          <w:color w:val="auto"/>
        </w:rPr>
      </w:pPr>
    </w:p>
    <w:p>
      <w:pPr>
        <w:ind w:left="240" w:right="180" w:hanging="179"/>
        <w:spacing w:after="0" w:line="299" w:lineRule="auto"/>
        <w:rPr>
          <w:sz w:val="20"/>
          <w:szCs w:val="20"/>
          <w:color w:val="auto"/>
        </w:rPr>
      </w:pPr>
      <w:r>
        <w:rPr>
          <w:rFonts w:ascii="Arial" w:cs="Arial" w:eastAsia="Arial" w:hAnsi="Arial"/>
          <w:sz w:val="16"/>
          <w:szCs w:val="16"/>
          <w:color w:val="auto"/>
        </w:rPr>
        <w:t>Costs and operating expenses (income) Cost of revenue</w:t>
      </w:r>
    </w:p>
    <w:p>
      <w:pPr>
        <w:spacing w:after="0" w:line="1" w:lineRule="exact"/>
        <w:rPr>
          <w:sz w:val="20"/>
          <w:szCs w:val="20"/>
          <w:color w:val="auto"/>
        </w:rPr>
      </w:pPr>
    </w:p>
    <w:p>
      <w:pPr>
        <w:ind w:left="240" w:right="780"/>
        <w:spacing w:after="0" w:line="342" w:lineRule="auto"/>
        <w:rPr>
          <w:sz w:val="20"/>
          <w:szCs w:val="20"/>
          <w:color w:val="auto"/>
        </w:rPr>
      </w:pPr>
      <w:r>
        <w:rPr>
          <w:rFonts w:ascii="Arial" w:cs="Arial" w:eastAsia="Arial" w:hAnsi="Arial"/>
          <w:sz w:val="14"/>
          <w:szCs w:val="14"/>
          <w:color w:val="auto"/>
        </w:rPr>
        <w:t>General and administrative Depreciation</w:t>
      </w:r>
    </w:p>
    <w:p>
      <w:pPr>
        <w:ind w:left="240"/>
        <w:spacing w:after="0" w:line="299" w:lineRule="auto"/>
        <w:rPr>
          <w:sz w:val="20"/>
          <w:szCs w:val="20"/>
          <w:color w:val="auto"/>
        </w:rPr>
      </w:pPr>
      <w:r>
        <w:rPr>
          <w:rFonts w:ascii="Arial" w:cs="Arial" w:eastAsia="Arial" w:hAnsi="Arial"/>
          <w:sz w:val="16"/>
          <w:szCs w:val="16"/>
          <w:color w:val="auto"/>
        </w:rPr>
        <w:t>Change in fair value of derivative asset Power sales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Equity in losses of equity investees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Realized gain on sale of bitcoin</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Impairment of bitcoin</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292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2920"/>
        <w:spacing w:after="0"/>
        <w:rPr>
          <w:sz w:val="20"/>
          <w:szCs w:val="20"/>
          <w:color w:val="auto"/>
        </w:rPr>
      </w:pPr>
      <w:r>
        <w:rPr>
          <w:rFonts w:ascii="Arial" w:cs="Arial" w:eastAsia="Arial" w:hAnsi="Arial"/>
          <w:sz w:val="18"/>
          <w:szCs w:val="18"/>
          <w:color w:val="auto"/>
        </w:rPr>
        <w:t>(in thousands, except for share and per share amounts)</w:t>
      </w:r>
    </w:p>
    <w:p>
      <w:pPr>
        <w:spacing w:after="0" w:line="9" w:lineRule="exact"/>
        <w:rPr>
          <w:sz w:val="20"/>
          <w:szCs w:val="20"/>
          <w:color w:val="auto"/>
        </w:rPr>
      </w:pPr>
    </w:p>
    <w:p>
      <w:pPr>
        <w:jc w:val="center"/>
        <w:ind w:right="2920"/>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tbl>
      <w:tblPr>
        <w:tblLayout w:type="fixed"/>
        <w:tblInd w:w="1800" w:type="dxa"/>
        <w:tblCellMar>
          <w:top w:w="0" w:type="dxa"/>
          <w:left w:w="0" w:type="dxa"/>
          <w:bottom w:w="0" w:type="dxa"/>
          <w:right w:w="0" w:type="dxa"/>
        </w:tblCellMar>
      </w:tblPr>
      <w:tr>
        <w:trPr>
          <w:trHeight w:val="223"/>
        </w:trPr>
        <w:tc>
          <w:tcPr>
            <w:tcW w:w="180" w:type="dxa"/>
            <w:vAlign w:val="bottom"/>
          </w:tcPr>
          <w:p>
            <w:pPr>
              <w:spacing w:after="0"/>
              <w:rPr>
                <w:sz w:val="19"/>
                <w:szCs w:val="19"/>
                <w:color w:val="auto"/>
              </w:rPr>
            </w:pPr>
          </w:p>
        </w:tc>
        <w:tc>
          <w:tcPr>
            <w:tcW w:w="326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w w:val="94"/>
              </w:rPr>
              <w:t>Three Months Ended September 30,</w:t>
            </w:r>
          </w:p>
        </w:tc>
        <w:tc>
          <w:tcPr>
            <w:tcW w:w="180" w:type="dxa"/>
            <w:vAlign w:val="bottom"/>
          </w:tcPr>
          <w:p>
            <w:pPr>
              <w:spacing w:after="0"/>
              <w:rPr>
                <w:sz w:val="19"/>
                <w:szCs w:val="19"/>
                <w:color w:val="auto"/>
              </w:rPr>
            </w:pPr>
          </w:p>
        </w:tc>
        <w:tc>
          <w:tcPr>
            <w:tcW w:w="284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30,304</w:t>
            </w:r>
          </w:p>
        </w:tc>
        <w:tc>
          <w:tcPr>
            <w:tcW w:w="4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83,423</w:t>
            </w:r>
          </w:p>
        </w:tc>
        <w:tc>
          <w:tcPr>
            <w:tcW w:w="3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r>
      <w:tr>
        <w:trPr>
          <w:trHeight w:val="440"/>
        </w:trPr>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13,008</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37,017</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r>
      <w:tr>
        <w:trPr>
          <w:trHeight w:val="229"/>
        </w:trPr>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23,898</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17,755</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62,653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51,849</w:t>
            </w:r>
          </w:p>
        </w:tc>
        <w:tc>
          <w:tcPr>
            <w:tcW w:w="60" w:type="dxa"/>
            <w:vAlign w:val="bottom"/>
          </w:tcPr>
          <w:p>
            <w:pPr>
              <w:spacing w:after="0"/>
              <w:rPr>
                <w:sz w:val="19"/>
                <w:szCs w:val="19"/>
                <w:color w:val="auto"/>
              </w:rPr>
            </w:pPr>
          </w:p>
        </w:tc>
      </w:tr>
      <w:tr>
        <w:trPr>
          <w:trHeight w:val="230"/>
        </w:trPr>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16,217</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42,284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(4,744 )</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(85,658 )</w:t>
            </w:r>
          </w:p>
        </w:tc>
        <w:tc>
          <w:tcPr>
            <w:tcW w:w="18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(13,294 )</w:t>
            </w: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(85,658 )</w:t>
            </w:r>
          </w:p>
        </w:tc>
      </w:tr>
      <w:tr>
        <w:trPr>
          <w:trHeight w:val="230"/>
        </w:trPr>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(2,720 )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(8,469 )</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1,998</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8,345</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4,179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20,577</w:t>
            </w:r>
          </w:p>
        </w:tc>
        <w:tc>
          <w:tcPr>
            <w:tcW w:w="60" w:type="dxa"/>
            <w:vAlign w:val="bottom"/>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(2,505 )</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(6 )</w:t>
            </w:r>
          </w:p>
        </w:tc>
        <w:tc>
          <w:tcPr>
            <w:tcW w:w="18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(10,711 )</w:t>
            </w: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30"/>
        </w:trPr>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3,443</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8,076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859</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-1452880</wp:posOffset>
            </wp:positionV>
            <wp:extent cx="713232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-861695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-570230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-278765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80" w:space="160"/>
            <w:col w:w="8300"/>
          </w:cols>
          <w:pgMar w:left="320" w:top="337" w:right="339" w:bottom="1440" w:gutter="0" w:footer="0" w:header="0"/>
        </w:sectPr>
      </w:pPr>
    </w:p>
    <w:tbl>
      <w:tblPr>
        <w:tblLayout w:type="fixed"/>
        <w:tblInd w:w="0" w:type="dxa"/>
        <w:tblCellMar>
          <w:top w:w="0" w:type="dxa"/>
          <w:left w:w="0" w:type="dxa"/>
          <w:bottom w:w="0" w:type="dxa"/>
          <w:right w:w="0" w:type="dxa"/>
        </w:tblCellMar>
      </w:tblPr>
      <w:tr>
        <w:trPr>
          <w:trHeight w:val="228"/>
        </w:trPr>
        <w:tc>
          <w:tcPr>
            <w:tcW w:w="4740" w:type="dxa"/>
            <w:vAlign w:val="bottom"/>
            <w:shd w:val="clear" w:color="auto" w:fill="CCECFF"/>
          </w:tcPr>
          <w:p>
            <w:pPr>
              <w:ind w:left="240"/>
              <w:spacing w:after="0"/>
              <w:rPr>
                <w:sz w:val="20"/>
                <w:szCs w:val="20"/>
                <w:color w:val="auto"/>
              </w:rPr>
            </w:pPr>
            <w:r>
              <w:rPr>
                <w:rFonts w:ascii="Arial" w:cs="Arial" w:eastAsia="Arial" w:hAnsi="Arial"/>
                <w:sz w:val="16"/>
                <w:szCs w:val="16"/>
                <w:color w:val="auto"/>
              </w:rPr>
              <w:t>Other gains</w:t>
            </w:r>
          </w:p>
        </w:tc>
        <w:tc>
          <w:tcPr>
            <w:tcW w:w="280" w:type="dxa"/>
            <w:vAlign w:val="bottom"/>
            <w:shd w:val="clear" w:color="auto" w:fill="CCECFF"/>
          </w:tcPr>
          <w:p>
            <w:pPr>
              <w:spacing w:after="0"/>
              <w:rPr>
                <w:sz w:val="19"/>
                <w:szCs w:val="19"/>
                <w:color w:val="auto"/>
              </w:rPr>
            </w:pPr>
          </w:p>
        </w:tc>
        <w:tc>
          <w:tcPr>
            <w:tcW w:w="1440" w:type="dxa"/>
            <w:vAlign w:val="bottom"/>
            <w:gridSpan w:val="2"/>
            <w:shd w:val="clear" w:color="auto" w:fill="CCECFF"/>
          </w:tcPr>
          <w:p>
            <w:pPr>
              <w:jc w:val="right"/>
              <w:ind w:right="340"/>
              <w:spacing w:after="0"/>
              <w:rPr>
                <w:sz w:val="20"/>
                <w:szCs w:val="20"/>
                <w:color w:val="auto"/>
              </w:rPr>
            </w:pPr>
            <w:r>
              <w:rPr>
                <w:rFonts w:ascii="Arial" w:cs="Arial" w:eastAsia="Arial" w:hAnsi="Arial"/>
                <w:sz w:val="16"/>
                <w:szCs w:val="16"/>
                <w:color w:val="auto"/>
              </w:rPr>
              <w:t>(95 )</w:t>
            </w:r>
          </w:p>
        </w:tc>
        <w:tc>
          <w:tcPr>
            <w:tcW w:w="30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(2,355 )</w:t>
            </w: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CFF"/>
          </w:tcPr>
          <w:p>
            <w:pPr>
              <w:spacing w:after="0"/>
              <w:rPr>
                <w:sz w:val="19"/>
                <w:szCs w:val="19"/>
                <w:color w:val="auto"/>
              </w:rPr>
            </w:pPr>
          </w:p>
        </w:tc>
      </w:tr>
      <w:tr>
        <w:trPr>
          <w:trHeight w:val="20"/>
        </w:trPr>
        <w:tc>
          <w:tcPr>
            <w:tcW w:w="474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1"/>
        </w:trPr>
        <w:tc>
          <w:tcPr>
            <w:tcW w:w="4740" w:type="dxa"/>
            <w:vAlign w:val="bottom"/>
          </w:tcPr>
          <w:p>
            <w:pPr>
              <w:ind w:left="420"/>
              <w:spacing w:after="0"/>
              <w:rPr>
                <w:sz w:val="20"/>
                <w:szCs w:val="20"/>
                <w:color w:val="auto"/>
              </w:rPr>
            </w:pPr>
            <w:r>
              <w:rPr>
                <w:rFonts w:ascii="Arial" w:cs="Arial" w:eastAsia="Arial" w:hAnsi="Arial"/>
                <w:sz w:val="16"/>
                <w:szCs w:val="16"/>
                <w:color w:val="auto"/>
              </w:rPr>
              <w:t>Total costs and operating expenses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48,500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(59,233 )</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119,380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(12,353 )</w:t>
            </w:r>
          </w:p>
        </w:tc>
      </w:tr>
      <w:tr>
        <w:trPr>
          <w:trHeight w:val="20"/>
        </w:trPr>
        <w:tc>
          <w:tcPr>
            <w:tcW w:w="4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740" w:type="dxa"/>
            <w:vAlign w:val="bottom"/>
            <w:shd w:val="clear" w:color="auto" w:fill="CCECFF"/>
          </w:tcPr>
          <w:p>
            <w:pPr>
              <w:ind w:left="60"/>
              <w:spacing w:after="0"/>
              <w:rPr>
                <w:sz w:val="20"/>
                <w:szCs w:val="20"/>
                <w:color w:val="auto"/>
              </w:rPr>
            </w:pPr>
            <w:r>
              <w:rPr>
                <w:rFonts w:ascii="Arial" w:cs="Arial" w:eastAsia="Arial" w:hAnsi="Arial"/>
                <w:sz w:val="16"/>
                <w:szCs w:val="16"/>
                <w:color w:val="auto"/>
              </w:rPr>
              <w:t>Operating (loss) income</w:t>
            </w:r>
          </w:p>
        </w:tc>
        <w:tc>
          <w:tcPr>
            <w:tcW w:w="280" w:type="dxa"/>
            <w:vAlign w:val="bottom"/>
            <w:shd w:val="clear" w:color="auto" w:fill="CCECFF"/>
          </w:tcPr>
          <w:p>
            <w:pPr>
              <w:spacing w:after="0"/>
              <w:rPr>
                <w:sz w:val="19"/>
                <w:szCs w:val="19"/>
                <w:color w:val="auto"/>
              </w:rPr>
            </w:pPr>
          </w:p>
        </w:tc>
        <w:tc>
          <w:tcPr>
            <w:tcW w:w="1440" w:type="dxa"/>
            <w:vAlign w:val="bottom"/>
            <w:gridSpan w:val="2"/>
            <w:shd w:val="clear" w:color="auto" w:fill="CCECFF"/>
          </w:tcPr>
          <w:p>
            <w:pPr>
              <w:jc w:val="right"/>
              <w:ind w:right="340"/>
              <w:spacing w:after="0"/>
              <w:rPr>
                <w:sz w:val="20"/>
                <w:szCs w:val="20"/>
                <w:color w:val="auto"/>
              </w:rPr>
            </w:pPr>
            <w:r>
              <w:rPr>
                <w:rFonts w:ascii="Arial" w:cs="Arial" w:eastAsia="Arial" w:hAnsi="Arial"/>
                <w:sz w:val="16"/>
                <w:szCs w:val="16"/>
                <w:color w:val="auto"/>
              </w:rPr>
              <w:t>(18,196 )</w:t>
            </w:r>
          </w:p>
        </w:tc>
        <w:tc>
          <w:tcPr>
            <w:tcW w:w="30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59,233</w:t>
            </w:r>
          </w:p>
        </w:tc>
        <w:tc>
          <w:tcPr>
            <w:tcW w:w="4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(35,957 )</w:t>
            </w: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12,353</w:t>
            </w:r>
          </w:p>
        </w:tc>
        <w:tc>
          <w:tcPr>
            <w:tcW w:w="100" w:type="dxa"/>
            <w:vAlign w:val="bottom"/>
            <w:shd w:val="clear" w:color="auto" w:fill="CCECFF"/>
          </w:tcPr>
          <w:p>
            <w:pPr>
              <w:spacing w:after="0"/>
              <w:rPr>
                <w:sz w:val="19"/>
                <w:szCs w:val="19"/>
                <w:color w:val="auto"/>
              </w:rPr>
            </w:pPr>
          </w:p>
        </w:tc>
      </w:tr>
      <w:tr>
        <w:trPr>
          <w:trHeight w:val="216"/>
        </w:trPr>
        <w:tc>
          <w:tcPr>
            <w:tcW w:w="4740" w:type="dxa"/>
            <w:vAlign w:val="bottom"/>
            <w:tcBorders>
              <w:top w:val="single" w:sz="8" w:color="CCECFF"/>
            </w:tcBorders>
          </w:tcPr>
          <w:p>
            <w:pPr>
              <w:ind w:left="60"/>
              <w:spacing w:after="0"/>
              <w:rPr>
                <w:sz w:val="20"/>
                <w:szCs w:val="20"/>
                <w:color w:val="auto"/>
              </w:rPr>
            </w:pPr>
            <w:r>
              <w:rPr>
                <w:rFonts w:ascii="Arial" w:cs="Arial" w:eastAsia="Arial" w:hAnsi="Arial"/>
                <w:sz w:val="16"/>
                <w:szCs w:val="16"/>
                <w:color w:val="auto"/>
              </w:rPr>
              <w:t>Other income (expense)</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 w:type="dxa"/>
            <w:vAlign w:val="bottom"/>
            <w:tcBorders>
              <w:top w:val="single" w:sz="8" w:color="CCEC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CCEC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CCEC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r>
        <w:trPr>
          <w:trHeight w:val="239"/>
        </w:trPr>
        <w:tc>
          <w:tcPr>
            <w:tcW w:w="4740" w:type="dxa"/>
            <w:vAlign w:val="bottom"/>
            <w:shd w:val="clear" w:color="auto" w:fill="CCECFF"/>
          </w:tcPr>
          <w:p>
            <w:pPr>
              <w:ind w:left="24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w:t>
            </w:r>
          </w:p>
        </w:tc>
        <w:tc>
          <w:tcPr>
            <w:tcW w:w="42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55</w:t>
            </w:r>
          </w:p>
        </w:tc>
        <w:tc>
          <w:tcPr>
            <w:tcW w:w="40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112</w:t>
            </w:r>
          </w:p>
        </w:tc>
        <w:tc>
          <w:tcPr>
            <w:tcW w:w="38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CFF"/>
          </w:tcPr>
          <w:p>
            <w:pPr>
              <w:spacing w:after="0"/>
              <w:rPr>
                <w:sz w:val="20"/>
                <w:szCs w:val="20"/>
                <w:color w:val="auto"/>
              </w:rPr>
            </w:pPr>
          </w:p>
        </w:tc>
      </w:tr>
      <w:tr>
        <w:trPr>
          <w:trHeight w:val="220"/>
        </w:trPr>
        <w:tc>
          <w:tcPr>
            <w:tcW w:w="474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(627 )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(1,513 )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4740" w:type="dxa"/>
            <w:vAlign w:val="bottom"/>
            <w:shd w:val="clear" w:color="auto" w:fill="CCECFF"/>
          </w:tcPr>
          <w:p>
            <w:pPr>
              <w:ind w:left="240"/>
              <w:spacing w:after="0"/>
              <w:rPr>
                <w:sz w:val="20"/>
                <w:szCs w:val="20"/>
                <w:color w:val="auto"/>
              </w:rPr>
            </w:pPr>
            <w:r>
              <w:rPr>
                <w:rFonts w:ascii="Arial" w:cs="Arial" w:eastAsia="Arial" w:hAnsi="Arial"/>
                <w:sz w:val="16"/>
                <w:szCs w:val="16"/>
                <w:color w:val="auto"/>
              </w:rPr>
              <w:t>Change in fair value of warrant liability</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w:t>
            </w:r>
          </w:p>
        </w:tc>
        <w:tc>
          <w:tcPr>
            <w:tcW w:w="42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w:t>
            </w:r>
          </w:p>
        </w:tc>
        <w:tc>
          <w:tcPr>
            <w:tcW w:w="40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(49 )</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CFF"/>
          </w:tcPr>
          <w:p>
            <w:pPr>
              <w:spacing w:after="0"/>
              <w:rPr>
                <w:sz w:val="20"/>
                <w:szCs w:val="20"/>
                <w:color w:val="auto"/>
              </w:rPr>
            </w:pPr>
          </w:p>
        </w:tc>
      </w:tr>
      <w:tr>
        <w:trPr>
          <w:trHeight w:val="227"/>
        </w:trPr>
        <w:tc>
          <w:tcPr>
            <w:tcW w:w="4740" w:type="dxa"/>
            <w:vAlign w:val="bottom"/>
          </w:tcPr>
          <w:p>
            <w:pPr>
              <w:ind w:left="240"/>
              <w:spacing w:after="0"/>
              <w:rPr>
                <w:sz w:val="20"/>
                <w:szCs w:val="20"/>
                <w:color w:val="auto"/>
              </w:rPr>
            </w:pPr>
            <w:r>
              <w:rPr>
                <w:rFonts w:ascii="Arial" w:cs="Arial" w:eastAsia="Arial" w:hAnsi="Arial"/>
                <w:sz w:val="16"/>
                <w:szCs w:val="16"/>
                <w:color w:val="auto"/>
              </w:rPr>
              <w:t>Other expense</w:t>
            </w:r>
          </w:p>
        </w:tc>
        <w:tc>
          <w:tcPr>
            <w:tcW w:w="28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(6 )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(18 )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740" w:type="dxa"/>
            <w:vAlign w:val="bottom"/>
            <w:shd w:val="clear" w:color="auto" w:fill="CCECFF"/>
          </w:tcPr>
          <w:p>
            <w:pPr>
              <w:ind w:left="420"/>
              <w:spacing w:after="0"/>
              <w:rPr>
                <w:sz w:val="20"/>
                <w:szCs w:val="20"/>
                <w:color w:val="auto"/>
              </w:rPr>
            </w:pPr>
            <w:r>
              <w:rPr>
                <w:rFonts w:ascii="Arial" w:cs="Arial" w:eastAsia="Arial" w:hAnsi="Arial"/>
                <w:sz w:val="16"/>
                <w:szCs w:val="16"/>
                <w:color w:val="auto"/>
              </w:rPr>
              <w:t>Total other (expense) income</w:t>
            </w:r>
          </w:p>
        </w:tc>
        <w:tc>
          <w:tcPr>
            <w:tcW w:w="280" w:type="dxa"/>
            <w:vAlign w:val="bottom"/>
            <w:shd w:val="clear" w:color="auto" w:fill="CCECFF"/>
          </w:tcPr>
          <w:p>
            <w:pPr>
              <w:spacing w:after="0"/>
              <w:rPr>
                <w:sz w:val="19"/>
                <w:szCs w:val="19"/>
                <w:color w:val="auto"/>
              </w:rPr>
            </w:pPr>
          </w:p>
        </w:tc>
        <w:tc>
          <w:tcPr>
            <w:tcW w:w="1440" w:type="dxa"/>
            <w:vAlign w:val="bottom"/>
            <w:gridSpan w:val="2"/>
            <w:shd w:val="clear" w:color="auto" w:fill="CCECFF"/>
          </w:tcPr>
          <w:p>
            <w:pPr>
              <w:jc w:val="right"/>
              <w:ind w:right="340"/>
              <w:spacing w:after="0"/>
              <w:rPr>
                <w:sz w:val="20"/>
                <w:szCs w:val="20"/>
                <w:color w:val="auto"/>
              </w:rPr>
            </w:pPr>
            <w:r>
              <w:rPr>
                <w:rFonts w:ascii="Arial" w:cs="Arial" w:eastAsia="Arial" w:hAnsi="Arial"/>
                <w:sz w:val="16"/>
                <w:szCs w:val="16"/>
                <w:color w:val="auto"/>
              </w:rPr>
              <w:t>(612 )</w:t>
            </w:r>
          </w:p>
        </w:tc>
        <w:tc>
          <w:tcPr>
            <w:tcW w:w="30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59</w:t>
            </w:r>
          </w:p>
        </w:tc>
        <w:tc>
          <w:tcPr>
            <w:tcW w:w="4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(1,468 )</w:t>
            </w: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CFF"/>
          </w:tcPr>
          <w:p>
            <w:pPr>
              <w:spacing w:after="0"/>
              <w:rPr>
                <w:sz w:val="19"/>
                <w:szCs w:val="19"/>
                <w:color w:val="auto"/>
              </w:rPr>
            </w:pPr>
          </w:p>
        </w:tc>
      </w:tr>
      <w:tr>
        <w:trPr>
          <w:trHeight w:val="20"/>
        </w:trPr>
        <w:tc>
          <w:tcPr>
            <w:tcW w:w="474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16"/>
        </w:trPr>
        <w:tc>
          <w:tcPr>
            <w:tcW w:w="4740" w:type="dxa"/>
            <w:vAlign w:val="bottom"/>
          </w:tcPr>
          <w:p>
            <w:pPr>
              <w:ind w:left="60"/>
              <w:spacing w:after="0"/>
              <w:rPr>
                <w:sz w:val="20"/>
                <w:szCs w:val="20"/>
                <w:color w:val="auto"/>
              </w:rPr>
            </w:pPr>
            <w:r>
              <w:rPr>
                <w:rFonts w:ascii="Arial" w:cs="Arial" w:eastAsia="Arial" w:hAnsi="Arial"/>
                <w:sz w:val="16"/>
                <w:szCs w:val="16"/>
                <w:color w:val="auto"/>
              </w:rPr>
              <w:t>(Loss) income before taxes</w:t>
            </w:r>
          </w:p>
        </w:tc>
        <w:tc>
          <w:tcPr>
            <w:tcW w:w="2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(18,808 )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59,292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(37,425 )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12,574</w:t>
            </w:r>
          </w:p>
        </w:tc>
        <w:tc>
          <w:tcPr>
            <w:tcW w:w="100" w:type="dxa"/>
            <w:vAlign w:val="bottom"/>
          </w:tcPr>
          <w:p>
            <w:pPr>
              <w:spacing w:after="0"/>
              <w:rPr>
                <w:sz w:val="18"/>
                <w:szCs w:val="18"/>
                <w:color w:val="auto"/>
              </w:rPr>
            </w:pPr>
          </w:p>
        </w:tc>
      </w:tr>
      <w:tr>
        <w:trPr>
          <w:trHeight w:val="239"/>
        </w:trPr>
        <w:tc>
          <w:tcPr>
            <w:tcW w:w="4740" w:type="dxa"/>
            <w:vAlign w:val="bottom"/>
            <w:shd w:val="clear" w:color="auto" w:fill="CCECFF"/>
          </w:tcPr>
          <w:p>
            <w:pPr>
              <w:ind w:left="60"/>
              <w:spacing w:after="0"/>
              <w:rPr>
                <w:sz w:val="20"/>
                <w:szCs w:val="20"/>
                <w:color w:val="auto"/>
              </w:rPr>
            </w:pPr>
            <w:r>
              <w:rPr>
                <w:rFonts w:ascii="Arial" w:cs="Arial" w:eastAsia="Arial" w:hAnsi="Arial"/>
                <w:sz w:val="16"/>
                <w:szCs w:val="16"/>
                <w:color w:val="auto"/>
              </w:rPr>
              <w:t>Current income tax expense</w:t>
            </w:r>
          </w:p>
        </w:tc>
        <w:tc>
          <w:tcPr>
            <w:tcW w:w="280" w:type="dxa"/>
            <w:vAlign w:val="bottom"/>
            <w:shd w:val="clear" w:color="auto" w:fill="CCECFF"/>
          </w:tcPr>
          <w:p>
            <w:pPr>
              <w:spacing w:after="0"/>
              <w:rPr>
                <w:sz w:val="20"/>
                <w:szCs w:val="20"/>
                <w:color w:val="auto"/>
              </w:rPr>
            </w:pPr>
          </w:p>
        </w:tc>
        <w:tc>
          <w:tcPr>
            <w:tcW w:w="1440" w:type="dxa"/>
            <w:vAlign w:val="bottom"/>
            <w:gridSpan w:val="2"/>
            <w:shd w:val="clear" w:color="auto" w:fill="CCECFF"/>
          </w:tcPr>
          <w:p>
            <w:pPr>
              <w:jc w:val="right"/>
              <w:ind w:right="340"/>
              <w:spacing w:after="0"/>
              <w:rPr>
                <w:sz w:val="20"/>
                <w:szCs w:val="20"/>
                <w:color w:val="auto"/>
              </w:rPr>
            </w:pPr>
            <w:r>
              <w:rPr>
                <w:rFonts w:ascii="Arial" w:cs="Arial" w:eastAsia="Arial" w:hAnsi="Arial"/>
                <w:sz w:val="16"/>
                <w:szCs w:val="16"/>
                <w:color w:val="auto"/>
              </w:rPr>
              <w:t>(95 )</w:t>
            </w: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(143 )</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CFF"/>
          </w:tcPr>
          <w:p>
            <w:pPr>
              <w:spacing w:after="0"/>
              <w:rPr>
                <w:sz w:val="20"/>
                <w:szCs w:val="20"/>
                <w:color w:val="auto"/>
              </w:rPr>
            </w:pPr>
          </w:p>
        </w:tc>
      </w:tr>
      <w:tr>
        <w:trPr>
          <w:trHeight w:val="227"/>
        </w:trPr>
        <w:tc>
          <w:tcPr>
            <w:tcW w:w="4740" w:type="dxa"/>
            <w:vAlign w:val="bottom"/>
          </w:tcPr>
          <w:p>
            <w:pPr>
              <w:ind w:left="60"/>
              <w:spacing w:after="0"/>
              <w:rPr>
                <w:sz w:val="20"/>
                <w:szCs w:val="20"/>
                <w:color w:val="auto"/>
              </w:rPr>
            </w:pPr>
            <w:r>
              <w:rPr>
                <w:rFonts w:ascii="Arial" w:cs="Arial" w:eastAsia="Arial" w:hAnsi="Arial"/>
                <w:sz w:val="16"/>
                <w:szCs w:val="16"/>
                <w:color w:val="auto"/>
              </w:rPr>
              <w:t>Deferred income tax benefit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3"/>
        </w:trPr>
        <w:tc>
          <w:tcPr>
            <w:tcW w:w="4740" w:type="dxa"/>
            <w:vAlign w:val="bottom"/>
            <w:tcBorders>
              <w:bottom w:val="single" w:sz="8" w:color="CCECFF"/>
            </w:tcBorders>
            <w:shd w:val="clear" w:color="auto" w:fill="CCECFF"/>
          </w:tcPr>
          <w:p>
            <w:pPr>
              <w:ind w:left="160"/>
              <w:spacing w:after="0"/>
              <w:rPr>
                <w:sz w:val="20"/>
                <w:szCs w:val="20"/>
                <w:color w:val="auto"/>
              </w:rPr>
            </w:pPr>
            <w:r>
              <w:rPr>
                <w:rFonts w:ascii="Arial" w:cs="Arial" w:eastAsia="Arial" w:hAnsi="Arial"/>
                <w:sz w:val="16"/>
                <w:szCs w:val="16"/>
                <w:color w:val="auto"/>
              </w:rPr>
              <w:t>Total income tax benefit</w:t>
            </w:r>
          </w:p>
        </w:tc>
        <w:tc>
          <w:tcPr>
            <w:tcW w:w="280" w:type="dxa"/>
            <w:vAlign w:val="bottom"/>
            <w:tcBorders>
              <w:bottom w:val="single" w:sz="8" w:color="auto"/>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1,097</w:t>
            </w:r>
          </w:p>
        </w:tc>
        <w:tc>
          <w:tcPr>
            <w:tcW w:w="42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spacing w:after="0"/>
              <w:rPr>
                <w:sz w:val="19"/>
                <w:szCs w:val="19"/>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412</w:t>
            </w:r>
          </w:p>
        </w:tc>
        <w:tc>
          <w:tcPr>
            <w:tcW w:w="38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26"/>
        </w:trPr>
        <w:tc>
          <w:tcPr>
            <w:tcW w:w="4740" w:type="dxa"/>
            <w:vAlign w:val="bottom"/>
          </w:tcPr>
          <w:p>
            <w:pPr>
              <w:ind w:left="60"/>
              <w:spacing w:after="0"/>
              <w:rPr>
                <w:sz w:val="20"/>
                <w:szCs w:val="20"/>
                <w:color w:val="auto"/>
              </w:rPr>
            </w:pPr>
            <w:r>
              <w:rPr>
                <w:rFonts w:ascii="Arial" w:cs="Arial" w:eastAsia="Arial" w:hAnsi="Arial"/>
                <w:sz w:val="16"/>
                <w:szCs w:val="16"/>
                <w:color w:val="auto"/>
              </w:rPr>
              <w:t>Net (loss) income</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(17,711 )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59,292</w:t>
            </w:r>
          </w:p>
        </w:tc>
        <w:tc>
          <w:tcPr>
            <w:tcW w:w="4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(37,013 )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12,574</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40" w:type="dxa"/>
            <w:vAlign w:val="bottom"/>
            <w:shd w:val="clear" w:color="auto" w:fill="CCECFF"/>
          </w:tcPr>
          <w:p>
            <w:pPr>
              <w:ind w:left="60"/>
              <w:spacing w:after="0"/>
              <w:rPr>
                <w:sz w:val="20"/>
                <w:szCs w:val="20"/>
                <w:color w:val="auto"/>
              </w:rPr>
            </w:pPr>
            <w:r>
              <w:rPr>
                <w:rFonts w:ascii="Arial" w:cs="Arial" w:eastAsia="Arial" w:hAnsi="Arial"/>
                <w:sz w:val="16"/>
                <w:szCs w:val="16"/>
                <w:color w:val="auto"/>
              </w:rPr>
              <w:t>Net (loss) income per share - basic</w:t>
            </w:r>
          </w:p>
        </w:tc>
        <w:tc>
          <w:tcPr>
            <w:tcW w:w="280" w:type="dxa"/>
            <w:vAlign w:val="bottom"/>
            <w:shd w:val="clear" w:color="auto" w:fill="CCECFF"/>
          </w:tcPr>
          <w:p>
            <w:pPr>
              <w:jc w:val="right"/>
              <w:ind w:right="12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CFF"/>
          </w:tcPr>
          <w:p>
            <w:pPr>
              <w:jc w:val="right"/>
              <w:ind w:right="340"/>
              <w:spacing w:after="0"/>
              <w:rPr>
                <w:sz w:val="20"/>
                <w:szCs w:val="20"/>
                <w:color w:val="auto"/>
              </w:rPr>
            </w:pPr>
            <w:r>
              <w:rPr>
                <w:rFonts w:ascii="Arial" w:cs="Arial" w:eastAsia="Arial" w:hAnsi="Arial"/>
                <w:sz w:val="16"/>
                <w:szCs w:val="16"/>
                <w:color w:val="auto"/>
              </w:rPr>
              <w:t>(0.07 )</w:t>
            </w:r>
          </w:p>
        </w:tc>
        <w:tc>
          <w:tcPr>
            <w:tcW w:w="300" w:type="dxa"/>
            <w:vAlign w:val="bottom"/>
            <w:shd w:val="clear" w:color="auto" w:fill="CCEC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0.24</w:t>
            </w:r>
          </w:p>
        </w:tc>
        <w:tc>
          <w:tcPr>
            <w:tcW w:w="400" w:type="dxa"/>
            <w:vAlign w:val="bottom"/>
            <w:shd w:val="clear" w:color="auto" w:fill="CCECFF"/>
          </w:tcPr>
          <w:p>
            <w:pPr>
              <w:spacing w:after="0"/>
              <w:rPr>
                <w:sz w:val="18"/>
                <w:szCs w:val="18"/>
                <w:color w:val="auto"/>
              </w:rPr>
            </w:pPr>
          </w:p>
        </w:tc>
        <w:tc>
          <w:tcPr>
            <w:tcW w:w="280" w:type="dxa"/>
            <w:vAlign w:val="bottom"/>
            <w:shd w:val="clear" w:color="auto" w:fill="CCEC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(0.15 )</w:t>
            </w:r>
          </w:p>
        </w:tc>
        <w:tc>
          <w:tcPr>
            <w:tcW w:w="280" w:type="dxa"/>
            <w:vAlign w:val="bottom"/>
            <w:shd w:val="clear" w:color="auto" w:fill="CCEC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CFF"/>
          </w:tcPr>
          <w:p>
            <w:pPr>
              <w:spacing w:after="0"/>
              <w:rPr>
                <w:sz w:val="18"/>
                <w:szCs w:val="18"/>
                <w:color w:val="auto"/>
              </w:rPr>
            </w:pPr>
          </w:p>
        </w:tc>
      </w:tr>
      <w:tr>
        <w:trPr>
          <w:trHeight w:val="220"/>
        </w:trPr>
        <w:tc>
          <w:tcPr>
            <w:tcW w:w="4740" w:type="dxa"/>
            <w:vAlign w:val="bottom"/>
          </w:tcPr>
          <w:p>
            <w:pPr>
              <w:ind w:left="60"/>
              <w:spacing w:after="0"/>
              <w:rPr>
                <w:sz w:val="20"/>
                <w:szCs w:val="20"/>
                <w:color w:val="auto"/>
              </w:rPr>
            </w:pPr>
            <w:r>
              <w:rPr>
                <w:rFonts w:ascii="Arial" w:cs="Arial" w:eastAsia="Arial" w:hAnsi="Arial"/>
                <w:sz w:val="16"/>
                <w:szCs w:val="16"/>
                <w:color w:val="auto"/>
              </w:rPr>
              <w:t>Net (loss) income per share - diluted</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(0.07 )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0.24</w:t>
            </w:r>
          </w:p>
        </w:tc>
        <w:tc>
          <w:tcPr>
            <w:tcW w:w="4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(0.15 )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9"/>
                <w:szCs w:val="19"/>
                <w:color w:val="auto"/>
              </w:rPr>
            </w:pPr>
          </w:p>
        </w:tc>
      </w:tr>
      <w:tr>
        <w:trPr>
          <w:trHeight w:val="239"/>
        </w:trPr>
        <w:tc>
          <w:tcPr>
            <w:tcW w:w="4740" w:type="dxa"/>
            <w:vAlign w:val="bottom"/>
            <w:shd w:val="clear" w:color="auto" w:fill="CCECFF"/>
          </w:tcPr>
          <w:p>
            <w:pPr>
              <w:ind w:left="60"/>
              <w:spacing w:after="0"/>
              <w:rPr>
                <w:sz w:val="20"/>
                <w:szCs w:val="20"/>
                <w:color w:val="auto"/>
              </w:rPr>
            </w:pPr>
            <w:r>
              <w:rPr>
                <w:rFonts w:ascii="Arial" w:cs="Arial" w:eastAsia="Arial" w:hAnsi="Arial"/>
                <w:sz w:val="16"/>
                <w:szCs w:val="16"/>
                <w:color w:val="auto"/>
              </w:rPr>
              <w:t>Weighted average shares outstanding - basic</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251,789,350</w:t>
            </w:r>
          </w:p>
        </w:tc>
        <w:tc>
          <w:tcPr>
            <w:tcW w:w="42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247,508,745</w:t>
            </w:r>
          </w:p>
        </w:tc>
        <w:tc>
          <w:tcPr>
            <w:tcW w:w="40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249,858,033</w:t>
            </w:r>
          </w:p>
        </w:tc>
        <w:tc>
          <w:tcPr>
            <w:tcW w:w="38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248,461,373</w:t>
            </w:r>
          </w:p>
        </w:tc>
        <w:tc>
          <w:tcPr>
            <w:tcW w:w="100" w:type="dxa"/>
            <w:vAlign w:val="bottom"/>
            <w:shd w:val="clear" w:color="auto" w:fill="CCECFF"/>
          </w:tcPr>
          <w:p>
            <w:pPr>
              <w:spacing w:after="0"/>
              <w:rPr>
                <w:sz w:val="20"/>
                <w:szCs w:val="20"/>
                <w:color w:val="auto"/>
              </w:rPr>
            </w:pPr>
          </w:p>
        </w:tc>
      </w:tr>
      <w:tr>
        <w:trPr>
          <w:trHeight w:val="210"/>
        </w:trPr>
        <w:tc>
          <w:tcPr>
            <w:tcW w:w="4740" w:type="dxa"/>
            <w:vAlign w:val="bottom"/>
          </w:tcPr>
          <w:p>
            <w:pPr>
              <w:ind w:left="60"/>
              <w:spacing w:after="0"/>
              <w:rPr>
                <w:sz w:val="20"/>
                <w:szCs w:val="20"/>
                <w:color w:val="auto"/>
              </w:rPr>
            </w:pPr>
            <w:r>
              <w:rPr>
                <w:rFonts w:ascii="Arial" w:cs="Arial" w:eastAsia="Arial" w:hAnsi="Arial"/>
                <w:sz w:val="16"/>
                <w:szCs w:val="16"/>
                <w:color w:val="auto"/>
              </w:rPr>
              <w:t>Weighted average shares outstanding - diluted</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251,789,350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248,342,200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249,858,033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248,782,665</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-2550160</wp:posOffset>
            </wp:positionV>
            <wp:extent cx="7683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-2550160</wp:posOffset>
            </wp:positionV>
            <wp:extent cx="7683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-2550160</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-2550160</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-2241550</wp:posOffset>
            </wp:positionV>
            <wp:extent cx="7683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-2241550</wp:posOffset>
            </wp:positionV>
            <wp:extent cx="7683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-2241550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-2241550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-1350010</wp:posOffset>
            </wp:positionV>
            <wp:extent cx="7683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-1350010</wp:posOffset>
            </wp:positionV>
            <wp:extent cx="7683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-1350010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-1350010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-749935</wp:posOffset>
            </wp:positionV>
            <wp:extent cx="7683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-749935</wp:posOffset>
            </wp:positionV>
            <wp:extent cx="76835"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-749935</wp:posOffset>
            </wp:positionV>
            <wp:extent cx="6858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-749935</wp:posOffset>
            </wp:positionV>
            <wp:extent cx="6858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620" w:type="dxa"/>
            <w:vAlign w:val="bottom"/>
            <w:gridSpan w:val="3"/>
            <w:vMerge w:val="restart"/>
          </w:tcPr>
          <w:p>
            <w:pPr>
              <w:jc w:val="right"/>
              <w:ind w:right="19"/>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Accumulat</w:t>
            </w:r>
          </w:p>
        </w:tc>
        <w:tc>
          <w:tcPr>
            <w:tcW w:w="2260" w:type="dxa"/>
            <w:vAlign w:val="bottom"/>
            <w:gridSpan w:val="5"/>
            <w:vMerge w:val="restart"/>
          </w:tcPr>
          <w:p>
            <w:pPr>
              <w:jc w:val="right"/>
              <w:ind w:right="76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8"/>
                <w:szCs w:val="18"/>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5"/>
              </w:rPr>
              <w:t>ed</w:t>
            </w:r>
          </w:p>
        </w:tc>
        <w:tc>
          <w:tcPr>
            <w:tcW w:w="22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3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9"/>
                <w:szCs w:val="19"/>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Deficit</w:t>
            </w: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2820" w:type="dxa"/>
            <w:vAlign w:val="bottom"/>
            <w:shd w:val="clear" w:color="auto" w:fill="CCECFF"/>
          </w:tcPr>
          <w:p>
            <w:pPr>
              <w:spacing w:after="0"/>
              <w:rPr>
                <w:sz w:val="17"/>
                <w:szCs w:val="17"/>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254,795,62</w:t>
            </w:r>
          </w:p>
        </w:tc>
        <w:tc>
          <w:tcPr>
            <w:tcW w:w="340" w:type="dxa"/>
            <w:vAlign w:val="bottom"/>
            <w:shd w:val="clear" w:color="auto" w:fill="CCECFF"/>
          </w:tcPr>
          <w:p>
            <w:pPr>
              <w:spacing w:after="0"/>
              <w:rPr>
                <w:sz w:val="17"/>
                <w:szCs w:val="17"/>
                <w:color w:val="auto"/>
              </w:rPr>
            </w:pPr>
          </w:p>
        </w:tc>
        <w:tc>
          <w:tcPr>
            <w:tcW w:w="360" w:type="dxa"/>
            <w:vAlign w:val="bottom"/>
            <w:tcBorders>
              <w:top w:val="single" w:sz="8" w:color="auto"/>
            </w:tcBorders>
            <w:shd w:val="clear" w:color="auto" w:fill="CCECFF"/>
          </w:tcPr>
          <w:p>
            <w:pPr>
              <w:spacing w:after="0"/>
              <w:rPr>
                <w:sz w:val="17"/>
                <w:szCs w:val="17"/>
                <w:color w:val="auto"/>
              </w:rPr>
            </w:pPr>
          </w:p>
        </w:tc>
        <w:tc>
          <w:tcPr>
            <w:tcW w:w="340" w:type="dxa"/>
            <w:vAlign w:val="bottom"/>
            <w:tcBorders>
              <w:top w:val="single" w:sz="8" w:color="auto"/>
            </w:tcBorders>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860" w:type="dxa"/>
            <w:vAlign w:val="bottom"/>
            <w:tcBorders>
              <w:top w:val="single" w:sz="8" w:color="auto"/>
            </w:tcBorders>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spacing w:after="0"/>
              <w:rPr>
                <w:sz w:val="17"/>
                <w:szCs w:val="17"/>
                <w:color w:val="auto"/>
              </w:rPr>
            </w:pPr>
          </w:p>
        </w:tc>
        <w:tc>
          <w:tcPr>
            <w:tcW w:w="700" w:type="dxa"/>
            <w:vAlign w:val="bottom"/>
            <w:tcBorders>
              <w:top w:val="single" w:sz="8" w:color="auto"/>
            </w:tcBorders>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840" w:type="dxa"/>
            <w:vAlign w:val="bottom"/>
            <w:tcBorders>
              <w:top w:val="single" w:sz="8" w:color="auto"/>
            </w:tcBorders>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680" w:type="dxa"/>
            <w:vAlign w:val="bottom"/>
            <w:tcBorders>
              <w:top w:val="single" w:sz="8" w:color="auto"/>
            </w:tcBorders>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20" w:type="dxa"/>
            <w:vAlign w:val="bottom"/>
            <w:tcBorders>
              <w:top w:val="single" w:sz="8" w:color="auto"/>
            </w:tcBorders>
            <w:shd w:val="clear" w:color="auto" w:fill="CCECFF"/>
          </w:tcPr>
          <w:p>
            <w:pPr>
              <w:spacing w:after="0"/>
              <w:rPr>
                <w:sz w:val="17"/>
                <w:szCs w:val="17"/>
                <w:color w:val="auto"/>
              </w:rPr>
            </w:pPr>
          </w:p>
        </w:tc>
        <w:tc>
          <w:tcPr>
            <w:tcW w:w="118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CFF"/>
          </w:tcPr>
          <w:p>
            <w:pPr>
              <w:ind w:left="20"/>
              <w:spacing w:after="0"/>
              <w:rPr>
                <w:sz w:val="20"/>
                <w:szCs w:val="20"/>
                <w:color w:val="auto"/>
              </w:rPr>
            </w:pPr>
            <w:r>
              <w:rPr>
                <w:rFonts w:ascii="Arial" w:cs="Arial" w:eastAsia="Arial" w:hAnsi="Arial"/>
                <w:sz w:val="16"/>
                <w:szCs w:val="16"/>
                <w:b w:val="1"/>
                <w:bCs w:val="1"/>
                <w:color w:val="auto"/>
              </w:rPr>
              <w:t>Balance as of June 30, 2023</w:t>
            </w: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6</w:t>
            </w:r>
          </w:p>
        </w:tc>
        <w:tc>
          <w:tcPr>
            <w:tcW w:w="700" w:type="dxa"/>
            <w:vAlign w:val="bottom"/>
            <w:gridSpan w:val="2"/>
            <w:shd w:val="clear" w:color="auto" w:fill="CCECFF"/>
          </w:tcPr>
          <w:p>
            <w:pPr>
              <w:jc w:val="right"/>
              <w:ind w:right="179"/>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254</w:t>
            </w:r>
          </w:p>
        </w:tc>
        <w:tc>
          <w:tcPr>
            <w:tcW w:w="460" w:type="dxa"/>
            <w:vAlign w:val="bottom"/>
            <w:gridSpan w:val="2"/>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473,471</w:t>
            </w:r>
          </w:p>
        </w:tc>
        <w:tc>
          <w:tcPr>
            <w:tcW w:w="340" w:type="dxa"/>
            <w:vAlign w:val="bottom"/>
            <w:shd w:val="clear" w:color="auto" w:fill="CCECFF"/>
          </w:tcPr>
          <w:p>
            <w:pPr>
              <w:spacing w:after="0"/>
              <w:rPr>
                <w:sz w:val="19"/>
                <w:szCs w:val="19"/>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CFF"/>
          </w:tcPr>
          <w:p>
            <w:pPr>
              <w:jc w:val="right"/>
              <w:ind w:right="220"/>
              <w:spacing w:after="0"/>
              <w:rPr>
                <w:sz w:val="20"/>
                <w:szCs w:val="20"/>
                <w:color w:val="auto"/>
              </w:rPr>
            </w:pPr>
            <w:r>
              <w:rPr>
                <w:rFonts w:ascii="Arial" w:cs="Arial" w:eastAsia="Arial" w:hAnsi="Arial"/>
                <w:sz w:val="16"/>
                <w:szCs w:val="16"/>
                <w:b w:val="1"/>
                <w:bCs w:val="1"/>
                <w:color w:val="auto"/>
              </w:rPr>
              <w:t>(130,511 )</w:t>
            </w:r>
          </w:p>
        </w:tc>
        <w:tc>
          <w:tcPr>
            <w:tcW w:w="1160" w:type="dxa"/>
            <w:vAlign w:val="bottom"/>
            <w:gridSpan w:val="2"/>
            <w:shd w:val="clear" w:color="auto" w:fill="CCECFF"/>
          </w:tcPr>
          <w:p>
            <w:pPr>
              <w:jc w:val="right"/>
              <w:ind w:right="260"/>
              <w:spacing w:after="0"/>
              <w:rPr>
                <w:sz w:val="20"/>
                <w:szCs w:val="20"/>
                <w:color w:val="auto"/>
              </w:rPr>
            </w:pPr>
            <w:r>
              <w:rPr>
                <w:rFonts w:ascii="Arial" w:cs="Arial" w:eastAsia="Arial" w:hAnsi="Arial"/>
                <w:sz w:val="16"/>
                <w:szCs w:val="16"/>
                <w:b w:val="1"/>
                <w:bCs w:val="1"/>
                <w:color w:val="auto"/>
              </w:rPr>
              <w:t>(4,381,735 )</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6"/>
                <w:szCs w:val="16"/>
                <w:b w:val="1"/>
                <w:bCs w:val="1"/>
                <w:color w:val="auto"/>
              </w:rPr>
              <w:t>(4 )</w:t>
            </w:r>
          </w:p>
        </w:tc>
        <w:tc>
          <w:tcPr>
            <w:tcW w:w="12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343,210</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tcPr>
          <w:p>
            <w:pPr>
              <w:ind w:left="120"/>
              <w:spacing w:after="0"/>
              <w:rPr>
                <w:sz w:val="20"/>
                <w:szCs w:val="20"/>
                <w:color w:val="auto"/>
              </w:rPr>
            </w:pPr>
            <w:r>
              <w:rPr>
                <w:rFonts w:ascii="Arial" w:cs="Arial" w:eastAsia="Arial" w:hAnsi="Arial"/>
                <w:sz w:val="16"/>
                <w:szCs w:val="16"/>
                <w:color w:val="auto"/>
              </w:rPr>
              <w:t>Issuance of common shares, net of</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6"/>
                <w:szCs w:val="16"/>
                <w:color w:val="auto"/>
              </w:rPr>
              <w:t>offering costs - At-the-market offering</w:t>
            </w:r>
          </w:p>
        </w:tc>
        <w:tc>
          <w:tcPr>
            <w:tcW w:w="920" w:type="dxa"/>
            <w:vAlign w:val="bottom"/>
          </w:tcPr>
          <w:p>
            <w:pPr>
              <w:jc w:val="right"/>
              <w:spacing w:after="0"/>
              <w:rPr>
                <w:sz w:val="20"/>
                <w:szCs w:val="20"/>
                <w:color w:val="auto"/>
              </w:rPr>
            </w:pPr>
            <w:r>
              <w:rPr>
                <w:rFonts w:ascii="Arial" w:cs="Arial" w:eastAsia="Arial" w:hAnsi="Arial"/>
                <w:sz w:val="16"/>
                <w:szCs w:val="16"/>
                <w:color w:val="auto"/>
              </w:rPr>
              <w:t>2,831,736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8,597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CFF"/>
          </w:tcPr>
          <w:p>
            <w:pPr>
              <w:ind w:left="120"/>
              <w:spacing w:after="0"/>
              <w:rPr>
                <w:sz w:val="20"/>
                <w:szCs w:val="20"/>
                <w:color w:val="auto"/>
              </w:rPr>
            </w:pPr>
            <w:r>
              <w:rPr>
                <w:rFonts w:ascii="Arial" w:cs="Arial" w:eastAsia="Arial" w:hAnsi="Arial"/>
                <w:sz w:val="16"/>
                <w:szCs w:val="16"/>
                <w:color w:val="auto"/>
              </w:rPr>
              <w:t>Delivery of common stock underlying</w:t>
            </w:r>
          </w:p>
        </w:tc>
        <w:tc>
          <w:tcPr>
            <w:tcW w:w="9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CFF"/>
          </w:tcPr>
          <w:p>
            <w:pPr>
              <w:ind w:left="120"/>
              <w:spacing w:after="0"/>
              <w:rPr>
                <w:sz w:val="20"/>
                <w:szCs w:val="20"/>
                <w:color w:val="auto"/>
              </w:rPr>
            </w:pPr>
            <w:r>
              <w:rPr>
                <w:rFonts w:ascii="Arial" w:cs="Arial" w:eastAsia="Arial" w:hAnsi="Arial"/>
                <w:sz w:val="16"/>
                <w:szCs w:val="16"/>
                <w:color w:val="auto"/>
                <w:w w:val="89"/>
              </w:rPr>
              <w:t>restricted stock units, net of shares settled</w:t>
            </w:r>
          </w:p>
        </w:tc>
        <w:tc>
          <w:tcPr>
            <w:tcW w:w="92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86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820" w:type="dxa"/>
            <w:vAlign w:val="bottom"/>
            <w:shd w:val="clear" w:color="auto" w:fill="CCECFF"/>
          </w:tcPr>
          <w:p>
            <w:pPr>
              <w:ind w:left="120"/>
              <w:spacing w:after="0"/>
              <w:rPr>
                <w:sz w:val="20"/>
                <w:szCs w:val="20"/>
                <w:color w:val="auto"/>
              </w:rPr>
            </w:pPr>
            <w:r>
              <w:rPr>
                <w:rFonts w:ascii="Arial" w:cs="Arial" w:eastAsia="Arial" w:hAnsi="Arial"/>
                <w:sz w:val="16"/>
                <w:szCs w:val="16"/>
                <w:color w:val="auto"/>
              </w:rPr>
              <w:t>for tax withholding settlement</w:t>
            </w: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1,983,952</w:t>
            </w:r>
          </w:p>
        </w:tc>
        <w:tc>
          <w:tcPr>
            <w:tcW w:w="34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w:t>
            </w:r>
          </w:p>
        </w:tc>
        <w:tc>
          <w:tcPr>
            <w:tcW w:w="3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200" w:type="dxa"/>
            <w:vAlign w:val="bottom"/>
            <w:gridSpan w:val="2"/>
            <w:shd w:val="clear" w:color="auto" w:fill="CCECFF"/>
          </w:tcPr>
          <w:p>
            <w:pPr>
              <w:jc w:val="right"/>
              <w:ind w:right="280"/>
              <w:spacing w:after="0"/>
              <w:rPr>
                <w:sz w:val="20"/>
                <w:szCs w:val="20"/>
                <w:color w:val="auto"/>
              </w:rPr>
            </w:pPr>
            <w:r>
              <w:rPr>
                <w:rFonts w:ascii="Arial" w:cs="Arial" w:eastAsia="Arial" w:hAnsi="Arial"/>
                <w:sz w:val="16"/>
                <w:szCs w:val="16"/>
                <w:color w:val="auto"/>
              </w:rPr>
              <w:t>(2,112 )</w:t>
            </w:r>
          </w:p>
        </w:tc>
        <w:tc>
          <w:tcPr>
            <w:tcW w:w="160" w:type="dxa"/>
            <w:vAlign w:val="bottom"/>
            <w:shd w:val="clear" w:color="auto" w:fill="CCECFF"/>
          </w:tcPr>
          <w:p>
            <w:pPr>
              <w:spacing w:after="0"/>
              <w:rPr>
                <w:sz w:val="19"/>
                <w:szCs w:val="19"/>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CFF"/>
          </w:tcPr>
          <w:p>
            <w:pPr>
              <w:spacing w:after="0"/>
              <w:rPr>
                <w:sz w:val="19"/>
                <w:szCs w:val="19"/>
                <w:color w:val="auto"/>
              </w:rPr>
            </w:pPr>
          </w:p>
        </w:tc>
        <w:tc>
          <w:tcPr>
            <w:tcW w:w="1160" w:type="dxa"/>
            <w:vAlign w:val="bottom"/>
            <w:gridSpan w:val="2"/>
            <w:shd w:val="clear" w:color="auto" w:fill="CCECFF"/>
          </w:tcPr>
          <w:p>
            <w:pPr>
              <w:jc w:val="right"/>
              <w:ind w:right="260"/>
              <w:spacing w:after="0"/>
              <w:rPr>
                <w:sz w:val="20"/>
                <w:szCs w:val="20"/>
                <w:color w:val="auto"/>
              </w:rPr>
            </w:pPr>
            <w:r>
              <w:rPr>
                <w:rFonts w:ascii="Arial" w:cs="Arial" w:eastAsia="Arial" w:hAnsi="Arial"/>
                <w:sz w:val="16"/>
                <w:szCs w:val="16"/>
                <w:color w:val="auto"/>
              </w:rPr>
              <w:t>(742,829 )</w:t>
            </w:r>
          </w:p>
        </w:tc>
        <w:tc>
          <w:tcPr>
            <w:tcW w:w="100" w:type="dxa"/>
            <w:vAlign w:val="bottom"/>
            <w:shd w:val="clear" w:color="auto" w:fill="CCECFF"/>
          </w:tcPr>
          <w:p>
            <w:pPr>
              <w:spacing w:after="0"/>
              <w:rPr>
                <w:sz w:val="19"/>
                <w:szCs w:val="19"/>
                <w:color w:val="auto"/>
              </w:rPr>
            </w:pP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CFF"/>
          </w:tcPr>
          <w:p>
            <w:pPr>
              <w:spacing w:after="0"/>
              <w:rPr>
                <w:sz w:val="19"/>
                <w:szCs w:val="19"/>
                <w:color w:val="auto"/>
              </w:rPr>
            </w:pPr>
          </w:p>
        </w:tc>
        <w:tc>
          <w:tcPr>
            <w:tcW w:w="1280" w:type="dxa"/>
            <w:vAlign w:val="bottom"/>
            <w:gridSpan w:val="2"/>
            <w:shd w:val="clear" w:color="auto" w:fill="CCECFF"/>
          </w:tcPr>
          <w:p>
            <w:pPr>
              <w:jc w:val="right"/>
              <w:ind w:right="40"/>
              <w:spacing w:after="0"/>
              <w:rPr>
                <w:sz w:val="20"/>
                <w:szCs w:val="20"/>
                <w:color w:val="auto"/>
              </w:rPr>
            </w:pPr>
            <w:r>
              <w:rPr>
                <w:rFonts w:ascii="Arial" w:cs="Arial" w:eastAsia="Arial" w:hAnsi="Arial"/>
                <w:sz w:val="16"/>
                <w:szCs w:val="16"/>
                <w:color w:val="auto"/>
              </w:rPr>
              <w:t>(2,112 )</w:t>
            </w:r>
          </w:p>
        </w:tc>
        <w:tc>
          <w:tcPr>
            <w:tcW w:w="0" w:type="dxa"/>
            <w:vAlign w:val="bottom"/>
          </w:tcPr>
          <w:p>
            <w:pPr>
              <w:spacing w:after="0"/>
              <w:rPr>
                <w:sz w:val="1"/>
                <w:szCs w:val="1"/>
                <w:color w:val="auto"/>
              </w:rPr>
            </w:pPr>
          </w:p>
        </w:tc>
      </w:tr>
      <w:tr>
        <w:trPr>
          <w:trHeight w:val="220"/>
        </w:trPr>
        <w:tc>
          <w:tcPr>
            <w:tcW w:w="282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920" w:type="dxa"/>
            <w:vAlign w:val="bottom"/>
          </w:tcPr>
          <w:p>
            <w:pPr>
              <w:jc w:val="right"/>
              <w:spacing w:after="0"/>
              <w:rPr>
                <w:sz w:val="20"/>
                <w:szCs w:val="20"/>
                <w:color w:val="auto"/>
              </w:rPr>
            </w:pPr>
            <w:r>
              <w:rPr>
                <w:rFonts w:ascii="Arial" w:cs="Arial" w:eastAsia="Arial" w:hAnsi="Arial"/>
                <w:sz w:val="16"/>
                <w:szCs w:val="16"/>
                <w:color w:val="auto"/>
              </w:rPr>
              <w:t>71,428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10,699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20" w:type="dxa"/>
            <w:vAlign w:val="bottom"/>
            <w:shd w:val="clear" w:color="auto" w:fill="CCECFF"/>
          </w:tcPr>
          <w:p>
            <w:pPr>
              <w:ind w:left="120"/>
              <w:spacing w:after="0"/>
              <w:rPr>
                <w:sz w:val="20"/>
                <w:szCs w:val="20"/>
                <w:color w:val="auto"/>
              </w:rPr>
            </w:pPr>
            <w:r>
              <w:rPr>
                <w:rFonts w:ascii="Arial" w:cs="Arial" w:eastAsia="Arial" w:hAnsi="Arial"/>
                <w:sz w:val="16"/>
                <w:szCs w:val="16"/>
                <w:color w:val="auto"/>
              </w:rPr>
              <w:t>Net loss</w:t>
            </w: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20"/>
              <w:spacing w:after="0"/>
              <w:rPr>
                <w:sz w:val="20"/>
                <w:szCs w:val="20"/>
                <w:color w:val="auto"/>
              </w:rPr>
            </w:pPr>
            <w:r>
              <w:rPr>
                <w:rFonts w:ascii="Arial" w:cs="Arial" w:eastAsia="Arial" w:hAnsi="Arial"/>
                <w:sz w:val="16"/>
                <w:szCs w:val="16"/>
                <w:color w:val="auto"/>
              </w:rPr>
              <w:t>(17,711 )</w:t>
            </w:r>
          </w:p>
        </w:tc>
        <w:tc>
          <w:tcPr>
            <w:tcW w:w="8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280" w:type="dxa"/>
            <w:vAlign w:val="bottom"/>
            <w:gridSpan w:val="2"/>
            <w:shd w:val="clear" w:color="auto" w:fill="CCECFF"/>
          </w:tcPr>
          <w:p>
            <w:pPr>
              <w:jc w:val="right"/>
              <w:ind w:right="40"/>
              <w:spacing w:after="0"/>
              <w:rPr>
                <w:sz w:val="20"/>
                <w:szCs w:val="20"/>
                <w:color w:val="auto"/>
              </w:rPr>
            </w:pPr>
            <w:r>
              <w:rPr>
                <w:rFonts w:ascii="Arial" w:cs="Arial" w:eastAsia="Arial" w:hAnsi="Arial"/>
                <w:sz w:val="16"/>
                <w:szCs w:val="16"/>
                <w:color w:val="auto"/>
              </w:rPr>
              <w:t>(17,711 )</w:t>
            </w:r>
          </w:p>
        </w:tc>
        <w:tc>
          <w:tcPr>
            <w:tcW w:w="0" w:type="dxa"/>
            <w:vAlign w:val="bottom"/>
          </w:tcPr>
          <w:p>
            <w:pPr>
              <w:spacing w:after="0"/>
              <w:rPr>
                <w:sz w:val="1"/>
                <w:szCs w:val="1"/>
                <w:color w:val="auto"/>
              </w:rPr>
            </w:pPr>
          </w:p>
        </w:tc>
      </w:tr>
      <w:tr>
        <w:trPr>
          <w:trHeight w:val="199"/>
        </w:trPr>
        <w:tc>
          <w:tcPr>
            <w:tcW w:w="2820" w:type="dxa"/>
            <w:vAlign w:val="bottom"/>
            <w:tcBorders>
              <w:top w:val="single" w:sz="8" w:color="CCECFF"/>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259,682,74</w:t>
            </w:r>
          </w:p>
        </w:tc>
        <w:tc>
          <w:tcPr>
            <w:tcW w:w="340" w:type="dxa"/>
            <w:vAlign w:val="bottom"/>
            <w:tcBorders>
              <w:top w:val="single" w:sz="8" w:color="CCEC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6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CCEC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Borders>
              <w:top w:val="single" w:sz="8" w:color="CCEC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Borders>
              <w:top w:val="single" w:sz="8" w:color="CCEC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2023</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7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259</w:t>
            </w:r>
          </w:p>
        </w:tc>
        <w:tc>
          <w:tcPr>
            <w:tcW w:w="4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490,655</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(148,222 )</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(5,124,564 )</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(5 )</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342,687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-307975</wp:posOffset>
            </wp:positionV>
            <wp:extent cx="76835"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-307975</wp:posOffset>
            </wp:positionV>
            <wp:extent cx="76835"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-307975</wp:posOffset>
            </wp:positionV>
            <wp:extent cx="7747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30861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-307975</wp:posOffset>
            </wp:positionV>
            <wp:extent cx="6858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-307975</wp:posOffset>
            </wp:positionV>
            <wp:extent cx="68580"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-307975</wp:posOffset>
            </wp:positionV>
            <wp:extent cx="6858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3086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June 30, 2022</w:t>
      </w:r>
    </w:p>
    <w:p>
      <w:pPr>
        <w:spacing w:after="0" w:line="50"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Delivery of common stock underlying restricted stock units, net of shares settled for tax withholding settlement</w:t>
      </w:r>
    </w:p>
    <w:p>
      <w:pPr>
        <w:spacing w:after="0" w:line="2" w:lineRule="exact"/>
        <w:rPr>
          <w:sz w:val="20"/>
          <w:szCs w:val="20"/>
          <w:color w:val="auto"/>
        </w:rPr>
      </w:pPr>
    </w:p>
    <w:p>
      <w:pPr>
        <w:ind w:left="120" w:right="980"/>
        <w:spacing w:after="0" w:line="429" w:lineRule="auto"/>
        <w:rPr>
          <w:sz w:val="20"/>
          <w:szCs w:val="20"/>
          <w:color w:val="auto"/>
        </w:rPr>
      </w:pPr>
      <w:r>
        <w:rPr>
          <w:rFonts w:ascii="Arial" w:cs="Arial" w:eastAsia="Arial" w:hAnsi="Arial"/>
          <w:sz w:val="14"/>
          <w:szCs w:val="14"/>
          <w:color w:val="auto"/>
        </w:rPr>
        <w:t>Share-based compensation Net income</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September 30, 2022</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Three Months Ended September 30,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0" w:type="dxa"/>
            <w:vAlign w:val="bottom"/>
            <w:gridSpan w:val="3"/>
            <w:vMerge w:val="restart"/>
          </w:tcPr>
          <w:p>
            <w:pPr>
              <w:jc w:val="right"/>
              <w:ind w:right="19"/>
              <w:spacing w:after="0"/>
              <w:rPr>
                <w:sz w:val="20"/>
                <w:szCs w:val="20"/>
                <w:color w:val="auto"/>
              </w:rPr>
            </w:pPr>
            <w:r>
              <w:rPr>
                <w:rFonts w:ascii="Arial" w:cs="Arial" w:eastAsia="Arial" w:hAnsi="Arial"/>
                <w:sz w:val="16"/>
                <w:szCs w:val="16"/>
                <w:b w:val="1"/>
                <w:bCs w:val="1"/>
                <w:color w:val="auto"/>
              </w:rPr>
              <w:t>Common Stock</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Accumulat</w:t>
            </w:r>
          </w:p>
        </w:tc>
        <w:tc>
          <w:tcPr>
            <w:tcW w:w="2240" w:type="dxa"/>
            <w:vAlign w:val="bottom"/>
            <w:gridSpan w:val="5"/>
            <w:vMerge w:val="restart"/>
          </w:tcPr>
          <w:p>
            <w:pPr>
              <w:jc w:val="right"/>
              <w:ind w:right="76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8"/>
                <w:szCs w:val="18"/>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5"/>
              </w:rPr>
              <w:t>ed</w:t>
            </w:r>
          </w:p>
        </w:tc>
        <w:tc>
          <w:tcPr>
            <w:tcW w:w="224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8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Paid-in</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23"/>
        </w:trPr>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3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Capital</w:t>
            </w:r>
          </w:p>
        </w:tc>
        <w:tc>
          <w:tcPr>
            <w:tcW w:w="140" w:type="dxa"/>
            <w:vAlign w:val="bottom"/>
          </w:tcPr>
          <w:p>
            <w:pPr>
              <w:spacing w:after="0"/>
              <w:rPr>
                <w:sz w:val="19"/>
                <w:szCs w:val="19"/>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Deficit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251,001,07</w:t>
            </w:r>
          </w:p>
        </w:tc>
        <w:tc>
          <w:tcPr>
            <w:tcW w:w="3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(3,511,49</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7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251</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431,966</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8"/>
              </w:rPr>
              <w:t>(118,874 )</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0 )</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(4 )</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313,339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5"/>
        </w:trPr>
        <w:tc>
          <w:tcPr>
            <w:tcW w:w="880" w:type="dxa"/>
            <w:vAlign w:val="bottom"/>
          </w:tcPr>
          <w:p>
            <w:pPr>
              <w:jc w:val="right"/>
              <w:spacing w:after="0"/>
              <w:rPr>
                <w:sz w:val="20"/>
                <w:szCs w:val="20"/>
                <w:color w:val="auto"/>
              </w:rPr>
            </w:pPr>
            <w:r>
              <w:rPr>
                <w:rFonts w:ascii="Arial" w:cs="Arial" w:eastAsia="Arial" w:hAnsi="Arial"/>
                <w:sz w:val="16"/>
                <w:szCs w:val="16"/>
                <w:color w:val="auto"/>
              </w:rPr>
              <w:t>42,577</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(25 )</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(13,193 )</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30"/>
        </w:trPr>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10,494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59,292</w:t>
            </w:r>
          </w:p>
        </w:tc>
        <w:tc>
          <w:tcPr>
            <w:tcW w:w="32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251,043,64</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(3,524,68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7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251</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442,435</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(59,582 )</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3 )</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(4 )</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383,100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-1276985</wp:posOffset>
            </wp:positionV>
            <wp:extent cx="713232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-599440</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-299720</wp:posOffset>
            </wp:positionV>
            <wp:extent cx="7132320"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40"/>
            <w:col w:w="838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620" w:type="dxa"/>
            <w:vAlign w:val="bottom"/>
            <w:gridSpan w:val="3"/>
            <w:vMerge w:val="restart"/>
          </w:tcPr>
          <w:p>
            <w:pPr>
              <w:jc w:val="right"/>
              <w:ind w:right="19"/>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Accumulat</w:t>
            </w:r>
          </w:p>
        </w:tc>
        <w:tc>
          <w:tcPr>
            <w:tcW w:w="2260" w:type="dxa"/>
            <w:vAlign w:val="bottom"/>
            <w:gridSpan w:val="5"/>
            <w:vMerge w:val="restart"/>
          </w:tcPr>
          <w:p>
            <w:pPr>
              <w:jc w:val="right"/>
              <w:ind w:right="76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8"/>
                <w:szCs w:val="18"/>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5"/>
              </w:rPr>
              <w:t>ed</w:t>
            </w:r>
          </w:p>
        </w:tc>
        <w:tc>
          <w:tcPr>
            <w:tcW w:w="22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3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9"/>
                <w:szCs w:val="19"/>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Deficit</w:t>
            </w: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2820" w:type="dxa"/>
            <w:vAlign w:val="bottom"/>
            <w:shd w:val="clear" w:color="auto" w:fill="CCECFF"/>
          </w:tcPr>
          <w:p>
            <w:pPr>
              <w:spacing w:after="0"/>
              <w:rPr>
                <w:sz w:val="17"/>
                <w:szCs w:val="17"/>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251,095,30</w:t>
            </w:r>
          </w:p>
        </w:tc>
        <w:tc>
          <w:tcPr>
            <w:tcW w:w="340" w:type="dxa"/>
            <w:vAlign w:val="bottom"/>
            <w:shd w:val="clear" w:color="auto" w:fill="CCECFF"/>
          </w:tcPr>
          <w:p>
            <w:pPr>
              <w:spacing w:after="0"/>
              <w:rPr>
                <w:sz w:val="17"/>
                <w:szCs w:val="17"/>
                <w:color w:val="auto"/>
              </w:rPr>
            </w:pPr>
          </w:p>
        </w:tc>
        <w:tc>
          <w:tcPr>
            <w:tcW w:w="360" w:type="dxa"/>
            <w:vAlign w:val="bottom"/>
            <w:tcBorders>
              <w:top w:val="single" w:sz="8" w:color="auto"/>
            </w:tcBorders>
            <w:shd w:val="clear" w:color="auto" w:fill="CCECFF"/>
          </w:tcPr>
          <w:p>
            <w:pPr>
              <w:spacing w:after="0"/>
              <w:rPr>
                <w:sz w:val="17"/>
                <w:szCs w:val="17"/>
                <w:color w:val="auto"/>
              </w:rPr>
            </w:pPr>
          </w:p>
        </w:tc>
        <w:tc>
          <w:tcPr>
            <w:tcW w:w="340" w:type="dxa"/>
            <w:vAlign w:val="bottom"/>
            <w:tcBorders>
              <w:top w:val="single" w:sz="8" w:color="auto"/>
            </w:tcBorders>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860" w:type="dxa"/>
            <w:vAlign w:val="bottom"/>
            <w:tcBorders>
              <w:top w:val="single" w:sz="8" w:color="auto"/>
            </w:tcBorders>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spacing w:after="0"/>
              <w:rPr>
                <w:sz w:val="17"/>
                <w:szCs w:val="17"/>
                <w:color w:val="auto"/>
              </w:rPr>
            </w:pPr>
          </w:p>
        </w:tc>
        <w:tc>
          <w:tcPr>
            <w:tcW w:w="700" w:type="dxa"/>
            <w:vAlign w:val="bottom"/>
            <w:tcBorders>
              <w:top w:val="single" w:sz="8" w:color="auto"/>
            </w:tcBorders>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840" w:type="dxa"/>
            <w:vAlign w:val="bottom"/>
            <w:tcBorders>
              <w:top w:val="single" w:sz="8" w:color="auto"/>
            </w:tcBorders>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680" w:type="dxa"/>
            <w:vAlign w:val="bottom"/>
            <w:tcBorders>
              <w:top w:val="single" w:sz="8" w:color="auto"/>
            </w:tcBorders>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20" w:type="dxa"/>
            <w:vAlign w:val="bottom"/>
            <w:tcBorders>
              <w:top w:val="single" w:sz="8" w:color="auto"/>
            </w:tcBorders>
            <w:shd w:val="clear" w:color="auto" w:fill="CCECFF"/>
          </w:tcPr>
          <w:p>
            <w:pPr>
              <w:spacing w:after="0"/>
              <w:rPr>
                <w:sz w:val="17"/>
                <w:szCs w:val="17"/>
                <w:color w:val="auto"/>
              </w:rPr>
            </w:pPr>
          </w:p>
        </w:tc>
        <w:tc>
          <w:tcPr>
            <w:tcW w:w="118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CFF"/>
          </w:tcPr>
          <w:p>
            <w:pPr>
              <w:ind w:left="20"/>
              <w:spacing w:after="0"/>
              <w:rPr>
                <w:sz w:val="20"/>
                <w:szCs w:val="20"/>
                <w:color w:val="auto"/>
              </w:rPr>
            </w:pPr>
            <w:r>
              <w:rPr>
                <w:rFonts w:ascii="Arial" w:cs="Arial" w:eastAsia="Arial" w:hAnsi="Arial"/>
                <w:sz w:val="16"/>
                <w:szCs w:val="16"/>
                <w:b w:val="1"/>
                <w:bCs w:val="1"/>
                <w:color w:val="auto"/>
              </w:rPr>
              <w:t>Balance as of January 1, 2023</w:t>
            </w: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5</w:t>
            </w:r>
          </w:p>
        </w:tc>
        <w:tc>
          <w:tcPr>
            <w:tcW w:w="700" w:type="dxa"/>
            <w:vAlign w:val="bottom"/>
            <w:gridSpan w:val="2"/>
            <w:shd w:val="clear" w:color="auto" w:fill="CCECFF"/>
          </w:tcPr>
          <w:p>
            <w:pPr>
              <w:jc w:val="right"/>
              <w:ind w:right="179"/>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251</w:t>
            </w:r>
          </w:p>
        </w:tc>
        <w:tc>
          <w:tcPr>
            <w:tcW w:w="460" w:type="dxa"/>
            <w:vAlign w:val="bottom"/>
            <w:gridSpan w:val="2"/>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453,854</w:t>
            </w:r>
          </w:p>
        </w:tc>
        <w:tc>
          <w:tcPr>
            <w:tcW w:w="340" w:type="dxa"/>
            <w:vAlign w:val="bottom"/>
            <w:shd w:val="clear" w:color="auto" w:fill="CCECFF"/>
          </w:tcPr>
          <w:p>
            <w:pPr>
              <w:spacing w:after="0"/>
              <w:rPr>
                <w:sz w:val="19"/>
                <w:szCs w:val="19"/>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CFF"/>
          </w:tcPr>
          <w:p>
            <w:pPr>
              <w:jc w:val="right"/>
              <w:ind w:right="220"/>
              <w:spacing w:after="0"/>
              <w:rPr>
                <w:sz w:val="20"/>
                <w:szCs w:val="20"/>
                <w:color w:val="auto"/>
              </w:rPr>
            </w:pPr>
            <w:r>
              <w:rPr>
                <w:rFonts w:ascii="Arial" w:cs="Arial" w:eastAsia="Arial" w:hAnsi="Arial"/>
                <w:sz w:val="16"/>
                <w:szCs w:val="16"/>
                <w:b w:val="1"/>
                <w:bCs w:val="1"/>
                <w:color w:val="auto"/>
              </w:rPr>
              <w:t>(111,209 )</w:t>
            </w:r>
          </w:p>
        </w:tc>
        <w:tc>
          <w:tcPr>
            <w:tcW w:w="1160" w:type="dxa"/>
            <w:vAlign w:val="bottom"/>
            <w:gridSpan w:val="2"/>
            <w:shd w:val="clear" w:color="auto" w:fill="CCECFF"/>
          </w:tcPr>
          <w:p>
            <w:pPr>
              <w:jc w:val="right"/>
              <w:ind w:right="260"/>
              <w:spacing w:after="0"/>
              <w:rPr>
                <w:sz w:val="20"/>
                <w:szCs w:val="20"/>
                <w:color w:val="auto"/>
              </w:rPr>
            </w:pPr>
            <w:r>
              <w:rPr>
                <w:rFonts w:ascii="Arial" w:cs="Arial" w:eastAsia="Arial" w:hAnsi="Arial"/>
                <w:sz w:val="16"/>
                <w:szCs w:val="16"/>
                <w:b w:val="1"/>
                <w:bCs w:val="1"/>
                <w:color w:val="auto"/>
              </w:rPr>
              <w:t>(3,543,347 )</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6"/>
                <w:szCs w:val="16"/>
                <w:b w:val="1"/>
                <w:bCs w:val="1"/>
                <w:color w:val="auto"/>
              </w:rPr>
              <w:t>(4 )</w:t>
            </w:r>
          </w:p>
        </w:tc>
        <w:tc>
          <w:tcPr>
            <w:tcW w:w="12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342,892</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tcPr>
          <w:p>
            <w:pPr>
              <w:ind w:left="120"/>
              <w:spacing w:after="0"/>
              <w:rPr>
                <w:sz w:val="20"/>
                <w:szCs w:val="20"/>
                <w:color w:val="auto"/>
              </w:rPr>
            </w:pPr>
            <w:r>
              <w:rPr>
                <w:rFonts w:ascii="Arial" w:cs="Arial" w:eastAsia="Arial" w:hAnsi="Arial"/>
                <w:sz w:val="16"/>
                <w:szCs w:val="16"/>
                <w:color w:val="auto"/>
              </w:rPr>
              <w:t>Issuance of common shares, net of</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6"/>
                <w:szCs w:val="16"/>
                <w:color w:val="auto"/>
              </w:rPr>
              <w:t>offering costs - At-the-market offering</w:t>
            </w:r>
          </w:p>
        </w:tc>
        <w:tc>
          <w:tcPr>
            <w:tcW w:w="920" w:type="dxa"/>
            <w:vAlign w:val="bottom"/>
          </w:tcPr>
          <w:p>
            <w:pPr>
              <w:jc w:val="right"/>
              <w:spacing w:after="0"/>
              <w:rPr>
                <w:sz w:val="20"/>
                <w:szCs w:val="20"/>
                <w:color w:val="auto"/>
              </w:rPr>
            </w:pPr>
            <w:r>
              <w:rPr>
                <w:rFonts w:ascii="Arial" w:cs="Arial" w:eastAsia="Arial" w:hAnsi="Arial"/>
                <w:sz w:val="16"/>
                <w:szCs w:val="16"/>
                <w:color w:val="auto"/>
              </w:rPr>
              <w:t>3,809,943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11,341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CFF"/>
          </w:tcPr>
          <w:p>
            <w:pPr>
              <w:ind w:left="120"/>
              <w:spacing w:after="0"/>
              <w:rPr>
                <w:sz w:val="20"/>
                <w:szCs w:val="20"/>
                <w:color w:val="auto"/>
              </w:rPr>
            </w:pPr>
            <w:r>
              <w:rPr>
                <w:rFonts w:ascii="Arial" w:cs="Arial" w:eastAsia="Arial" w:hAnsi="Arial"/>
                <w:sz w:val="16"/>
                <w:szCs w:val="16"/>
                <w:color w:val="auto"/>
              </w:rPr>
              <w:t>Delivery of common stock underlying</w:t>
            </w:r>
          </w:p>
        </w:tc>
        <w:tc>
          <w:tcPr>
            <w:tcW w:w="9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CFF"/>
          </w:tcPr>
          <w:p>
            <w:pPr>
              <w:ind w:left="120"/>
              <w:spacing w:after="0"/>
              <w:rPr>
                <w:sz w:val="20"/>
                <w:szCs w:val="20"/>
                <w:color w:val="auto"/>
              </w:rPr>
            </w:pPr>
            <w:r>
              <w:rPr>
                <w:rFonts w:ascii="Arial" w:cs="Arial" w:eastAsia="Arial" w:hAnsi="Arial"/>
                <w:sz w:val="16"/>
                <w:szCs w:val="16"/>
                <w:color w:val="auto"/>
                <w:w w:val="89"/>
              </w:rPr>
              <w:t>restricted stock units, net of shares settled</w:t>
            </w:r>
          </w:p>
        </w:tc>
        <w:tc>
          <w:tcPr>
            <w:tcW w:w="92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86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700" w:type="dxa"/>
            <w:vAlign w:val="bottom"/>
            <w:vMerge w:val="restart"/>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820" w:type="dxa"/>
            <w:vAlign w:val="bottom"/>
            <w:shd w:val="clear" w:color="auto" w:fill="CCECFF"/>
          </w:tcPr>
          <w:p>
            <w:pPr>
              <w:ind w:left="120"/>
              <w:spacing w:after="0"/>
              <w:rPr>
                <w:sz w:val="20"/>
                <w:szCs w:val="20"/>
                <w:color w:val="auto"/>
              </w:rPr>
            </w:pPr>
            <w:r>
              <w:rPr>
                <w:rFonts w:ascii="Arial" w:cs="Arial" w:eastAsia="Arial" w:hAnsi="Arial"/>
                <w:sz w:val="16"/>
                <w:szCs w:val="16"/>
                <w:color w:val="auto"/>
              </w:rPr>
              <w:t>for tax withholding settlement</w:t>
            </w: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4,457,708</w:t>
            </w:r>
          </w:p>
        </w:tc>
        <w:tc>
          <w:tcPr>
            <w:tcW w:w="34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w:t>
            </w:r>
          </w:p>
        </w:tc>
        <w:tc>
          <w:tcPr>
            <w:tcW w:w="3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200" w:type="dxa"/>
            <w:vAlign w:val="bottom"/>
            <w:gridSpan w:val="2"/>
            <w:shd w:val="clear" w:color="auto" w:fill="CCECFF"/>
          </w:tcPr>
          <w:p>
            <w:pPr>
              <w:jc w:val="right"/>
              <w:ind w:right="280"/>
              <w:spacing w:after="0"/>
              <w:rPr>
                <w:sz w:val="20"/>
                <w:szCs w:val="20"/>
                <w:color w:val="auto"/>
              </w:rPr>
            </w:pPr>
            <w:r>
              <w:rPr>
                <w:rFonts w:ascii="Arial" w:cs="Arial" w:eastAsia="Arial" w:hAnsi="Arial"/>
                <w:sz w:val="16"/>
                <w:szCs w:val="16"/>
                <w:color w:val="auto"/>
              </w:rPr>
              <w:t>(3,227 )</w:t>
            </w:r>
          </w:p>
        </w:tc>
        <w:tc>
          <w:tcPr>
            <w:tcW w:w="160" w:type="dxa"/>
            <w:vAlign w:val="bottom"/>
            <w:shd w:val="clear" w:color="auto" w:fill="CCECFF"/>
          </w:tcPr>
          <w:p>
            <w:pPr>
              <w:spacing w:after="0"/>
              <w:rPr>
                <w:sz w:val="19"/>
                <w:szCs w:val="19"/>
                <w:color w:val="auto"/>
              </w:rPr>
            </w:pPr>
          </w:p>
        </w:tc>
        <w:tc>
          <w:tcPr>
            <w:tcW w:w="700" w:type="dxa"/>
            <w:vAlign w:val="bottom"/>
            <w:vMerge w:val="continue"/>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160" w:type="dxa"/>
            <w:vAlign w:val="bottom"/>
            <w:gridSpan w:val="2"/>
            <w:shd w:val="clear" w:color="auto" w:fill="CCECFF"/>
          </w:tcPr>
          <w:p>
            <w:pPr>
              <w:jc w:val="right"/>
              <w:ind w:right="260"/>
              <w:spacing w:after="0"/>
              <w:rPr>
                <w:sz w:val="20"/>
                <w:szCs w:val="20"/>
                <w:color w:val="auto"/>
              </w:rPr>
            </w:pPr>
            <w:r>
              <w:rPr>
                <w:rFonts w:ascii="Arial" w:cs="Arial" w:eastAsia="Arial" w:hAnsi="Arial"/>
                <w:sz w:val="16"/>
                <w:szCs w:val="16"/>
                <w:color w:val="auto"/>
              </w:rPr>
              <w:t>(1,581,217 )</w:t>
            </w:r>
          </w:p>
        </w:tc>
        <w:tc>
          <w:tcPr>
            <w:tcW w:w="100" w:type="dxa"/>
            <w:vAlign w:val="bottom"/>
            <w:shd w:val="clear" w:color="auto" w:fill="CCECFF"/>
          </w:tcPr>
          <w:p>
            <w:pPr>
              <w:spacing w:after="0"/>
              <w:rPr>
                <w:sz w:val="19"/>
                <w:szCs w:val="19"/>
                <w:color w:val="auto"/>
              </w:rPr>
            </w:pP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CFF"/>
          </w:tcPr>
          <w:p>
            <w:pPr>
              <w:spacing w:after="0"/>
              <w:rPr>
                <w:sz w:val="19"/>
                <w:szCs w:val="19"/>
                <w:color w:val="auto"/>
              </w:rPr>
            </w:pPr>
          </w:p>
        </w:tc>
        <w:tc>
          <w:tcPr>
            <w:tcW w:w="1280" w:type="dxa"/>
            <w:vAlign w:val="bottom"/>
            <w:gridSpan w:val="2"/>
            <w:shd w:val="clear" w:color="auto" w:fill="CCECFF"/>
          </w:tcPr>
          <w:p>
            <w:pPr>
              <w:jc w:val="right"/>
              <w:ind w:right="40"/>
              <w:spacing w:after="0"/>
              <w:rPr>
                <w:sz w:val="20"/>
                <w:szCs w:val="20"/>
                <w:color w:val="auto"/>
              </w:rPr>
            </w:pPr>
            <w:r>
              <w:rPr>
                <w:rFonts w:ascii="Arial" w:cs="Arial" w:eastAsia="Arial" w:hAnsi="Arial"/>
                <w:sz w:val="16"/>
                <w:szCs w:val="16"/>
                <w:color w:val="auto"/>
              </w:rPr>
              <w:t>(3,224 )</w:t>
            </w:r>
          </w:p>
        </w:tc>
        <w:tc>
          <w:tcPr>
            <w:tcW w:w="0" w:type="dxa"/>
            <w:vAlign w:val="bottom"/>
          </w:tcPr>
          <w:p>
            <w:pPr>
              <w:spacing w:after="0"/>
              <w:rPr>
                <w:sz w:val="1"/>
                <w:szCs w:val="1"/>
                <w:color w:val="auto"/>
              </w:rPr>
            </w:pPr>
          </w:p>
        </w:tc>
      </w:tr>
      <w:tr>
        <w:trPr>
          <w:trHeight w:val="220"/>
        </w:trPr>
        <w:tc>
          <w:tcPr>
            <w:tcW w:w="282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920" w:type="dxa"/>
            <w:vAlign w:val="bottom"/>
          </w:tcPr>
          <w:p>
            <w:pPr>
              <w:jc w:val="right"/>
              <w:spacing w:after="0"/>
              <w:rPr>
                <w:sz w:val="20"/>
                <w:szCs w:val="20"/>
                <w:color w:val="auto"/>
              </w:rPr>
            </w:pPr>
            <w:r>
              <w:rPr>
                <w:rFonts w:ascii="Arial" w:cs="Arial" w:eastAsia="Arial" w:hAnsi="Arial"/>
                <w:sz w:val="16"/>
                <w:szCs w:val="16"/>
                <w:color w:val="auto"/>
              </w:rPr>
              <w:t>319,786</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28,687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20" w:type="dxa"/>
            <w:vAlign w:val="bottom"/>
            <w:shd w:val="clear" w:color="auto" w:fill="CCECFF"/>
          </w:tcPr>
          <w:p>
            <w:pPr>
              <w:ind w:left="120"/>
              <w:spacing w:after="0"/>
              <w:rPr>
                <w:sz w:val="20"/>
                <w:szCs w:val="20"/>
                <w:color w:val="auto"/>
              </w:rPr>
            </w:pPr>
            <w:r>
              <w:rPr>
                <w:rFonts w:ascii="Arial" w:cs="Arial" w:eastAsia="Arial" w:hAnsi="Arial"/>
                <w:sz w:val="16"/>
                <w:szCs w:val="16"/>
                <w:color w:val="auto"/>
              </w:rPr>
              <w:t>Net loss</w:t>
            </w: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20"/>
              <w:spacing w:after="0"/>
              <w:rPr>
                <w:sz w:val="20"/>
                <w:szCs w:val="20"/>
                <w:color w:val="auto"/>
              </w:rPr>
            </w:pPr>
            <w:r>
              <w:rPr>
                <w:rFonts w:ascii="Arial" w:cs="Arial" w:eastAsia="Arial" w:hAnsi="Arial"/>
                <w:sz w:val="16"/>
                <w:szCs w:val="16"/>
                <w:color w:val="auto"/>
              </w:rPr>
              <w:t>(37,013 )</w:t>
            </w:r>
          </w:p>
        </w:tc>
        <w:tc>
          <w:tcPr>
            <w:tcW w:w="8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280" w:type="dxa"/>
            <w:vAlign w:val="bottom"/>
            <w:gridSpan w:val="2"/>
            <w:shd w:val="clear" w:color="auto" w:fill="CCECFF"/>
          </w:tcPr>
          <w:p>
            <w:pPr>
              <w:jc w:val="right"/>
              <w:ind w:right="40"/>
              <w:spacing w:after="0"/>
              <w:rPr>
                <w:sz w:val="20"/>
                <w:szCs w:val="20"/>
                <w:color w:val="auto"/>
              </w:rPr>
            </w:pPr>
            <w:r>
              <w:rPr>
                <w:rFonts w:ascii="Arial" w:cs="Arial" w:eastAsia="Arial" w:hAnsi="Arial"/>
                <w:sz w:val="16"/>
                <w:szCs w:val="16"/>
                <w:color w:val="auto"/>
              </w:rPr>
              <w:t>(37,013 )</w:t>
            </w:r>
          </w:p>
        </w:tc>
        <w:tc>
          <w:tcPr>
            <w:tcW w:w="0" w:type="dxa"/>
            <w:vAlign w:val="bottom"/>
          </w:tcPr>
          <w:p>
            <w:pPr>
              <w:spacing w:after="0"/>
              <w:rPr>
                <w:sz w:val="1"/>
                <w:szCs w:val="1"/>
                <w:color w:val="auto"/>
              </w:rPr>
            </w:pPr>
          </w:p>
        </w:tc>
      </w:tr>
      <w:tr>
        <w:trPr>
          <w:trHeight w:val="199"/>
        </w:trPr>
        <w:tc>
          <w:tcPr>
            <w:tcW w:w="2820" w:type="dxa"/>
            <w:vAlign w:val="bottom"/>
            <w:tcBorders>
              <w:top w:val="single" w:sz="8" w:color="CCECFF"/>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259,682,74</w:t>
            </w:r>
          </w:p>
        </w:tc>
        <w:tc>
          <w:tcPr>
            <w:tcW w:w="340" w:type="dxa"/>
            <w:vAlign w:val="bottom"/>
            <w:tcBorders>
              <w:top w:val="single" w:sz="8" w:color="CCEC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6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CCEC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Borders>
              <w:top w:val="single" w:sz="8" w:color="CCEC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Borders>
              <w:top w:val="single" w:sz="8" w:color="CCEC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2023</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7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259</w:t>
            </w:r>
          </w:p>
        </w:tc>
        <w:tc>
          <w:tcPr>
            <w:tcW w:w="4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490,655</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(148,222 )</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(5,124,564 )</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(5 )</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342,687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-307975</wp:posOffset>
            </wp:positionV>
            <wp:extent cx="76835"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-307975</wp:posOffset>
            </wp:positionV>
            <wp:extent cx="76835"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-307975</wp:posOffset>
            </wp:positionV>
            <wp:extent cx="77470"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30861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-307975</wp:posOffset>
            </wp:positionV>
            <wp:extent cx="68580"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-307975</wp:posOffset>
            </wp:positionV>
            <wp:extent cx="6858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-307975</wp:posOffset>
            </wp:positionV>
            <wp:extent cx="6858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30861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20" w:type="dxa"/>
            <w:vAlign w:val="bottom"/>
          </w:tcPr>
          <w:p>
            <w:pPr>
              <w:spacing w:after="0"/>
              <w:rPr>
                <w:sz w:val="17"/>
                <w:szCs w:val="17"/>
                <w:color w:val="auto"/>
              </w:rPr>
            </w:pPr>
          </w:p>
        </w:tc>
        <w:tc>
          <w:tcPr>
            <w:tcW w:w="1620" w:type="dxa"/>
            <w:vAlign w:val="bottom"/>
            <w:gridSpan w:val="3"/>
            <w:vMerge w:val="restart"/>
          </w:tcPr>
          <w:p>
            <w:pPr>
              <w:jc w:val="right"/>
              <w:ind w:right="19"/>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Accumulat</w:t>
            </w:r>
          </w:p>
        </w:tc>
        <w:tc>
          <w:tcPr>
            <w:tcW w:w="2260" w:type="dxa"/>
            <w:vAlign w:val="bottom"/>
            <w:gridSpan w:val="5"/>
            <w:vMerge w:val="restart"/>
          </w:tcPr>
          <w:p>
            <w:pPr>
              <w:jc w:val="right"/>
              <w:ind w:right="76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8"/>
                <w:szCs w:val="18"/>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5"/>
              </w:rPr>
              <w:t>ed</w:t>
            </w:r>
          </w:p>
        </w:tc>
        <w:tc>
          <w:tcPr>
            <w:tcW w:w="22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Shares</w:t>
            </w:r>
          </w:p>
        </w:tc>
        <w:tc>
          <w:tcPr>
            <w:tcW w:w="10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9"/>
                <w:szCs w:val="19"/>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Deficit</w:t>
            </w: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2820" w:type="dxa"/>
            <w:vAlign w:val="bottom"/>
            <w:shd w:val="clear" w:color="auto" w:fill="CCECFF"/>
          </w:tcPr>
          <w:p>
            <w:pPr>
              <w:spacing w:after="0"/>
              <w:rPr>
                <w:sz w:val="17"/>
                <w:szCs w:val="17"/>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252,131,67</w:t>
            </w:r>
          </w:p>
        </w:tc>
        <w:tc>
          <w:tcPr>
            <w:tcW w:w="340" w:type="dxa"/>
            <w:vAlign w:val="bottom"/>
            <w:shd w:val="clear" w:color="auto" w:fill="CCECFF"/>
          </w:tcPr>
          <w:p>
            <w:pPr>
              <w:spacing w:after="0"/>
              <w:rPr>
                <w:sz w:val="17"/>
                <w:szCs w:val="17"/>
                <w:color w:val="auto"/>
              </w:rPr>
            </w:pPr>
          </w:p>
        </w:tc>
        <w:tc>
          <w:tcPr>
            <w:tcW w:w="360" w:type="dxa"/>
            <w:vAlign w:val="bottom"/>
            <w:tcBorders>
              <w:top w:val="single" w:sz="8" w:color="auto"/>
            </w:tcBorders>
            <w:shd w:val="clear" w:color="auto" w:fill="CCECFF"/>
          </w:tcPr>
          <w:p>
            <w:pPr>
              <w:spacing w:after="0"/>
              <w:rPr>
                <w:sz w:val="17"/>
                <w:szCs w:val="17"/>
                <w:color w:val="auto"/>
              </w:rPr>
            </w:pPr>
          </w:p>
        </w:tc>
        <w:tc>
          <w:tcPr>
            <w:tcW w:w="340" w:type="dxa"/>
            <w:vAlign w:val="bottom"/>
            <w:tcBorders>
              <w:top w:val="single" w:sz="8" w:color="auto"/>
            </w:tcBorders>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860" w:type="dxa"/>
            <w:vAlign w:val="bottom"/>
            <w:tcBorders>
              <w:top w:val="single" w:sz="8" w:color="auto"/>
            </w:tcBorders>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spacing w:after="0"/>
              <w:rPr>
                <w:sz w:val="17"/>
                <w:szCs w:val="17"/>
                <w:color w:val="auto"/>
              </w:rPr>
            </w:pPr>
          </w:p>
        </w:tc>
        <w:tc>
          <w:tcPr>
            <w:tcW w:w="700" w:type="dxa"/>
            <w:vAlign w:val="bottom"/>
            <w:tcBorders>
              <w:top w:val="single" w:sz="8" w:color="auto"/>
            </w:tcBorders>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840" w:type="dxa"/>
            <w:vAlign w:val="bottom"/>
            <w:tcBorders>
              <w:top w:val="single" w:sz="8" w:color="auto"/>
            </w:tcBorders>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680" w:type="dxa"/>
            <w:vAlign w:val="bottom"/>
            <w:tcBorders>
              <w:top w:val="single" w:sz="8" w:color="auto"/>
            </w:tcBorders>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20" w:type="dxa"/>
            <w:vAlign w:val="bottom"/>
            <w:tcBorders>
              <w:top w:val="single" w:sz="8" w:color="auto"/>
            </w:tcBorders>
            <w:shd w:val="clear" w:color="auto" w:fill="CCECFF"/>
          </w:tcPr>
          <w:p>
            <w:pPr>
              <w:spacing w:after="0"/>
              <w:rPr>
                <w:sz w:val="17"/>
                <w:szCs w:val="17"/>
                <w:color w:val="auto"/>
              </w:rPr>
            </w:pPr>
          </w:p>
        </w:tc>
        <w:tc>
          <w:tcPr>
            <w:tcW w:w="118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CFF"/>
          </w:tcPr>
          <w:p>
            <w:pPr>
              <w:ind w:left="20"/>
              <w:spacing w:after="0"/>
              <w:rPr>
                <w:sz w:val="20"/>
                <w:szCs w:val="20"/>
                <w:color w:val="auto"/>
              </w:rPr>
            </w:pPr>
            <w:r>
              <w:rPr>
                <w:rFonts w:ascii="Arial" w:cs="Arial" w:eastAsia="Arial" w:hAnsi="Arial"/>
                <w:sz w:val="16"/>
                <w:szCs w:val="16"/>
                <w:b w:val="1"/>
                <w:bCs w:val="1"/>
                <w:color w:val="auto"/>
              </w:rPr>
              <w:t>Balance as of January 1, 2022</w:t>
            </w: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9</w:t>
            </w:r>
          </w:p>
        </w:tc>
        <w:tc>
          <w:tcPr>
            <w:tcW w:w="340" w:type="dxa"/>
            <w:vAlign w:val="bottom"/>
            <w:shd w:val="clear" w:color="auto" w:fill="CCECFF"/>
          </w:tcPr>
          <w:p>
            <w:pPr>
              <w:spacing w:after="0"/>
              <w:rPr>
                <w:sz w:val="19"/>
                <w:szCs w:val="19"/>
                <w:color w:val="auto"/>
              </w:rPr>
            </w:pPr>
          </w:p>
        </w:tc>
        <w:tc>
          <w:tcPr>
            <w:tcW w:w="360" w:type="dxa"/>
            <w:vAlign w:val="bottom"/>
            <w:shd w:val="clear" w:color="auto" w:fill="CCEC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3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252</w:t>
            </w:r>
          </w:p>
        </w:tc>
        <w:tc>
          <w:tcPr>
            <w:tcW w:w="360" w:type="dxa"/>
            <w:vAlign w:val="bottom"/>
            <w:shd w:val="clear" w:color="auto" w:fill="CCECFF"/>
          </w:tcPr>
          <w:p>
            <w:pPr>
              <w:spacing w:after="0"/>
              <w:rPr>
                <w:sz w:val="19"/>
                <w:szCs w:val="19"/>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425,438</w:t>
            </w:r>
          </w:p>
        </w:tc>
        <w:tc>
          <w:tcPr>
            <w:tcW w:w="340" w:type="dxa"/>
            <w:vAlign w:val="bottom"/>
            <w:shd w:val="clear" w:color="auto" w:fill="CCECFF"/>
          </w:tcPr>
          <w:p>
            <w:pPr>
              <w:spacing w:after="0"/>
              <w:rPr>
                <w:sz w:val="19"/>
                <w:szCs w:val="19"/>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CFF"/>
          </w:tcPr>
          <w:p>
            <w:pPr>
              <w:jc w:val="right"/>
              <w:ind w:right="220"/>
              <w:spacing w:after="0"/>
              <w:rPr>
                <w:sz w:val="20"/>
                <w:szCs w:val="20"/>
                <w:color w:val="auto"/>
              </w:rPr>
            </w:pPr>
            <w:r>
              <w:rPr>
                <w:rFonts w:ascii="Arial" w:cs="Arial" w:eastAsia="Arial" w:hAnsi="Arial"/>
                <w:sz w:val="16"/>
                <w:szCs w:val="16"/>
                <w:b w:val="1"/>
                <w:bCs w:val="1"/>
                <w:color w:val="auto"/>
              </w:rPr>
              <w:t>(72,156 )</w:t>
            </w:r>
          </w:p>
        </w:tc>
        <w:tc>
          <w:tcPr>
            <w:tcW w:w="1160" w:type="dxa"/>
            <w:vAlign w:val="bottom"/>
            <w:gridSpan w:val="2"/>
            <w:shd w:val="clear" w:color="auto" w:fill="CCECFF"/>
          </w:tcPr>
          <w:p>
            <w:pPr>
              <w:jc w:val="right"/>
              <w:ind w:right="260"/>
              <w:spacing w:after="0"/>
              <w:rPr>
                <w:sz w:val="20"/>
                <w:szCs w:val="20"/>
                <w:color w:val="auto"/>
              </w:rPr>
            </w:pPr>
            <w:r>
              <w:rPr>
                <w:rFonts w:ascii="Arial" w:cs="Arial" w:eastAsia="Arial" w:hAnsi="Arial"/>
                <w:sz w:val="16"/>
                <w:szCs w:val="16"/>
                <w:b w:val="1"/>
                <w:bCs w:val="1"/>
                <w:color w:val="auto"/>
              </w:rPr>
              <w:t>(2,852,259 )</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6"/>
                <w:szCs w:val="16"/>
                <w:b w:val="1"/>
                <w:bCs w:val="1"/>
                <w:color w:val="auto"/>
              </w:rPr>
              <w:t>(3 )</w:t>
            </w:r>
          </w:p>
        </w:tc>
        <w:tc>
          <w:tcPr>
            <w:tcW w:w="12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353,531</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tcPr>
          <w:p>
            <w:pPr>
              <w:ind w:left="120"/>
              <w:spacing w:after="0"/>
              <w:rPr>
                <w:sz w:val="20"/>
                <w:szCs w:val="20"/>
                <w:color w:val="auto"/>
              </w:rPr>
            </w:pPr>
            <w:r>
              <w:rPr>
                <w:rFonts w:ascii="Arial" w:cs="Arial" w:eastAsia="Arial" w:hAnsi="Arial"/>
                <w:sz w:val="16"/>
                <w:szCs w:val="16"/>
                <w:color w:val="auto"/>
              </w:rPr>
              <w:t>Delivery of common stock underlying</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20"/>
              <w:spacing w:after="0"/>
              <w:rPr>
                <w:sz w:val="20"/>
                <w:szCs w:val="20"/>
                <w:color w:val="auto"/>
              </w:rPr>
            </w:pPr>
            <w:r>
              <w:rPr>
                <w:rFonts w:ascii="Arial" w:cs="Arial" w:eastAsia="Arial" w:hAnsi="Arial"/>
                <w:sz w:val="16"/>
                <w:szCs w:val="16"/>
                <w:color w:val="auto"/>
                <w:w w:val="89"/>
              </w:rPr>
              <w:t>restricted stock units, net of shares settled</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6"/>
                <w:szCs w:val="16"/>
                <w:color w:val="auto"/>
              </w:rPr>
              <w:t>for tax withholding settlement</w:t>
            </w:r>
          </w:p>
        </w:tc>
        <w:tc>
          <w:tcPr>
            <w:tcW w:w="920" w:type="dxa"/>
            <w:vAlign w:val="bottom"/>
          </w:tcPr>
          <w:p>
            <w:pPr>
              <w:jc w:val="right"/>
              <w:spacing w:after="0"/>
              <w:rPr>
                <w:sz w:val="20"/>
                <w:szCs w:val="20"/>
                <w:color w:val="auto"/>
              </w:rPr>
            </w:pPr>
            <w:r>
              <w:rPr>
                <w:rFonts w:ascii="Arial" w:cs="Arial" w:eastAsia="Arial" w:hAnsi="Arial"/>
                <w:sz w:val="16"/>
                <w:szCs w:val="16"/>
                <w:color w:val="auto"/>
              </w:rPr>
              <w:t>1,802,123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(3,078 )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(672,424 )</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(3,077 )</w:t>
            </w:r>
          </w:p>
        </w:tc>
        <w:tc>
          <w:tcPr>
            <w:tcW w:w="0" w:type="dxa"/>
            <w:vAlign w:val="bottom"/>
          </w:tcPr>
          <w:p>
            <w:pPr>
              <w:spacing w:after="0"/>
              <w:rPr>
                <w:sz w:val="1"/>
                <w:szCs w:val="1"/>
                <w:color w:val="auto"/>
              </w:rPr>
            </w:pPr>
          </w:p>
        </w:tc>
      </w:tr>
      <w:tr>
        <w:trPr>
          <w:trHeight w:val="239"/>
        </w:trPr>
        <w:tc>
          <w:tcPr>
            <w:tcW w:w="2820" w:type="dxa"/>
            <w:vAlign w:val="bottom"/>
            <w:shd w:val="clear" w:color="auto" w:fill="CCECFF"/>
          </w:tcPr>
          <w:p>
            <w:pPr>
              <w:ind w:left="120"/>
              <w:spacing w:after="0"/>
              <w:rPr>
                <w:sz w:val="20"/>
                <w:szCs w:val="20"/>
                <w:color w:val="auto"/>
              </w:rPr>
            </w:pPr>
            <w:r>
              <w:rPr>
                <w:rFonts w:ascii="Arial" w:cs="Arial" w:eastAsia="Arial" w:hAnsi="Arial"/>
                <w:sz w:val="16"/>
                <w:szCs w:val="16"/>
                <w:color w:val="auto"/>
              </w:rPr>
              <w:t>Warrants exercised</w:t>
            </w: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20</w:t>
            </w:r>
          </w:p>
        </w:tc>
        <w:tc>
          <w:tcPr>
            <w:tcW w:w="34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120"/>
              <w:spacing w:after="0"/>
              <w:rPr>
                <w:sz w:val="20"/>
                <w:szCs w:val="20"/>
                <w:color w:val="auto"/>
              </w:rPr>
            </w:pPr>
            <w:r>
              <w:rPr>
                <w:rFonts w:ascii="Arial" w:cs="Arial" w:eastAsia="Arial" w:hAnsi="Arial"/>
                <w:sz w:val="16"/>
                <w:szCs w:val="16"/>
                <w:color w:val="auto"/>
              </w:rPr>
              <w:t>Common stock cancelled</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(2,890,173 )</w:t>
            </w:r>
          </w:p>
        </w:tc>
        <w:tc>
          <w:tcPr>
            <w:tcW w:w="36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(9,997 )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39"/>
        </w:trPr>
        <w:tc>
          <w:tcPr>
            <w:tcW w:w="2820" w:type="dxa"/>
            <w:vAlign w:val="bottom"/>
            <w:shd w:val="clear" w:color="auto" w:fill="CCECFF"/>
          </w:tcPr>
          <w:p>
            <w:pPr>
              <w:ind w:left="120"/>
              <w:spacing w:after="0"/>
              <w:rPr>
                <w:sz w:val="20"/>
                <w:szCs w:val="20"/>
                <w:color w:val="auto"/>
              </w:rPr>
            </w:pPr>
            <w:r>
              <w:rPr>
                <w:rFonts w:ascii="Arial" w:cs="Arial" w:eastAsia="Arial" w:hAnsi="Arial"/>
                <w:sz w:val="16"/>
                <w:szCs w:val="16"/>
                <w:color w:val="auto"/>
              </w:rPr>
              <w:t>Share-based compensation</w:t>
            </w: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30,072</w:t>
            </w:r>
          </w:p>
        </w:tc>
        <w:tc>
          <w:tcPr>
            <w:tcW w:w="3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30,072</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12,574</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820" w:type="dxa"/>
            <w:vAlign w:val="bottom"/>
            <w:shd w:val="clear" w:color="auto" w:fill="CCECFF"/>
          </w:tcPr>
          <w:p>
            <w:pPr>
              <w:spacing w:after="0"/>
              <w:rPr>
                <w:sz w:val="17"/>
                <w:szCs w:val="17"/>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251,043,64</w:t>
            </w:r>
          </w:p>
        </w:tc>
        <w:tc>
          <w:tcPr>
            <w:tcW w:w="34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86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820" w:type="dxa"/>
            <w:vAlign w:val="bottom"/>
            <w:shd w:val="clear" w:color="auto" w:fill="CCECFF"/>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9</w:t>
            </w:r>
          </w:p>
        </w:tc>
        <w:tc>
          <w:tcPr>
            <w:tcW w:w="340" w:type="dxa"/>
            <w:vAlign w:val="bottom"/>
            <w:shd w:val="clear" w:color="auto" w:fill="CCECFF"/>
          </w:tcPr>
          <w:p>
            <w:pPr>
              <w:spacing w:after="0"/>
              <w:rPr>
                <w:sz w:val="21"/>
                <w:szCs w:val="21"/>
                <w:color w:val="auto"/>
              </w:rPr>
            </w:pPr>
          </w:p>
        </w:tc>
        <w:tc>
          <w:tcPr>
            <w:tcW w:w="360" w:type="dxa"/>
            <w:vAlign w:val="bottom"/>
            <w:shd w:val="clear" w:color="auto" w:fill="CCEC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3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251</w:t>
            </w:r>
          </w:p>
        </w:tc>
        <w:tc>
          <w:tcPr>
            <w:tcW w:w="360" w:type="dxa"/>
            <w:vAlign w:val="bottom"/>
            <w:shd w:val="clear" w:color="auto" w:fill="CCECFF"/>
          </w:tcPr>
          <w:p>
            <w:pPr>
              <w:spacing w:after="0"/>
              <w:rPr>
                <w:sz w:val="21"/>
                <w:szCs w:val="2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442,435</w:t>
            </w:r>
          </w:p>
        </w:tc>
        <w:tc>
          <w:tcPr>
            <w:tcW w:w="340" w:type="dxa"/>
            <w:vAlign w:val="bottom"/>
            <w:shd w:val="clear" w:color="auto" w:fill="CCECFF"/>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CFF"/>
          </w:tcPr>
          <w:p>
            <w:pPr>
              <w:jc w:val="right"/>
              <w:ind w:right="220"/>
              <w:spacing w:after="0"/>
              <w:rPr>
                <w:sz w:val="20"/>
                <w:szCs w:val="20"/>
                <w:color w:val="auto"/>
              </w:rPr>
            </w:pPr>
            <w:r>
              <w:rPr>
                <w:rFonts w:ascii="Arial" w:cs="Arial" w:eastAsia="Arial" w:hAnsi="Arial"/>
                <w:sz w:val="16"/>
                <w:szCs w:val="16"/>
                <w:b w:val="1"/>
                <w:bCs w:val="1"/>
                <w:color w:val="auto"/>
              </w:rPr>
              <w:t>(59,582 )</w:t>
            </w:r>
          </w:p>
        </w:tc>
        <w:tc>
          <w:tcPr>
            <w:tcW w:w="1160" w:type="dxa"/>
            <w:vAlign w:val="bottom"/>
            <w:gridSpan w:val="2"/>
            <w:shd w:val="clear" w:color="auto" w:fill="CCECFF"/>
          </w:tcPr>
          <w:p>
            <w:pPr>
              <w:jc w:val="right"/>
              <w:ind w:right="260"/>
              <w:spacing w:after="0"/>
              <w:rPr>
                <w:sz w:val="20"/>
                <w:szCs w:val="20"/>
                <w:color w:val="auto"/>
              </w:rPr>
            </w:pPr>
            <w:r>
              <w:rPr>
                <w:rFonts w:ascii="Arial" w:cs="Arial" w:eastAsia="Arial" w:hAnsi="Arial"/>
                <w:sz w:val="16"/>
                <w:szCs w:val="16"/>
                <w:b w:val="1"/>
                <w:bCs w:val="1"/>
                <w:color w:val="auto"/>
              </w:rPr>
              <w:t>(3,524,683 )</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6"/>
                <w:szCs w:val="16"/>
                <w:b w:val="1"/>
                <w:bCs w:val="1"/>
                <w:color w:val="auto"/>
              </w:rPr>
              <w:t>(4 )</w:t>
            </w:r>
          </w:p>
        </w:tc>
        <w:tc>
          <w:tcPr>
            <w:tcW w:w="12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383,100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CFF"/>
            </w:tcBorders>
            <w:shd w:val="clear" w:color="auto" w:fill="CCEC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-24765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-7620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-24765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5"/>
                <w:szCs w:val="15"/>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420" w:type="dxa"/>
            <w:vAlign w:val="bottom"/>
          </w:tcPr>
          <w:p>
            <w:pPr>
              <w:spacing w:after="0"/>
              <w:rPr>
                <w:sz w:val="15"/>
                <w:szCs w:val="15"/>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2023</w:t>
            </w:r>
          </w:p>
        </w:tc>
        <w:tc>
          <w:tcPr>
            <w:tcW w:w="6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420" w:type="dxa"/>
            <w:vAlign w:val="bottom"/>
            <w:shd w:val="clear" w:color="auto" w:fill="CCECFF"/>
          </w:tcPr>
          <w:p>
            <w:pPr>
              <w:ind w:left="60"/>
              <w:spacing w:after="0"/>
              <w:rPr>
                <w:sz w:val="20"/>
                <w:szCs w:val="20"/>
                <w:color w:val="auto"/>
              </w:rPr>
            </w:pPr>
            <w:r>
              <w:rPr>
                <w:rFonts w:ascii="Arial" w:cs="Arial" w:eastAsia="Arial" w:hAnsi="Arial"/>
                <w:sz w:val="15"/>
                <w:szCs w:val="15"/>
                <w:b w:val="1"/>
                <w:bCs w:val="1"/>
                <w:color w:val="auto"/>
              </w:rPr>
              <w:t>Cash flows from operating activities</w:t>
            </w:r>
          </w:p>
        </w:tc>
        <w:tc>
          <w:tcPr>
            <w:tcW w:w="108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89"/>
        </w:trPr>
        <w:tc>
          <w:tcPr>
            <w:tcW w:w="7420" w:type="dxa"/>
            <w:vAlign w:val="bottom"/>
          </w:tcPr>
          <w:p>
            <w:pPr>
              <w:ind w:left="60"/>
              <w:spacing w:after="0"/>
              <w:rPr>
                <w:sz w:val="20"/>
                <w:szCs w:val="20"/>
                <w:color w:val="auto"/>
              </w:rPr>
            </w:pPr>
            <w:r>
              <w:rPr>
                <w:rFonts w:ascii="Arial" w:cs="Arial" w:eastAsia="Arial" w:hAnsi="Arial"/>
                <w:sz w:val="15"/>
                <w:szCs w:val="15"/>
                <w:color w:val="auto"/>
              </w:rPr>
              <w:t>Net (loss) income</w:t>
            </w:r>
          </w:p>
        </w:tc>
        <w:tc>
          <w:tcPr>
            <w:tcW w:w="1080" w:type="dxa"/>
            <w:vAlign w:val="bottom"/>
          </w:tcPr>
          <w:p>
            <w:pPr>
              <w:jc w:val="right"/>
              <w:ind w:right="9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(37,013 )</w:t>
            </w:r>
          </w:p>
        </w:tc>
        <w:tc>
          <w:tcPr>
            <w:tcW w:w="1040" w:type="dxa"/>
            <w:vAlign w:val="bottom"/>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12,574</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60"/>
              <w:spacing w:after="0"/>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1080" w:type="dxa"/>
            <w:vAlign w:val="bottom"/>
            <w:shd w:val="clear" w:color="auto" w:fill="CCECFF"/>
          </w:tcPr>
          <w:p>
            <w:pPr>
              <w:spacing w:after="0"/>
              <w:rPr>
                <w:sz w:val="16"/>
                <w:szCs w:val="16"/>
                <w:color w:val="auto"/>
              </w:rPr>
            </w:pPr>
          </w:p>
        </w:tc>
        <w:tc>
          <w:tcPr>
            <w:tcW w:w="60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240"/>
              <w:spacing w:after="0"/>
              <w:rPr>
                <w:sz w:val="20"/>
                <w:szCs w:val="20"/>
                <w:color w:val="auto"/>
              </w:rPr>
            </w:pPr>
            <w:r>
              <w:rPr>
                <w:rFonts w:ascii="Arial" w:cs="Arial" w:eastAsia="Arial" w:hAnsi="Arial"/>
                <w:sz w:val="15"/>
                <w:szCs w:val="15"/>
                <w:color w:val="auto"/>
              </w:rPr>
              <w:t>Depreciation</w:t>
            </w: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42,284</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240"/>
              <w:spacing w:after="0"/>
              <w:rPr>
                <w:sz w:val="20"/>
                <w:szCs w:val="20"/>
                <w:color w:val="auto"/>
              </w:rPr>
            </w:pPr>
            <w:r>
              <w:rPr>
                <w:rFonts w:ascii="Arial" w:cs="Arial" w:eastAsia="Arial" w:hAnsi="Arial"/>
                <w:sz w:val="15"/>
                <w:szCs w:val="15"/>
                <w:color w:val="auto"/>
              </w:rPr>
              <w:t>Amortization of operating right-of-use asset</w:t>
            </w:r>
          </w:p>
        </w:tc>
        <w:tc>
          <w:tcPr>
            <w:tcW w:w="10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688</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556</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240"/>
              <w:spacing w:after="0"/>
              <w:rPr>
                <w:sz w:val="20"/>
                <w:szCs w:val="20"/>
                <w:color w:val="auto"/>
              </w:rPr>
            </w:pPr>
            <w:r>
              <w:rPr>
                <w:rFonts w:ascii="Arial" w:cs="Arial" w:eastAsia="Arial" w:hAnsi="Arial"/>
                <w:sz w:val="15"/>
                <w:szCs w:val="15"/>
                <w:color w:val="auto"/>
              </w:rPr>
              <w:t>Share-based compensation</w:t>
            </w: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28,687</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30,072</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240"/>
              <w:spacing w:after="0"/>
              <w:rPr>
                <w:sz w:val="20"/>
                <w:szCs w:val="20"/>
                <w:color w:val="auto"/>
              </w:rPr>
            </w:pPr>
            <w:r>
              <w:rPr>
                <w:rFonts w:ascii="Arial" w:cs="Arial" w:eastAsia="Arial" w:hAnsi="Arial"/>
                <w:sz w:val="15"/>
                <w:szCs w:val="15"/>
                <w:color w:val="auto"/>
              </w:rPr>
              <w:t>Equity in losses of equity investees</w:t>
            </w:r>
          </w:p>
        </w:tc>
        <w:tc>
          <w:tcPr>
            <w:tcW w:w="10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4,179</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20,577</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240"/>
              <w:spacing w:after="0"/>
              <w:rPr>
                <w:sz w:val="20"/>
                <w:szCs w:val="20"/>
                <w:color w:val="auto"/>
              </w:rPr>
            </w:pPr>
            <w:r>
              <w:rPr>
                <w:rFonts w:ascii="Arial" w:cs="Arial" w:eastAsia="Arial" w:hAnsi="Arial"/>
                <w:sz w:val="15"/>
                <w:szCs w:val="15"/>
                <w:color w:val="auto"/>
              </w:rPr>
              <w:t>Impairment of bitcoin</w:t>
            </w: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8,076</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859</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240"/>
              <w:spacing w:after="0"/>
              <w:rPr>
                <w:sz w:val="20"/>
                <w:szCs w:val="20"/>
                <w:color w:val="auto"/>
              </w:rPr>
            </w:pPr>
            <w:r>
              <w:rPr>
                <w:rFonts w:ascii="Arial" w:cs="Arial" w:eastAsia="Arial" w:hAnsi="Arial"/>
                <w:sz w:val="15"/>
                <w:szCs w:val="15"/>
                <w:color w:val="auto"/>
              </w:rPr>
              <w:t>Non-cash lease expense</w:t>
            </w:r>
          </w:p>
        </w:tc>
        <w:tc>
          <w:tcPr>
            <w:tcW w:w="10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1,477</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240"/>
              <w:spacing w:after="0"/>
              <w:rPr>
                <w:sz w:val="20"/>
                <w:szCs w:val="20"/>
                <w:color w:val="auto"/>
              </w:rPr>
            </w:pPr>
            <w:r>
              <w:rPr>
                <w:rFonts w:ascii="Arial" w:cs="Arial" w:eastAsia="Arial" w:hAnsi="Arial"/>
                <w:sz w:val="15"/>
                <w:szCs w:val="15"/>
                <w:color w:val="auto"/>
              </w:rPr>
              <w:t>Deferred income taxes</w:t>
            </w:r>
          </w:p>
        </w:tc>
        <w:tc>
          <w:tcPr>
            <w:tcW w:w="108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(555 )</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240"/>
              <w:spacing w:after="0"/>
              <w:rPr>
                <w:sz w:val="20"/>
                <w:szCs w:val="20"/>
                <w:color w:val="auto"/>
              </w:rPr>
            </w:pPr>
            <w:r>
              <w:rPr>
                <w:rFonts w:ascii="Arial" w:cs="Arial" w:eastAsia="Arial" w:hAnsi="Arial"/>
                <w:sz w:val="15"/>
                <w:szCs w:val="15"/>
                <w:color w:val="auto"/>
              </w:rPr>
              <w:t>Bitcoin received as payment for services</w:t>
            </w:r>
          </w:p>
        </w:tc>
        <w:tc>
          <w:tcPr>
            <w:tcW w:w="108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5"/>
                <w:szCs w:val="15"/>
                <w:color w:val="auto"/>
              </w:rPr>
              <w:t>(83,161 )</w:t>
            </w: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240"/>
              <w:spacing w:after="0"/>
              <w:rPr>
                <w:sz w:val="20"/>
                <w:szCs w:val="20"/>
                <w:color w:val="auto"/>
              </w:rPr>
            </w:pPr>
            <w:r>
              <w:rPr>
                <w:rFonts w:ascii="Arial" w:cs="Arial" w:eastAsia="Arial" w:hAnsi="Arial"/>
                <w:sz w:val="15"/>
                <w:szCs w:val="15"/>
                <w:color w:val="auto"/>
              </w:rPr>
              <w:t>Change in fair value of derivative asset</w:t>
            </w:r>
          </w:p>
        </w:tc>
        <w:tc>
          <w:tcPr>
            <w:tcW w:w="108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(13,294 )</w:t>
            </w:r>
          </w:p>
        </w:tc>
        <w:tc>
          <w:tcPr>
            <w:tcW w:w="10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(85,658 )</w:t>
            </w:r>
          </w:p>
        </w:tc>
      </w:tr>
      <w:tr>
        <w:trPr>
          <w:trHeight w:val="189"/>
        </w:trPr>
        <w:tc>
          <w:tcPr>
            <w:tcW w:w="7420" w:type="dxa"/>
            <w:vAlign w:val="bottom"/>
            <w:shd w:val="clear" w:color="auto" w:fill="CCECFF"/>
          </w:tcPr>
          <w:p>
            <w:pPr>
              <w:ind w:left="240"/>
              <w:spacing w:after="0"/>
              <w:rPr>
                <w:sz w:val="20"/>
                <w:szCs w:val="20"/>
                <w:color w:val="auto"/>
              </w:rPr>
            </w:pPr>
            <w:r>
              <w:rPr>
                <w:rFonts w:ascii="Arial" w:cs="Arial" w:eastAsia="Arial" w:hAnsi="Arial"/>
                <w:sz w:val="15"/>
                <w:szCs w:val="15"/>
                <w:color w:val="auto"/>
              </w:rPr>
              <w:t>Change in fair value of warrant liability</w:t>
            </w:r>
          </w:p>
        </w:tc>
        <w:tc>
          <w:tcPr>
            <w:tcW w:w="10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49</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72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(115 )</w:t>
            </w:r>
          </w:p>
        </w:tc>
      </w:tr>
      <w:tr>
        <w:trPr>
          <w:trHeight w:val="189"/>
        </w:trPr>
        <w:tc>
          <w:tcPr>
            <w:tcW w:w="7420" w:type="dxa"/>
            <w:vAlign w:val="bottom"/>
          </w:tcPr>
          <w:p>
            <w:pPr>
              <w:ind w:left="240"/>
              <w:spacing w:after="0"/>
              <w:rPr>
                <w:sz w:val="20"/>
                <w:szCs w:val="20"/>
                <w:color w:val="auto"/>
              </w:rPr>
            </w:pPr>
            <w:r>
              <w:rPr>
                <w:rFonts w:ascii="Arial" w:cs="Arial" w:eastAsia="Arial" w:hAnsi="Arial"/>
                <w:sz w:val="15"/>
                <w:szCs w:val="15"/>
                <w:color w:val="auto"/>
              </w:rPr>
              <w:t>Realized gain on sale of bitcoin</w:t>
            </w:r>
          </w:p>
        </w:tc>
        <w:tc>
          <w:tcPr>
            <w:tcW w:w="108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(10,711 )</w:t>
            </w:r>
          </w:p>
        </w:tc>
        <w:tc>
          <w:tcPr>
            <w:tcW w:w="10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(6 )</w:t>
            </w:r>
          </w:p>
        </w:tc>
      </w:tr>
      <w:tr>
        <w:trPr>
          <w:trHeight w:val="189"/>
        </w:trPr>
        <w:tc>
          <w:tcPr>
            <w:tcW w:w="7420" w:type="dxa"/>
            <w:vAlign w:val="bottom"/>
            <w:shd w:val="clear" w:color="auto" w:fill="CCECFF"/>
          </w:tcPr>
          <w:p>
            <w:pPr>
              <w:ind w:left="240"/>
              <w:spacing w:after="0"/>
              <w:rPr>
                <w:sz w:val="20"/>
                <w:szCs w:val="20"/>
                <w:color w:val="auto"/>
              </w:rPr>
            </w:pPr>
            <w:r>
              <w:rPr>
                <w:rFonts w:ascii="Arial" w:cs="Arial" w:eastAsia="Arial" w:hAnsi="Arial"/>
                <w:sz w:val="15"/>
                <w:szCs w:val="15"/>
                <w:color w:val="auto"/>
              </w:rPr>
              <w:t>Changes in assets and liabilities:</w:t>
            </w:r>
          </w:p>
        </w:tc>
        <w:tc>
          <w:tcPr>
            <w:tcW w:w="1080" w:type="dxa"/>
            <w:vAlign w:val="bottom"/>
            <w:shd w:val="clear" w:color="auto" w:fill="CCECFF"/>
          </w:tcPr>
          <w:p>
            <w:pPr>
              <w:spacing w:after="0"/>
              <w:rPr>
                <w:sz w:val="16"/>
                <w:szCs w:val="16"/>
                <w:color w:val="auto"/>
              </w:rPr>
            </w:pPr>
          </w:p>
        </w:tc>
        <w:tc>
          <w:tcPr>
            <w:tcW w:w="60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420"/>
              <w:spacing w:after="0"/>
              <w:rPr>
                <w:sz w:val="20"/>
                <w:szCs w:val="20"/>
                <w:color w:val="auto"/>
              </w:rPr>
            </w:pPr>
            <w:r>
              <w:rPr>
                <w:rFonts w:ascii="Arial" w:cs="Arial" w:eastAsia="Arial" w:hAnsi="Arial"/>
                <w:sz w:val="15"/>
                <w:szCs w:val="15"/>
                <w:color w:val="auto"/>
              </w:rPr>
              <w:t>Proceeds from sale of bitcoin</w:t>
            </w: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78,729</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420"/>
              <w:spacing w:after="0"/>
              <w:rPr>
                <w:sz w:val="20"/>
                <w:szCs w:val="20"/>
                <w:color w:val="auto"/>
              </w:rPr>
            </w:pPr>
            <w:r>
              <w:rPr>
                <w:rFonts w:ascii="Arial" w:cs="Arial" w:eastAsia="Arial" w:hAnsi="Arial"/>
                <w:sz w:val="15"/>
                <w:szCs w:val="15"/>
                <w:color w:val="auto"/>
              </w:rPr>
              <w:t>Proceeds from power sales</w:t>
            </w:r>
          </w:p>
        </w:tc>
        <w:tc>
          <w:tcPr>
            <w:tcW w:w="10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1,722</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420"/>
              <w:spacing w:after="0"/>
              <w:rPr>
                <w:sz w:val="20"/>
                <w:szCs w:val="20"/>
                <w:color w:val="auto"/>
              </w:rPr>
            </w:pPr>
            <w:r>
              <w:rPr>
                <w:rFonts w:ascii="Arial" w:cs="Arial" w:eastAsia="Arial" w:hAnsi="Arial"/>
                <w:sz w:val="15"/>
                <w:szCs w:val="15"/>
                <w:color w:val="auto"/>
              </w:rPr>
              <w:t>Proceeds from reduction of scheduled power</w:t>
            </w: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5,056</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420"/>
              <w:spacing w:after="0"/>
              <w:rPr>
                <w:sz w:val="20"/>
                <w:szCs w:val="20"/>
                <w:color w:val="auto"/>
              </w:rPr>
            </w:pPr>
            <w:r>
              <w:rPr>
                <w:rFonts w:ascii="Arial" w:cs="Arial" w:eastAsia="Arial" w:hAnsi="Arial"/>
                <w:sz w:val="15"/>
                <w:szCs w:val="15"/>
                <w:color w:val="auto"/>
              </w:rPr>
              <w:t>Accounts receivable</w:t>
            </w:r>
          </w:p>
        </w:tc>
        <w:tc>
          <w:tcPr>
            <w:tcW w:w="108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5"/>
                <w:szCs w:val="15"/>
                <w:color w:val="auto"/>
              </w:rPr>
              <w:t>(262 )</w:t>
            </w: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420"/>
              <w:spacing w:after="0"/>
              <w:rPr>
                <w:sz w:val="20"/>
                <w:szCs w:val="20"/>
                <w:color w:val="auto"/>
              </w:rPr>
            </w:pPr>
            <w:r>
              <w:rPr>
                <w:rFonts w:ascii="Arial" w:cs="Arial" w:eastAsia="Arial" w:hAnsi="Arial"/>
                <w:sz w:val="15"/>
                <w:szCs w:val="15"/>
                <w:color w:val="auto"/>
              </w:rPr>
              <w:t>Receivables, related party</w:t>
            </w:r>
          </w:p>
        </w:tc>
        <w:tc>
          <w:tcPr>
            <w:tcW w:w="108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(958 )</w:t>
            </w:r>
          </w:p>
        </w:tc>
        <w:tc>
          <w:tcPr>
            <w:tcW w:w="10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(731 )</w:t>
            </w:r>
          </w:p>
        </w:tc>
      </w:tr>
      <w:tr>
        <w:trPr>
          <w:trHeight w:val="189"/>
        </w:trPr>
        <w:tc>
          <w:tcPr>
            <w:tcW w:w="7420" w:type="dxa"/>
            <w:vAlign w:val="bottom"/>
            <w:shd w:val="clear" w:color="auto" w:fill="CCECFF"/>
          </w:tcPr>
          <w:p>
            <w:pPr>
              <w:ind w:left="420"/>
              <w:spacing w:after="0"/>
              <w:rPr>
                <w:sz w:val="20"/>
                <w:szCs w:val="20"/>
                <w:color w:val="auto"/>
              </w:rPr>
            </w:pPr>
            <w:r>
              <w:rPr>
                <w:rFonts w:ascii="Arial" w:cs="Arial" w:eastAsia="Arial" w:hAnsi="Arial"/>
                <w:sz w:val="15"/>
                <w:szCs w:val="15"/>
                <w:color w:val="auto"/>
              </w:rPr>
              <w:t>Prepaid expenses and other current assets</w:t>
            </w:r>
          </w:p>
        </w:tc>
        <w:tc>
          <w:tcPr>
            <w:tcW w:w="10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3,238</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5,412</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420"/>
              <w:spacing w:after="0"/>
              <w:rPr>
                <w:sz w:val="20"/>
                <w:szCs w:val="20"/>
                <w:color w:val="auto"/>
              </w:rPr>
            </w:pPr>
            <w:r>
              <w:rPr>
                <w:rFonts w:ascii="Arial" w:cs="Arial" w:eastAsia="Arial" w:hAnsi="Arial"/>
                <w:sz w:val="15"/>
                <w:szCs w:val="15"/>
                <w:color w:val="auto"/>
              </w:rPr>
              <w:t>Security deposits</w:t>
            </w: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144</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(1,103 )</w:t>
            </w:r>
          </w:p>
        </w:tc>
      </w:tr>
      <w:tr>
        <w:trPr>
          <w:trHeight w:val="189"/>
        </w:trPr>
        <w:tc>
          <w:tcPr>
            <w:tcW w:w="7420" w:type="dxa"/>
            <w:vAlign w:val="bottom"/>
            <w:shd w:val="clear" w:color="auto" w:fill="CCECFF"/>
          </w:tcPr>
          <w:p>
            <w:pPr>
              <w:ind w:left="420"/>
              <w:spacing w:after="0"/>
              <w:rPr>
                <w:sz w:val="20"/>
                <w:szCs w:val="20"/>
                <w:color w:val="auto"/>
              </w:rPr>
            </w:pPr>
            <w:r>
              <w:rPr>
                <w:rFonts w:ascii="Arial" w:cs="Arial" w:eastAsia="Arial" w:hAnsi="Arial"/>
                <w:sz w:val="15"/>
                <w:szCs w:val="15"/>
                <w:color w:val="auto"/>
              </w:rPr>
              <w:t>Accounts payable</w:t>
            </w:r>
          </w:p>
        </w:tc>
        <w:tc>
          <w:tcPr>
            <w:tcW w:w="10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2,366</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400</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420"/>
              <w:spacing w:after="0"/>
              <w:rPr>
                <w:sz w:val="20"/>
                <w:szCs w:val="20"/>
                <w:color w:val="auto"/>
              </w:rPr>
            </w:pPr>
            <w:r>
              <w:rPr>
                <w:rFonts w:ascii="Arial" w:cs="Arial" w:eastAsia="Arial" w:hAnsi="Arial"/>
                <w:sz w:val="15"/>
                <w:szCs w:val="15"/>
                <w:color w:val="auto"/>
              </w:rPr>
              <w:t>Accounts payable, related party</w:t>
            </w:r>
          </w:p>
        </w:tc>
        <w:tc>
          <w:tcPr>
            <w:tcW w:w="108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(1,529 )</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420"/>
              <w:spacing w:after="0"/>
              <w:rPr>
                <w:sz w:val="20"/>
                <w:szCs w:val="20"/>
                <w:color w:val="auto"/>
              </w:rPr>
            </w:pPr>
            <w:r>
              <w:rPr>
                <w:rFonts w:ascii="Arial" w:cs="Arial" w:eastAsia="Arial" w:hAnsi="Arial"/>
                <w:sz w:val="15"/>
                <w:szCs w:val="15"/>
                <w:color w:val="auto"/>
              </w:rPr>
              <w:t>Accrued expenses and other current liabilities</w:t>
            </w:r>
          </w:p>
        </w:tc>
        <w:tc>
          <w:tcPr>
            <w:tcW w:w="10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10,732</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1,408</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420"/>
              <w:spacing w:after="0"/>
              <w:rPr>
                <w:sz w:val="20"/>
                <w:szCs w:val="20"/>
                <w:color w:val="auto"/>
              </w:rPr>
            </w:pPr>
            <w:r>
              <w:rPr>
                <w:rFonts w:ascii="Arial" w:cs="Arial" w:eastAsia="Arial" w:hAnsi="Arial"/>
                <w:sz w:val="15"/>
                <w:szCs w:val="15"/>
                <w:color w:val="auto"/>
              </w:rPr>
              <w:t>Lease liabilities</w:t>
            </w:r>
          </w:p>
        </w:tc>
        <w:tc>
          <w:tcPr>
            <w:tcW w:w="108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(762 )</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6"/>
                <w:szCs w:val="16"/>
                <w:color w:val="auto"/>
              </w:rPr>
            </w:pPr>
          </w:p>
        </w:tc>
      </w:tr>
      <w:tr>
        <w:trPr>
          <w:trHeight w:val="20"/>
        </w:trPr>
        <w:tc>
          <w:tcPr>
            <w:tcW w:w="7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420" w:type="dxa"/>
            <w:vAlign w:val="bottom"/>
            <w:shd w:val="clear" w:color="auto" w:fill="CCECFF"/>
          </w:tcPr>
          <w:p>
            <w:pPr>
              <w:ind w:left="240"/>
              <w:spacing w:after="0"/>
              <w:rPr>
                <w:sz w:val="20"/>
                <w:szCs w:val="20"/>
                <w:color w:val="auto"/>
              </w:rPr>
            </w:pPr>
            <w:r>
              <w:rPr>
                <w:rFonts w:ascii="Arial" w:cs="Arial" w:eastAsia="Arial" w:hAnsi="Arial"/>
                <w:sz w:val="15"/>
                <w:szCs w:val="15"/>
                <w:color w:val="auto"/>
              </w:rPr>
              <w:t>Net cash provided by (used in) operating activities</w:t>
            </w:r>
          </w:p>
        </w:tc>
        <w:tc>
          <w:tcPr>
            <w:tcW w:w="10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32,404</w:t>
            </w:r>
          </w:p>
        </w:tc>
        <w:tc>
          <w:tcPr>
            <w:tcW w:w="38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72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(8,891 )</w:t>
            </w:r>
          </w:p>
        </w:tc>
      </w:tr>
      <w:tr>
        <w:trPr>
          <w:trHeight w:val="183"/>
        </w:trPr>
        <w:tc>
          <w:tcPr>
            <w:tcW w:w="7420" w:type="dxa"/>
            <w:vAlign w:val="bottom"/>
            <w:tcBorders>
              <w:top w:val="single" w:sz="8" w:color="CCECFF"/>
            </w:tcBorders>
          </w:tcPr>
          <w:p>
            <w:pPr>
              <w:ind w:left="60"/>
              <w:spacing w:after="0"/>
              <w:rPr>
                <w:sz w:val="20"/>
                <w:szCs w:val="20"/>
                <w:color w:val="auto"/>
              </w:rPr>
            </w:pPr>
            <w:r>
              <w:rPr>
                <w:rFonts w:ascii="Arial" w:cs="Arial" w:eastAsia="Arial" w:hAnsi="Arial"/>
                <w:sz w:val="15"/>
                <w:szCs w:val="15"/>
                <w:b w:val="1"/>
                <w:bCs w:val="1"/>
                <w:color w:val="auto"/>
              </w:rPr>
              <w:t>Cash flows from investing activities</w:t>
            </w:r>
          </w:p>
        </w:tc>
        <w:tc>
          <w:tcPr>
            <w:tcW w:w="10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80" w:type="dxa"/>
            <w:vAlign w:val="bottom"/>
            <w:tcBorders>
              <w:top w:val="single" w:sz="8" w:color="CCECFF"/>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CFF"/>
            </w:tcBorders>
          </w:tcPr>
          <w:p>
            <w:pPr>
              <w:spacing w:after="0"/>
              <w:rPr>
                <w:sz w:val="15"/>
                <w:szCs w:val="15"/>
                <w:color w:val="auto"/>
              </w:rPr>
            </w:pPr>
          </w:p>
        </w:tc>
      </w:tr>
      <w:tr>
        <w:trPr>
          <w:trHeight w:val="189"/>
        </w:trPr>
        <w:tc>
          <w:tcPr>
            <w:tcW w:w="7420" w:type="dxa"/>
            <w:vAlign w:val="bottom"/>
            <w:shd w:val="clear" w:color="auto" w:fill="CCECFF"/>
          </w:tcPr>
          <w:p>
            <w:pPr>
              <w:ind w:left="60"/>
              <w:spacing w:after="0"/>
              <w:rPr>
                <w:sz w:val="20"/>
                <w:szCs w:val="20"/>
                <w:color w:val="auto"/>
              </w:rPr>
            </w:pPr>
            <w:r>
              <w:rPr>
                <w:rFonts w:ascii="Arial" w:cs="Arial" w:eastAsia="Arial" w:hAnsi="Arial"/>
                <w:sz w:val="15"/>
                <w:szCs w:val="15"/>
                <w:color w:val="auto"/>
              </w:rPr>
              <w:t>Deposits on equipment</w:t>
            </w:r>
          </w:p>
        </w:tc>
        <w:tc>
          <w:tcPr>
            <w:tcW w:w="108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5"/>
                <w:szCs w:val="15"/>
                <w:color w:val="auto"/>
              </w:rPr>
              <w:t>(4,533 )</w:t>
            </w:r>
          </w:p>
        </w:tc>
        <w:tc>
          <w:tcPr>
            <w:tcW w:w="1040" w:type="dxa"/>
            <w:vAlign w:val="bottom"/>
            <w:shd w:val="clear" w:color="auto" w:fill="CCECFF"/>
          </w:tcPr>
          <w:p>
            <w:pPr>
              <w:spacing w:after="0"/>
              <w:rPr>
                <w:sz w:val="16"/>
                <w:szCs w:val="16"/>
                <w:color w:val="auto"/>
              </w:rPr>
            </w:pPr>
          </w:p>
        </w:tc>
        <w:tc>
          <w:tcPr>
            <w:tcW w:w="72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w w:val="96"/>
              </w:rPr>
              <w:t>(184,095 )</w:t>
            </w:r>
          </w:p>
        </w:tc>
      </w:tr>
      <w:tr>
        <w:trPr>
          <w:trHeight w:val="189"/>
        </w:trPr>
        <w:tc>
          <w:tcPr>
            <w:tcW w:w="7420" w:type="dxa"/>
            <w:vAlign w:val="bottom"/>
          </w:tcPr>
          <w:p>
            <w:pPr>
              <w:ind w:left="60"/>
              <w:spacing w:after="0"/>
              <w:rPr>
                <w:sz w:val="20"/>
                <w:szCs w:val="20"/>
                <w:color w:val="auto"/>
              </w:rPr>
            </w:pPr>
            <w:r>
              <w:rPr>
                <w:rFonts w:ascii="Arial" w:cs="Arial" w:eastAsia="Arial" w:hAnsi="Arial"/>
                <w:sz w:val="15"/>
                <w:szCs w:val="15"/>
                <w:color w:val="auto"/>
              </w:rPr>
              <w:t>Purchases of property and equipment</w:t>
            </w:r>
          </w:p>
        </w:tc>
        <w:tc>
          <w:tcPr>
            <w:tcW w:w="108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(32,980 )</w:t>
            </w:r>
          </w:p>
        </w:tc>
        <w:tc>
          <w:tcPr>
            <w:tcW w:w="10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(28,958 )</w:t>
            </w:r>
          </w:p>
        </w:tc>
      </w:tr>
      <w:tr>
        <w:trPr>
          <w:trHeight w:val="189"/>
        </w:trPr>
        <w:tc>
          <w:tcPr>
            <w:tcW w:w="7420" w:type="dxa"/>
            <w:vAlign w:val="bottom"/>
            <w:shd w:val="clear" w:color="auto" w:fill="CCECFF"/>
          </w:tcPr>
          <w:p>
            <w:pPr>
              <w:ind w:left="60"/>
              <w:spacing w:after="0"/>
              <w:rPr>
                <w:sz w:val="20"/>
                <w:szCs w:val="20"/>
                <w:color w:val="auto"/>
              </w:rPr>
            </w:pPr>
            <w:r>
              <w:rPr>
                <w:rFonts w:ascii="Arial" w:cs="Arial" w:eastAsia="Arial" w:hAnsi="Arial"/>
                <w:sz w:val="15"/>
                <w:szCs w:val="15"/>
                <w:color w:val="auto"/>
              </w:rPr>
              <w:t>Capital distributions from equity investees</w:t>
            </w:r>
          </w:p>
        </w:tc>
        <w:tc>
          <w:tcPr>
            <w:tcW w:w="10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3,807</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43,291</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60"/>
              <w:spacing w:after="0"/>
              <w:rPr>
                <w:sz w:val="20"/>
                <w:szCs w:val="20"/>
                <w:color w:val="auto"/>
              </w:rPr>
            </w:pPr>
            <w:r>
              <w:rPr>
                <w:rFonts w:ascii="Arial" w:cs="Arial" w:eastAsia="Arial" w:hAnsi="Arial"/>
                <w:sz w:val="15"/>
                <w:szCs w:val="15"/>
                <w:color w:val="auto"/>
              </w:rPr>
              <w:t>Investment in equity investees</w:t>
            </w:r>
          </w:p>
        </w:tc>
        <w:tc>
          <w:tcPr>
            <w:tcW w:w="108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(3,545 )</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60"/>
              <w:spacing w:after="0"/>
              <w:rPr>
                <w:sz w:val="20"/>
                <w:szCs w:val="20"/>
                <w:color w:val="auto"/>
              </w:rPr>
            </w:pPr>
            <w:r>
              <w:rPr>
                <w:rFonts w:ascii="Arial" w:cs="Arial" w:eastAsia="Arial" w:hAnsi="Arial"/>
                <w:sz w:val="15"/>
                <w:szCs w:val="15"/>
                <w:color w:val="auto"/>
              </w:rPr>
              <w:t>Prepayments on financing lease</w:t>
            </w:r>
          </w:p>
        </w:tc>
        <w:tc>
          <w:tcPr>
            <w:tcW w:w="108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5"/>
                <w:szCs w:val="15"/>
                <w:color w:val="auto"/>
              </w:rPr>
              <w:t>(3,676 )</w:t>
            </w: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CFF"/>
          </w:tcPr>
          <w:p>
            <w:pPr>
              <w:spacing w:after="0"/>
              <w:rPr>
                <w:sz w:val="16"/>
                <w:szCs w:val="16"/>
                <w:color w:val="auto"/>
              </w:rPr>
            </w:pPr>
          </w:p>
        </w:tc>
      </w:tr>
      <w:tr>
        <w:trPr>
          <w:trHeight w:val="20"/>
        </w:trPr>
        <w:tc>
          <w:tcPr>
            <w:tcW w:w="7420" w:type="dxa"/>
            <w:vAlign w:val="bottom"/>
            <w:shd w:val="clear" w:color="auto" w:fill="CCEC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83"/>
        </w:trPr>
        <w:tc>
          <w:tcPr>
            <w:tcW w:w="7420" w:type="dxa"/>
            <w:vAlign w:val="bottom"/>
          </w:tcPr>
          <w:p>
            <w:pPr>
              <w:ind w:left="240"/>
              <w:spacing w:after="0"/>
              <w:rPr>
                <w:sz w:val="20"/>
                <w:szCs w:val="20"/>
                <w:color w:val="auto"/>
              </w:rPr>
            </w:pPr>
            <w:r>
              <w:rPr>
                <w:rFonts w:ascii="Arial" w:cs="Arial" w:eastAsia="Arial" w:hAnsi="Arial"/>
                <w:sz w:val="15"/>
                <w:szCs w:val="15"/>
                <w:color w:val="auto"/>
              </w:rPr>
              <w:t>Net cash used in investing activities</w:t>
            </w:r>
          </w:p>
        </w:tc>
        <w:tc>
          <w:tcPr>
            <w:tcW w:w="108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(40,927 )</w:t>
            </w:r>
          </w:p>
        </w:tc>
        <w:tc>
          <w:tcPr>
            <w:tcW w:w="104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(169,762 )</w:t>
            </w:r>
          </w:p>
        </w:tc>
      </w:tr>
      <w:tr>
        <w:trPr>
          <w:trHeight w:val="183"/>
        </w:trPr>
        <w:tc>
          <w:tcPr>
            <w:tcW w:w="7420" w:type="dxa"/>
            <w:vAlign w:val="bottom"/>
            <w:shd w:val="clear" w:color="auto" w:fill="CCECFF"/>
          </w:tcPr>
          <w:p>
            <w:pPr>
              <w:ind w:left="60"/>
              <w:spacing w:after="0"/>
              <w:rPr>
                <w:sz w:val="20"/>
                <w:szCs w:val="20"/>
                <w:color w:val="auto"/>
              </w:rPr>
            </w:pPr>
            <w:r>
              <w:rPr>
                <w:rFonts w:ascii="Arial" w:cs="Arial" w:eastAsia="Arial" w:hAnsi="Arial"/>
                <w:sz w:val="15"/>
                <w:szCs w:val="15"/>
                <w:b w:val="1"/>
                <w:bCs w:val="1"/>
                <w:color w:val="auto"/>
              </w:rPr>
              <w:t>Cash flows from financing activities</w:t>
            </w:r>
          </w:p>
        </w:tc>
        <w:tc>
          <w:tcPr>
            <w:tcW w:w="1080" w:type="dxa"/>
            <w:vAlign w:val="bottom"/>
            <w:tcBorders>
              <w:top w:val="single" w:sz="8" w:color="auto"/>
            </w:tcBorders>
            <w:shd w:val="clear" w:color="auto" w:fill="CCECFF"/>
          </w:tcPr>
          <w:p>
            <w:pPr>
              <w:spacing w:after="0"/>
              <w:rPr>
                <w:sz w:val="15"/>
                <w:szCs w:val="15"/>
                <w:color w:val="auto"/>
              </w:rPr>
            </w:pPr>
          </w:p>
        </w:tc>
        <w:tc>
          <w:tcPr>
            <w:tcW w:w="600" w:type="dxa"/>
            <w:vAlign w:val="bottom"/>
            <w:tcBorders>
              <w:top w:val="single" w:sz="8" w:color="auto"/>
            </w:tcBorders>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040" w:type="dxa"/>
            <w:vAlign w:val="bottom"/>
            <w:tcBorders>
              <w:top w:val="single" w:sz="8" w:color="auto"/>
            </w:tcBorders>
            <w:shd w:val="clear" w:color="auto" w:fill="CCECFF"/>
          </w:tcPr>
          <w:p>
            <w:pPr>
              <w:spacing w:after="0"/>
              <w:rPr>
                <w:sz w:val="15"/>
                <w:szCs w:val="15"/>
                <w:color w:val="auto"/>
              </w:rPr>
            </w:pPr>
          </w:p>
        </w:tc>
        <w:tc>
          <w:tcPr>
            <w:tcW w:w="620" w:type="dxa"/>
            <w:vAlign w:val="bottom"/>
            <w:tcBorders>
              <w:top w:val="single" w:sz="8" w:color="auto"/>
            </w:tcBorders>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89"/>
        </w:trPr>
        <w:tc>
          <w:tcPr>
            <w:tcW w:w="7420" w:type="dxa"/>
            <w:vAlign w:val="bottom"/>
          </w:tcPr>
          <w:p>
            <w:pPr>
              <w:ind w:left="60"/>
              <w:spacing w:after="0"/>
              <w:rPr>
                <w:sz w:val="20"/>
                <w:szCs w:val="20"/>
                <w:color w:val="auto"/>
              </w:rPr>
            </w:pPr>
            <w:r>
              <w:rPr>
                <w:rFonts w:ascii="Arial" w:cs="Arial" w:eastAsia="Arial" w:hAnsi="Arial"/>
                <w:sz w:val="15"/>
                <w:szCs w:val="15"/>
                <w:color w:val="auto"/>
              </w:rPr>
              <w:t>Proceeds from the issuance of common stock</w:t>
            </w: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11,644</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60"/>
              <w:spacing w:after="0"/>
              <w:rPr>
                <w:sz w:val="20"/>
                <w:szCs w:val="20"/>
                <w:color w:val="auto"/>
              </w:rPr>
            </w:pPr>
            <w:r>
              <w:rPr>
                <w:rFonts w:ascii="Arial" w:cs="Arial" w:eastAsia="Arial" w:hAnsi="Arial"/>
                <w:sz w:val="15"/>
                <w:szCs w:val="15"/>
                <w:color w:val="auto"/>
              </w:rPr>
              <w:t>Offering costs paid for the issuance of common stock</w:t>
            </w:r>
          </w:p>
        </w:tc>
        <w:tc>
          <w:tcPr>
            <w:tcW w:w="108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5"/>
                <w:szCs w:val="15"/>
                <w:color w:val="auto"/>
              </w:rPr>
              <w:t>(298 )</w:t>
            </w: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60"/>
              <w:spacing w:after="0"/>
              <w:rPr>
                <w:sz w:val="20"/>
                <w:szCs w:val="20"/>
                <w:color w:val="auto"/>
              </w:rPr>
            </w:pPr>
            <w:r>
              <w:rPr>
                <w:rFonts w:ascii="Arial" w:cs="Arial" w:eastAsia="Arial" w:hAnsi="Arial"/>
                <w:sz w:val="15"/>
                <w:szCs w:val="15"/>
                <w:color w:val="auto"/>
              </w:rPr>
              <w:t>Repurchase of common shares to pay employee withholding taxes</w:t>
            </w:r>
          </w:p>
        </w:tc>
        <w:tc>
          <w:tcPr>
            <w:tcW w:w="108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(3,224 )</w:t>
            </w:r>
          </w:p>
        </w:tc>
        <w:tc>
          <w:tcPr>
            <w:tcW w:w="10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(3,077 )</w:t>
            </w:r>
          </w:p>
        </w:tc>
      </w:tr>
      <w:tr>
        <w:trPr>
          <w:trHeight w:val="189"/>
        </w:trPr>
        <w:tc>
          <w:tcPr>
            <w:tcW w:w="7420" w:type="dxa"/>
            <w:vAlign w:val="bottom"/>
            <w:shd w:val="clear" w:color="auto" w:fill="CCECFF"/>
          </w:tcPr>
          <w:p>
            <w:pPr>
              <w:ind w:left="60"/>
              <w:spacing w:after="0"/>
              <w:rPr>
                <w:sz w:val="20"/>
                <w:szCs w:val="20"/>
                <w:color w:val="auto"/>
              </w:rPr>
            </w:pPr>
            <w:r>
              <w:rPr>
                <w:rFonts w:ascii="Arial" w:cs="Arial" w:eastAsia="Arial" w:hAnsi="Arial"/>
                <w:sz w:val="15"/>
                <w:szCs w:val="15"/>
                <w:color w:val="auto"/>
              </w:rPr>
              <w:t>Principal payments on financing lease</w:t>
            </w:r>
          </w:p>
        </w:tc>
        <w:tc>
          <w:tcPr>
            <w:tcW w:w="108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5"/>
                <w:szCs w:val="15"/>
                <w:color w:val="auto"/>
              </w:rPr>
              <w:t>(8,184 )</w:t>
            </w:r>
          </w:p>
        </w:tc>
        <w:tc>
          <w:tcPr>
            <w:tcW w:w="10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CFF"/>
          </w:tcPr>
          <w:p>
            <w:pPr>
              <w:spacing w:after="0"/>
              <w:rPr>
                <w:sz w:val="16"/>
                <w:szCs w:val="16"/>
                <w:color w:val="auto"/>
              </w:rPr>
            </w:pPr>
          </w:p>
        </w:tc>
      </w:tr>
      <w:tr>
        <w:trPr>
          <w:trHeight w:val="20"/>
        </w:trPr>
        <w:tc>
          <w:tcPr>
            <w:tcW w:w="7420" w:type="dxa"/>
            <w:vAlign w:val="bottom"/>
            <w:shd w:val="clear" w:color="auto" w:fill="CCEC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83"/>
        </w:trPr>
        <w:tc>
          <w:tcPr>
            <w:tcW w:w="7420" w:type="dxa"/>
            <w:vAlign w:val="bottom"/>
          </w:tcPr>
          <w:p>
            <w:pPr>
              <w:ind w:left="240"/>
              <w:spacing w:after="0"/>
              <w:rPr>
                <w:sz w:val="20"/>
                <w:szCs w:val="20"/>
                <w:color w:val="auto"/>
              </w:rPr>
            </w:pPr>
            <w:r>
              <w:rPr>
                <w:rFonts w:ascii="Arial" w:cs="Arial" w:eastAsia="Arial" w:hAnsi="Arial"/>
                <w:sz w:val="15"/>
                <w:szCs w:val="15"/>
                <w:color w:val="auto"/>
              </w:rPr>
              <w:t>Net cash used in financing activities</w:t>
            </w:r>
          </w:p>
        </w:tc>
        <w:tc>
          <w:tcPr>
            <w:tcW w:w="108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5"/>
                <w:szCs w:val="15"/>
                <w:color w:val="auto"/>
              </w:rPr>
              <w:t>(62 )</w:t>
            </w:r>
          </w:p>
        </w:tc>
        <w:tc>
          <w:tcPr>
            <w:tcW w:w="104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(3,077 )</w:t>
            </w:r>
          </w:p>
        </w:tc>
      </w:tr>
      <w:tr>
        <w:trPr>
          <w:trHeight w:val="20"/>
        </w:trPr>
        <w:tc>
          <w:tcPr>
            <w:tcW w:w="7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420" w:type="dxa"/>
            <w:vAlign w:val="bottom"/>
            <w:shd w:val="clear" w:color="auto" w:fill="CCECFF"/>
          </w:tcPr>
          <w:p>
            <w:pPr>
              <w:ind w:left="60"/>
              <w:spacing w:after="0"/>
              <w:rPr>
                <w:sz w:val="20"/>
                <w:szCs w:val="20"/>
                <w:color w:val="auto"/>
              </w:rPr>
            </w:pPr>
            <w:r>
              <w:rPr>
                <w:rFonts w:ascii="Arial" w:cs="Arial" w:eastAsia="Arial" w:hAnsi="Arial"/>
                <w:sz w:val="15"/>
                <w:szCs w:val="15"/>
                <w:color w:val="auto"/>
              </w:rPr>
              <w:t>Net decrease in cash and cash equivalents</w:t>
            </w:r>
          </w:p>
        </w:tc>
        <w:tc>
          <w:tcPr>
            <w:tcW w:w="108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320"/>
              <w:spacing w:after="0"/>
              <w:rPr>
                <w:sz w:val="20"/>
                <w:szCs w:val="20"/>
                <w:color w:val="auto"/>
              </w:rPr>
            </w:pPr>
            <w:r>
              <w:rPr>
                <w:rFonts w:ascii="Arial" w:cs="Arial" w:eastAsia="Arial" w:hAnsi="Arial"/>
                <w:sz w:val="15"/>
                <w:szCs w:val="15"/>
                <w:color w:val="auto"/>
              </w:rPr>
              <w:t>(8,585 )</w:t>
            </w:r>
          </w:p>
        </w:tc>
        <w:tc>
          <w:tcPr>
            <w:tcW w:w="1040" w:type="dxa"/>
            <w:vAlign w:val="bottom"/>
            <w:shd w:val="clear" w:color="auto" w:fill="CCECFF"/>
          </w:tcPr>
          <w:p>
            <w:pPr>
              <w:spacing w:after="0"/>
              <w:rPr>
                <w:sz w:val="15"/>
                <w:szCs w:val="15"/>
                <w:color w:val="auto"/>
              </w:rPr>
            </w:pPr>
          </w:p>
        </w:tc>
        <w:tc>
          <w:tcPr>
            <w:tcW w:w="72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w w:val="96"/>
              </w:rPr>
              <w:t>(181,730 )</w:t>
            </w:r>
          </w:p>
        </w:tc>
      </w:tr>
      <w:tr>
        <w:trPr>
          <w:trHeight w:val="189"/>
        </w:trPr>
        <w:tc>
          <w:tcPr>
            <w:tcW w:w="7420" w:type="dxa"/>
            <w:vAlign w:val="bottom"/>
          </w:tcPr>
          <w:p>
            <w:pPr>
              <w:ind w:left="60"/>
              <w:spacing w:after="0"/>
              <w:rPr>
                <w:sz w:val="20"/>
                <w:szCs w:val="20"/>
                <w:color w:val="auto"/>
              </w:rPr>
            </w:pPr>
            <w:r>
              <w:rPr>
                <w:rFonts w:ascii="Arial" w:cs="Arial" w:eastAsia="Arial" w:hAnsi="Arial"/>
                <w:sz w:val="15"/>
                <w:szCs w:val="15"/>
                <w:color w:val="auto"/>
              </w:rPr>
              <w:t>Cash and cash equivalents, beginning of the period</w:t>
            </w:r>
          </w:p>
        </w:tc>
        <w:tc>
          <w:tcPr>
            <w:tcW w:w="10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11,927</w:t>
            </w:r>
          </w:p>
        </w:tc>
        <w:tc>
          <w:tcPr>
            <w:tcW w:w="3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209,841</w:t>
            </w:r>
          </w:p>
        </w:tc>
        <w:tc>
          <w:tcPr>
            <w:tcW w:w="100" w:type="dxa"/>
            <w:vAlign w:val="bottom"/>
          </w:tcPr>
          <w:p>
            <w:pPr>
              <w:spacing w:after="0"/>
              <w:rPr>
                <w:sz w:val="16"/>
                <w:szCs w:val="16"/>
                <w:color w:val="auto"/>
              </w:rPr>
            </w:pPr>
          </w:p>
        </w:tc>
      </w:tr>
      <w:tr>
        <w:trPr>
          <w:trHeight w:val="223"/>
        </w:trPr>
        <w:tc>
          <w:tcPr>
            <w:tcW w:w="7420" w:type="dxa"/>
            <w:vAlign w:val="bottom"/>
            <w:tcBorders>
              <w:bottom w:val="single" w:sz="8" w:color="CCECFF"/>
            </w:tcBorders>
            <w:shd w:val="clear" w:color="auto" w:fill="CCECFF"/>
          </w:tcPr>
          <w:p>
            <w:pPr>
              <w:ind w:left="60"/>
              <w:spacing w:after="0"/>
              <w:rPr>
                <w:sz w:val="20"/>
                <w:szCs w:val="20"/>
                <w:color w:val="auto"/>
              </w:rPr>
            </w:pPr>
            <w:r>
              <w:rPr>
                <w:rFonts w:ascii="Arial" w:cs="Arial" w:eastAsia="Arial" w:hAnsi="Arial"/>
                <w:sz w:val="15"/>
                <w:szCs w:val="15"/>
                <w:color w:val="auto"/>
              </w:rPr>
              <w:t>Cash and cash equivalents, end of the period</w:t>
            </w:r>
          </w:p>
        </w:tc>
        <w:tc>
          <w:tcPr>
            <w:tcW w:w="1080" w:type="dxa"/>
            <w:vAlign w:val="bottom"/>
            <w:tcBorders>
              <w:bottom w:val="single" w:sz="8" w:color="auto"/>
            </w:tcBorders>
            <w:shd w:val="clear" w:color="auto" w:fill="CCECFF"/>
          </w:tcPr>
          <w:p>
            <w:pPr>
              <w:jc w:val="right"/>
              <w:ind w:right="92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3,342</w:t>
            </w:r>
          </w:p>
        </w:tc>
        <w:tc>
          <w:tcPr>
            <w:tcW w:w="380" w:type="dxa"/>
            <w:vAlign w:val="bottom"/>
            <w:tcBorders>
              <w:bottom w:val="single" w:sz="8" w:color="CCECFF"/>
            </w:tcBorders>
            <w:shd w:val="clear" w:color="auto" w:fill="CCECFF"/>
          </w:tcPr>
          <w:p>
            <w:pPr>
              <w:spacing w:after="0"/>
              <w:rPr>
                <w:sz w:val="19"/>
                <w:szCs w:val="19"/>
                <w:color w:val="auto"/>
              </w:rPr>
            </w:pPr>
          </w:p>
        </w:tc>
        <w:tc>
          <w:tcPr>
            <w:tcW w:w="1040" w:type="dxa"/>
            <w:vAlign w:val="bottom"/>
            <w:tcBorders>
              <w:bottom w:val="single" w:sz="8" w:color="auto"/>
            </w:tcBorders>
            <w:shd w:val="clear" w:color="auto" w:fill="CCECFF"/>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28,111</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170"/>
        </w:trPr>
        <w:tc>
          <w:tcPr>
            <w:tcW w:w="742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420" w:type="dxa"/>
            <w:vAlign w:val="bottom"/>
            <w:shd w:val="clear" w:color="auto" w:fill="CCECFF"/>
          </w:tcPr>
          <w:p>
            <w:pPr>
              <w:ind w:left="240"/>
              <w:spacing w:after="0"/>
              <w:rPr>
                <w:sz w:val="20"/>
                <w:szCs w:val="20"/>
                <w:color w:val="auto"/>
              </w:rPr>
            </w:pPr>
            <w:r>
              <w:rPr>
                <w:rFonts w:ascii="Arial" w:cs="Arial" w:eastAsia="Arial" w:hAnsi="Arial"/>
                <w:sz w:val="15"/>
                <w:szCs w:val="15"/>
                <w:color w:val="auto"/>
              </w:rPr>
              <w:t>Reclassification of deposits on equipment to property and equipment</w:t>
            </w:r>
          </w:p>
        </w:tc>
        <w:tc>
          <w:tcPr>
            <w:tcW w:w="1080" w:type="dxa"/>
            <w:vAlign w:val="bottom"/>
            <w:shd w:val="clear" w:color="auto" w:fill="CCECFF"/>
          </w:tcPr>
          <w:p>
            <w:pPr>
              <w:jc w:val="right"/>
              <w:ind w:right="9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74,186</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240"/>
              <w:spacing w:after="0"/>
              <w:rPr>
                <w:sz w:val="20"/>
                <w:szCs w:val="20"/>
                <w:color w:val="auto"/>
              </w:rPr>
            </w:pPr>
            <w:r>
              <w:rPr>
                <w:rFonts w:ascii="Arial" w:cs="Arial" w:eastAsia="Arial" w:hAnsi="Arial"/>
                <w:sz w:val="15"/>
                <w:szCs w:val="15"/>
                <w:color w:val="auto"/>
              </w:rPr>
              <w:t>Right-of-use asset obtained in exchange for finance lease liability</w:t>
            </w:r>
          </w:p>
        </w:tc>
        <w:tc>
          <w:tcPr>
            <w:tcW w:w="1080" w:type="dxa"/>
            <w:vAlign w:val="bottom"/>
          </w:tcPr>
          <w:p>
            <w:pPr>
              <w:jc w:val="right"/>
              <w:ind w:right="9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14,212</w:t>
            </w:r>
          </w:p>
        </w:tc>
        <w:tc>
          <w:tcPr>
            <w:tcW w:w="380" w:type="dxa"/>
            <w:vAlign w:val="bottom"/>
          </w:tcPr>
          <w:p>
            <w:pPr>
              <w:spacing w:after="0"/>
              <w:rPr>
                <w:sz w:val="16"/>
                <w:szCs w:val="16"/>
                <w:color w:val="auto"/>
              </w:rPr>
            </w:pPr>
          </w:p>
        </w:tc>
        <w:tc>
          <w:tcPr>
            <w:tcW w:w="1040" w:type="dxa"/>
            <w:vAlign w:val="bottom"/>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240"/>
              <w:spacing w:after="0"/>
              <w:rPr>
                <w:sz w:val="20"/>
                <w:szCs w:val="20"/>
                <w:color w:val="auto"/>
              </w:rPr>
            </w:pPr>
            <w:r>
              <w:rPr>
                <w:rFonts w:ascii="Arial" w:cs="Arial" w:eastAsia="Arial" w:hAnsi="Arial"/>
                <w:sz w:val="15"/>
                <w:szCs w:val="15"/>
                <w:color w:val="auto"/>
              </w:rPr>
              <w:t>Reclassification of receivables, related party to investment in equity investees</w:t>
            </w:r>
          </w:p>
        </w:tc>
        <w:tc>
          <w:tcPr>
            <w:tcW w:w="1080" w:type="dxa"/>
            <w:vAlign w:val="bottom"/>
            <w:shd w:val="clear" w:color="auto" w:fill="CCECFF"/>
          </w:tcPr>
          <w:p>
            <w:pPr>
              <w:jc w:val="right"/>
              <w:ind w:right="9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2,060</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240"/>
              <w:spacing w:after="0"/>
              <w:rPr>
                <w:sz w:val="20"/>
                <w:szCs w:val="20"/>
                <w:color w:val="auto"/>
              </w:rPr>
            </w:pPr>
            <w:r>
              <w:rPr>
                <w:rFonts w:ascii="Arial" w:cs="Arial" w:eastAsia="Arial" w:hAnsi="Arial"/>
                <w:sz w:val="15"/>
                <w:szCs w:val="15"/>
                <w:color w:val="auto"/>
              </w:rPr>
              <w:t>Equity method investment acquired for non-cash consideration</w:t>
            </w:r>
          </w:p>
        </w:tc>
        <w:tc>
          <w:tcPr>
            <w:tcW w:w="1080" w:type="dxa"/>
            <w:vAlign w:val="bottom"/>
          </w:tcPr>
          <w:p>
            <w:pPr>
              <w:jc w:val="right"/>
              <w:ind w:right="9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1,926</w:t>
            </w:r>
          </w:p>
        </w:tc>
        <w:tc>
          <w:tcPr>
            <w:tcW w:w="380" w:type="dxa"/>
            <w:vAlign w:val="bottom"/>
          </w:tcPr>
          <w:p>
            <w:pPr>
              <w:spacing w:after="0"/>
              <w:rPr>
                <w:sz w:val="16"/>
                <w:szCs w:val="16"/>
                <w:color w:val="auto"/>
              </w:rPr>
            </w:pPr>
          </w:p>
        </w:tc>
        <w:tc>
          <w:tcPr>
            <w:tcW w:w="1040" w:type="dxa"/>
            <w:vAlign w:val="bottom"/>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93,208</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240"/>
              <w:spacing w:after="0"/>
              <w:rPr>
                <w:sz w:val="20"/>
                <w:szCs w:val="20"/>
                <w:color w:val="auto"/>
              </w:rPr>
            </w:pPr>
            <w:r>
              <w:rPr>
                <w:rFonts w:ascii="Arial" w:cs="Arial" w:eastAsia="Arial" w:hAnsi="Arial"/>
                <w:sz w:val="15"/>
                <w:szCs w:val="15"/>
                <w:color w:val="auto"/>
              </w:rPr>
              <w:t>Sales tax accruals reversed due to exemption</w:t>
            </w:r>
          </w:p>
        </w:tc>
        <w:tc>
          <w:tcPr>
            <w:tcW w:w="1080" w:type="dxa"/>
            <w:vAlign w:val="bottom"/>
            <w:shd w:val="clear" w:color="auto" w:fill="CCECFF"/>
          </w:tcPr>
          <w:p>
            <w:pPr>
              <w:jc w:val="right"/>
              <w:ind w:right="9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1,837</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240"/>
              <w:spacing w:after="0"/>
              <w:rPr>
                <w:sz w:val="20"/>
                <w:szCs w:val="20"/>
                <w:color w:val="auto"/>
              </w:rPr>
            </w:pPr>
            <w:r>
              <w:rPr>
                <w:rFonts w:ascii="Arial" w:cs="Arial" w:eastAsia="Arial" w:hAnsi="Arial"/>
                <w:sz w:val="15"/>
                <w:szCs w:val="15"/>
                <w:color w:val="auto"/>
              </w:rPr>
              <w:t>Bitcoin received from equity investees</w:t>
            </w:r>
          </w:p>
        </w:tc>
        <w:tc>
          <w:tcPr>
            <w:tcW w:w="1080" w:type="dxa"/>
            <w:vAlign w:val="bottom"/>
          </w:tcPr>
          <w:p>
            <w:pPr>
              <w:jc w:val="right"/>
              <w:ind w:right="9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317</w:t>
            </w:r>
          </w:p>
        </w:tc>
        <w:tc>
          <w:tcPr>
            <w:tcW w:w="380" w:type="dxa"/>
            <w:vAlign w:val="bottom"/>
          </w:tcPr>
          <w:p>
            <w:pPr>
              <w:spacing w:after="0"/>
              <w:rPr>
                <w:sz w:val="16"/>
                <w:szCs w:val="16"/>
                <w:color w:val="auto"/>
              </w:rPr>
            </w:pPr>
          </w:p>
        </w:tc>
        <w:tc>
          <w:tcPr>
            <w:tcW w:w="1040" w:type="dxa"/>
            <w:vAlign w:val="bottom"/>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3,139</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240"/>
              <w:spacing w:after="0"/>
              <w:rPr>
                <w:sz w:val="20"/>
                <w:szCs w:val="20"/>
                <w:color w:val="auto"/>
              </w:rPr>
            </w:pPr>
            <w:r>
              <w:rPr>
                <w:rFonts w:ascii="Arial" w:cs="Arial" w:eastAsia="Arial" w:hAnsi="Arial"/>
                <w:sz w:val="15"/>
                <w:szCs w:val="15"/>
                <w:color w:val="auto"/>
              </w:rPr>
              <w:t>Common stock cancelled</w:t>
            </w:r>
          </w:p>
        </w:tc>
        <w:tc>
          <w:tcPr>
            <w:tcW w:w="1080" w:type="dxa"/>
            <w:vAlign w:val="bottom"/>
            <w:shd w:val="clear" w:color="auto" w:fill="CCECFF"/>
          </w:tcPr>
          <w:p>
            <w:pPr>
              <w:jc w:val="right"/>
              <w:ind w:right="9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240"/>
              <w:spacing w:after="0"/>
              <w:rPr>
                <w:sz w:val="20"/>
                <w:szCs w:val="20"/>
                <w:color w:val="auto"/>
              </w:rPr>
            </w:pPr>
            <w:r>
              <w:rPr>
                <w:rFonts w:ascii="Arial" w:cs="Arial" w:eastAsia="Arial" w:hAnsi="Arial"/>
                <w:sz w:val="15"/>
                <w:szCs w:val="15"/>
                <w:color w:val="auto"/>
                <w:w w:val="96"/>
              </w:rPr>
              <w:t>Property and equipment purchases in accounts payable, accounts payable, related party and accrued expenses</w:t>
            </w:r>
          </w:p>
        </w:tc>
        <w:tc>
          <w:tcPr>
            <w:tcW w:w="1080" w:type="dxa"/>
            <w:vAlign w:val="bottom"/>
          </w:tcPr>
          <w:p>
            <w:pPr>
              <w:jc w:val="right"/>
              <w:ind w:right="9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040" w:type="dxa"/>
            <w:vAlign w:val="bottom"/>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6,695</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240"/>
              <w:spacing w:after="0"/>
              <w:rPr>
                <w:sz w:val="20"/>
                <w:szCs w:val="20"/>
                <w:color w:val="auto"/>
              </w:rPr>
            </w:pPr>
            <w:r>
              <w:rPr>
                <w:rFonts w:ascii="Arial" w:cs="Arial" w:eastAsia="Arial" w:hAnsi="Arial"/>
                <w:sz w:val="15"/>
                <w:szCs w:val="15"/>
                <w:color w:val="auto"/>
              </w:rPr>
              <w:t>Right-of-use asset obtained in exchange for operating lease liability</w:t>
            </w:r>
          </w:p>
        </w:tc>
        <w:tc>
          <w:tcPr>
            <w:tcW w:w="1080" w:type="dxa"/>
            <w:vAlign w:val="bottom"/>
            <w:shd w:val="clear" w:color="auto" w:fill="CCECFF"/>
          </w:tcPr>
          <w:p>
            <w:pPr>
              <w:jc w:val="right"/>
              <w:ind w:right="9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5,859</w:t>
            </w:r>
          </w:p>
        </w:tc>
        <w:tc>
          <w:tcPr>
            <w:tcW w:w="100" w:type="dxa"/>
            <w:vAlign w:val="bottom"/>
            <w:shd w:val="clear" w:color="auto" w:fill="CCECFF"/>
          </w:tcPr>
          <w:p>
            <w:pPr>
              <w:spacing w:after="0"/>
              <w:rPr>
                <w:sz w:val="16"/>
                <w:szCs w:val="16"/>
                <w:color w:val="auto"/>
              </w:rPr>
            </w:pPr>
          </w:p>
        </w:tc>
      </w:tr>
      <w:tr>
        <w:trPr>
          <w:trHeight w:val="189"/>
        </w:trPr>
        <w:tc>
          <w:tcPr>
            <w:tcW w:w="7420" w:type="dxa"/>
            <w:vAlign w:val="bottom"/>
          </w:tcPr>
          <w:p>
            <w:pPr>
              <w:ind w:left="240"/>
              <w:spacing w:after="0"/>
              <w:rPr>
                <w:sz w:val="20"/>
                <w:szCs w:val="20"/>
                <w:color w:val="auto"/>
              </w:rPr>
            </w:pPr>
            <w:r>
              <w:rPr>
                <w:rFonts w:ascii="Arial" w:cs="Arial" w:eastAsia="Arial" w:hAnsi="Arial"/>
                <w:sz w:val="15"/>
                <w:szCs w:val="15"/>
                <w:color w:val="auto"/>
              </w:rPr>
              <w:t>Investment in equity investees in accrued expenses</w:t>
            </w:r>
          </w:p>
        </w:tc>
        <w:tc>
          <w:tcPr>
            <w:tcW w:w="1080" w:type="dxa"/>
            <w:vAlign w:val="bottom"/>
          </w:tcPr>
          <w:p>
            <w:pPr>
              <w:jc w:val="right"/>
              <w:ind w:right="9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040" w:type="dxa"/>
            <w:vAlign w:val="bottom"/>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5,316</w:t>
            </w:r>
          </w:p>
        </w:tc>
        <w:tc>
          <w:tcPr>
            <w:tcW w:w="100" w:type="dxa"/>
            <w:vAlign w:val="bottom"/>
          </w:tcPr>
          <w:p>
            <w:pPr>
              <w:spacing w:after="0"/>
              <w:rPr>
                <w:sz w:val="16"/>
                <w:szCs w:val="16"/>
                <w:color w:val="auto"/>
              </w:rPr>
            </w:pPr>
          </w:p>
        </w:tc>
      </w:tr>
      <w:tr>
        <w:trPr>
          <w:trHeight w:val="189"/>
        </w:trPr>
        <w:tc>
          <w:tcPr>
            <w:tcW w:w="7420" w:type="dxa"/>
            <w:vAlign w:val="bottom"/>
            <w:shd w:val="clear" w:color="auto" w:fill="CCECFF"/>
          </w:tcPr>
          <w:p>
            <w:pPr>
              <w:ind w:left="240"/>
              <w:spacing w:after="0"/>
              <w:rPr>
                <w:sz w:val="20"/>
                <w:szCs w:val="20"/>
                <w:color w:val="auto"/>
              </w:rPr>
            </w:pPr>
            <w:r>
              <w:rPr>
                <w:rFonts w:ascii="Arial" w:cs="Arial" w:eastAsia="Arial" w:hAnsi="Arial"/>
                <w:sz w:val="15"/>
                <w:szCs w:val="15"/>
                <w:color w:val="auto"/>
              </w:rPr>
              <w:t>Deposits on equipment in accounts payable, accounts payable, related party and accrued expenses</w:t>
            </w:r>
          </w:p>
        </w:tc>
        <w:tc>
          <w:tcPr>
            <w:tcW w:w="1080" w:type="dxa"/>
            <w:vAlign w:val="bottom"/>
            <w:shd w:val="clear" w:color="auto" w:fill="CCECFF"/>
          </w:tcPr>
          <w:p>
            <w:pPr>
              <w:jc w:val="right"/>
              <w:ind w:right="9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4,289</w:t>
            </w:r>
          </w:p>
        </w:tc>
        <w:tc>
          <w:tcPr>
            <w:tcW w:w="100" w:type="dxa"/>
            <w:vAlign w:val="bottom"/>
            <w:shd w:val="clear" w:color="auto" w:fill="CCECFF"/>
          </w:tcPr>
          <w:p>
            <w:pPr>
              <w:spacing w:after="0"/>
              <w:rPr>
                <w:sz w:val="16"/>
                <w:szCs w:val="16"/>
                <w:color w:val="auto"/>
              </w:rPr>
            </w:pPr>
          </w:p>
        </w:tc>
      </w:tr>
      <w:tr>
        <w:trPr>
          <w:trHeight w:val="195"/>
        </w:trPr>
        <w:tc>
          <w:tcPr>
            <w:tcW w:w="7420" w:type="dxa"/>
            <w:vAlign w:val="bottom"/>
          </w:tcPr>
          <w:p>
            <w:pPr>
              <w:ind w:left="240"/>
              <w:spacing w:after="0"/>
              <w:rPr>
                <w:sz w:val="20"/>
                <w:szCs w:val="20"/>
                <w:color w:val="auto"/>
              </w:rPr>
            </w:pPr>
            <w:r>
              <w:rPr>
                <w:rFonts w:ascii="Arial" w:cs="Arial" w:eastAsia="Arial" w:hAnsi="Arial"/>
                <w:sz w:val="15"/>
                <w:szCs w:val="15"/>
                <w:color w:val="auto"/>
              </w:rPr>
              <w:t>Reclassification of deferred investment costs to investment in equity investees</w:t>
            </w:r>
          </w:p>
        </w:tc>
        <w:tc>
          <w:tcPr>
            <w:tcW w:w="1080" w:type="dxa"/>
            <w:vAlign w:val="bottom"/>
          </w:tcPr>
          <w:p>
            <w:pPr>
              <w:jc w:val="right"/>
              <w:ind w:right="9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040" w:type="dxa"/>
            <w:vAlign w:val="bottom"/>
          </w:tcPr>
          <w:p>
            <w:pPr>
              <w:jc w:val="right"/>
              <w:ind w:right="86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-3560445</wp:posOffset>
            </wp:positionV>
            <wp:extent cx="7683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-3560445</wp:posOffset>
            </wp:positionV>
            <wp:extent cx="6858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-2831465</wp:posOffset>
            </wp:positionV>
            <wp:extent cx="7683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-2831465</wp:posOffset>
            </wp:positionV>
            <wp:extent cx="6858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-2094230</wp:posOffset>
            </wp:positionV>
            <wp:extent cx="7683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-2094230</wp:posOffset>
            </wp:positionV>
            <wp:extent cx="6858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-1588770</wp:posOffset>
            </wp:positionV>
            <wp:extent cx="136271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62710" cy="14605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Cipher Mining Inc. (“Cipher” or the “Company”) is an emerging technology company that develops and operates industrial scale bitcoin mining data centers. The Company operates or jointly operates four bitcoin mining data centers in Texas including one wholly-owned data center and three partially-owned data centers that were acquired through investments in joint ventures. Bitcoin mining is the Company’s principal revenue generating business activity. The Company began deployment of capacity in the first quarter of 2022, with mining operations beginning at the partially-owned Alborz facility in February 2022 (the “Alborz Facility”). In August 2022, installation of the last mining rigs delivered to the Alborz Facility was completed. In October 2022, installation at the partially-owned Bear facility (the “Bear Facility”) and the partially-owned Chief facility (the “Chief Facility”) was also completed. In November 2022, the Company began bitcoin mining operations at the wholly-owned Odessa facility (the “Odessa Facility”). In September 2023, the Company finalized the buildout of the operations at the Odessa Facility.</w:t>
      </w:r>
    </w:p>
    <w:p>
      <w:pPr>
        <w:spacing w:after="0" w:line="1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Cipher Mining Technologies Inc. (“CMTI”) was established on January 7, 2021, in Delaware, by Bitfury Top HoldCo B.V. and its subsidiaries (“Bitfury Top HoldCo” and, with its subsidiaries, the “Bitfury Group”). Bitfury Top HoldCo (together with Bitfury Holding B.V., a subsidiary of Bitfury Top HoldCo, and referred to herein as “Bitfury Holding”) beneficially owned approximately 79.3% of the Company’s common stock, $0.001 par value per share (“Common Stock”), as of September 30, 2023, with sole voting and sole dispositive power over those shares and, as a result, Bitfury Top HoldCo has control of the Company as defined in Financial Accounting Standards Board (“FASB”)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The previously reported Lock-up Agreement, dated as of August 26, 2021, by and between Good Works Acquisition Corp. (“GWAC”) and Bitfury Top HoldCo, expired on August 27,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Out-of-period-adjustments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Cost of revenue and power sales for the nine months ended September 30, 2023 included out-of-period adjustments of approximately $2.0 million and $1.6 million, respectively, that increased both cost of revenue and power sales on the unaudited condensed consolidated statements of operations for the nine months ended September 30, 2023, and resulted in net increases to operating loss and loss before taxes of approximately $0.4 million during the same period. These out-of-period adjustments related to power costs and power sales for the year ended December 31, 2022 at the Company’s Odessa Facility, which are invoiced on a net basis by the Company’s power provider. Management evaluated the impact of this error on the Company’s previously issued audited consolidated financial statements for the year ended December 31, 2022, as well as on its unaudited condensed consolidated financial statements for the nine months ended September 30, 2023, assessing the error both quantitatively and qualitatively, and concluded that the error was not material to the financial statements for either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capital resources and limited business history</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historically experienced net losses and negative cash flows from operations. As of September 30, 2023, the Company had approximate balances of cash and cash equivalents of $3.3 million, working capital of $15.5 million, total stockholders’ equity of $342.7 million and an accumulated deficit of $148.2 million. For fiscal years ended December 31, 2022 and 2021, the Company, in large part, relied on proceeds from the consummation of its business combination with GWAC to fund its operations; however, during the nine months ended September 30, 2023, the Company utilized proceeds from sales of bitcoin earned by or received from its bitcoin mining data centers to support its operating expenses. During the nine months ended September 30, 2023, the Company sold 3,005 bitcoin for proceeds of approximately $78.7 million. Additionally, in January 2023, the Company was approached by a third party that offered to purchase coupons that the Company had received from Bitmain Technologies Limited (“Bitmain”) during fiscal year 2022. These transferable coupons provided the Company with potential discounts of approximately $10.9 million that could only be redeemed with the purchase of additional miners from Bitmain prior to the coupons’ April 2023 expiration date. As the Company did not intend to purchase additional Bitmain miners prior to the expiration date of the coupons, it sold the coupons to the interested third party for proceeds of approximately $2.3 million, which it recorded in other gains within costs and operating expenses (income) on its unaudited condensed consolidated statement of operations during the nine months ended September 30, 2023.</w:t>
      </w:r>
    </w:p>
    <w:p>
      <w:pPr>
        <w:spacing w:after="0" w:line="138"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Company monitors its balance sheet on an ongoing basis to determine the proper mix of bitcoin retention and bitcoin sales to support its cash requirements and ongoing operations. Bitcoin is classified as a current asset on the Company’s balance sheets due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its intent and ability to sell bitcoin to support operations when needed. Operating activities provided approximately $32.4 million of cash during the nine months ended September 30, 2023.</w:t>
      </w:r>
    </w:p>
    <w:p>
      <w:pPr>
        <w:spacing w:after="0" w:line="14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During the nine months ended September 30, 2023, the Company paid approximately $4.5 million of deposits for mining equipment and reclassified approximately $74.2 million to property and equipment in connection with the receipt of miners and other equipment at the Odessa Facility. In September 2023, the Company finalized the buildout of the operations at the Odessa Facility. As of September 30, 2023, the Company had 61,024 miners located at the Odessa Facility and had 12,953, 3,254 and 3,254 contributed miners at its partially-owned Alborz Facility, Bear Facility and Chief Facility, respectively.</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On August 14, 2023, the Company, through CMTI, entered into a master loan agreement with Coinbase Credit, Inc., as lender, and Coinbase, Inc., as lending service provider, for a secured credit line up to $10.0 million (the “Credit Facility”). See Note 12.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additional information regarding the Credit Facility. As of September 30, 2023, the Company has not drawn upon the Credit Facility.</w:t>
      </w:r>
    </w:p>
    <w:p>
      <w:pPr>
        <w:spacing w:after="0" w:line="1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Management believes that the Company’s existing financial resources, including access to the Credit Facility, combined with projected cash and bitcoin inflows from its data centers and its intent and ability to sell bitcoin received or earned, will be sufficient to enable the Company to meet its operating and capital requirements for at least 12 months from the date these unaudited condensed consolidated financial statements are issued.</w:t>
      </w:r>
    </w:p>
    <w:p>
      <w:pPr>
        <w:spacing w:after="0" w:line="13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There is limited historical financial information about the Company upon which to base an evaluation of its performance. The business is subject to risks inherent in the establishment of a new business enterprise, including limited capital resources, possible delays in exploration and/or development, and possible cost overruns due to price and cost increases in services. The Company’s management has no current intention of entering into a merger or acquisition within the next 12 months. The Company may require additional capital to pursue certain business opportunities or respond to technological advancements, competitive dynamics or technologies, challenges, acquisitions or unforeseen circumstances. Additionally, the Company has incurred and expects to continue to incur significant costs related to operating as a public company. Accordingly, the Company may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Macroeconomic conditions: COVID-19 and other economic, business and political conditions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results of operations could be adversely affected by general conditions in the global economy and in the global financial markets, including conditions that are outside of the Company’s control, such as any epidemics, pandemics or disease outbreaks or other public health conditions. For example, the COVID-19 pandemic (“COVID-19”) that was declared on March 11, 2020 caused significant economic dislocation in the United States (“U.S.”) and globally as governments across the world, including the U.S., introduced measures aimed at preventing the spread of COVID-19. While most policies and regulations implemented by governments in response to COVID-19 have been lifted, they have had a significant impact, both directly and indirectly, on global business and commerce.</w:t>
      </w:r>
    </w:p>
    <w:p>
      <w:pPr>
        <w:spacing w:after="0" w:line="16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Company may experience disruptions to its business operations resulting from supply interruptions, quarantines, self-isolations, or other movement and restrictions on the ability of its employees or its counterparties to perform their jobs. The Company may also experience delays in construction and obtaining necessary equipment in a timely fashion. If the Company is unable to effectively set up and service its miners, its ability to mine bitcoin will be adversely affected. There is no assurance that COVID-19 or any other pandemic, or other unfavorable global economic, business or political conditions, such as a rise in energy prices, a slowdown in the U.S. or international economy, high inflation rates or other factors, will not materially and adversely affect the Company’s business, prospects, financial condition and operating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9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prepares its unaudited condensed consolidated financial statements in accordance with accounting principles generally accepted in the U.S. (“GAAP”) as determined by the FASB and pursuant to the accounting and disclosure rules and regulations of the Securities and Exchange Commission (“SEC”).</w:t>
      </w:r>
    </w:p>
    <w:p>
      <w:pPr>
        <w:spacing w:after="0" w:line="1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controlled subsidiary, CMTI. All intercompany transactions and balances have been eliminated.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valuations of its derivative asset and warrant liability under Level 3 of the fair value hierarchy, useful lives of property and equipment, the asset retirement obligation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condensed consolidated financial statements</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the Company’s management, these unaudited condensed consolidated financial statements reflect all adjustments, which consist of only normal recurring adjustments necessary for the fair presentation of the balances and results for the periods presented. These unaudited condensed consolidated financial statement results are not necessarily indicative of results to be expected for the full fiscal year or any future period.</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description of the Company’s significant accounting policies is included in the Company’s 2022 Form 10-K. You should read the unaudited condensed consolidated financial statements in conjunction with the Company’s audited consolidated financial statements and accompanying notes in the Company’s 2022 Form 10-K. Except as disclosed herein, there has been no material change in the information disclosed in the notes to the Company’s audited consolidated financial statements included in the Company’s 2022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operating decision maker is comprised of several members of its executive management team. The Company views its operations and manages its business in one segment.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per share</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Basic net income (loss) per share is computed by dividing net income (loss) allocated to common shareholders by the weighted average number of common shares outstanding during the period. Diluted net income (loss) per common share adjusts net income (loss) and net income (loss) per common share for the effect of all potentially dilutive shares of Common Stock. Potential common shares consist of the Company’s outstanding public and private placement warrants to purchase Common Stock, as well as unvested restricted stock units (“RSUs”).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three and nine months ended September 30, 2022, the dilutive effect of RSUs was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potential common shares have been excluded from the computation of diluted net loss per common share for the three and nine months ended September 30, 2023, as the effect would be to reduce the net loss per common share.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numerator and denominator of the diluted net income (loss) per share computations for the periods indicated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19"/>
                <w:szCs w:val="19"/>
                <w:color w:val="auto"/>
              </w:rPr>
            </w:pPr>
          </w:p>
        </w:tc>
        <w:tc>
          <w:tcPr>
            <w:tcW w:w="26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Three Months Ended September 30,</w:t>
            </w:r>
          </w:p>
        </w:tc>
        <w:tc>
          <w:tcPr>
            <w:tcW w:w="340" w:type="dxa"/>
            <w:vAlign w:val="bottom"/>
          </w:tcPr>
          <w:p>
            <w:pPr>
              <w:spacing w:after="0"/>
              <w:rPr>
                <w:sz w:val="19"/>
                <w:szCs w:val="19"/>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3"/>
              </w:rPr>
              <w:t>Nine Months Ended September 30,</w:t>
            </w:r>
          </w:p>
        </w:tc>
        <w:tc>
          <w:tcPr>
            <w:tcW w:w="100" w:type="dxa"/>
            <w:vAlign w:val="bottom"/>
          </w:tcPr>
          <w:p>
            <w:pPr>
              <w:spacing w:after="0"/>
              <w:rPr>
                <w:sz w:val="19"/>
                <w:szCs w:val="19"/>
                <w:color w:val="auto"/>
              </w:rPr>
            </w:pPr>
          </w:p>
        </w:tc>
      </w:tr>
      <w:tr>
        <w:trPr>
          <w:trHeight w:val="223"/>
        </w:trPr>
        <w:tc>
          <w:tcPr>
            <w:tcW w:w="5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(loss) income per share: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(17,711 )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59,292</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(37,013 )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12,574</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2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251,789,350</w:t>
            </w:r>
          </w:p>
        </w:tc>
        <w:tc>
          <w:tcPr>
            <w:tcW w:w="3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247,508,745</w:t>
            </w:r>
          </w:p>
        </w:tc>
        <w:tc>
          <w:tcPr>
            <w:tcW w:w="3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color w:val="auto"/>
                <w:w w:val="98"/>
              </w:rPr>
              <w:t>249,858,033</w:t>
            </w:r>
          </w:p>
        </w:tc>
        <w:tc>
          <w:tcPr>
            <w:tcW w:w="3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color w:val="auto"/>
                <w:w w:val="98"/>
              </w:rPr>
              <w:t>248,461,373</w:t>
            </w:r>
          </w:p>
        </w:tc>
        <w:tc>
          <w:tcPr>
            <w:tcW w:w="100" w:type="dxa"/>
            <w:vAlign w:val="bottom"/>
            <w:shd w:val="clear" w:color="auto" w:fill="CCECFF"/>
          </w:tcPr>
          <w:p>
            <w:pPr>
              <w:spacing w:after="0"/>
              <w:rPr>
                <w:sz w:val="19"/>
                <w:szCs w:val="19"/>
                <w:color w:val="auto"/>
              </w:rPr>
            </w:pPr>
          </w:p>
        </w:tc>
      </w:tr>
      <w:tr>
        <w:trPr>
          <w:trHeight w:val="220"/>
        </w:trPr>
        <w:tc>
          <w:tcPr>
            <w:tcW w:w="5620" w:type="dxa"/>
            <w:vAlign w:val="bottom"/>
          </w:tcPr>
          <w:p>
            <w:pPr>
              <w:ind w:left="20"/>
              <w:spacing w:after="0"/>
              <w:rPr>
                <w:sz w:val="20"/>
                <w:szCs w:val="20"/>
                <w:color w:val="auto"/>
              </w:rPr>
            </w:pPr>
            <w:r>
              <w:rPr>
                <w:rFonts w:ascii="Arial" w:cs="Arial" w:eastAsia="Arial" w:hAnsi="Arial"/>
                <w:sz w:val="16"/>
                <w:szCs w:val="16"/>
                <w:color w:val="auto"/>
              </w:rPr>
              <w:t>Add:</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RSUs</w:t>
            </w:r>
          </w:p>
        </w:tc>
        <w:tc>
          <w:tcPr>
            <w:tcW w:w="200" w:type="dxa"/>
            <w:vAlign w:val="bottom"/>
            <w:tcBorders>
              <w:bottom w:val="single" w:sz="8" w:color="auto"/>
            </w:tcBorders>
            <w:shd w:val="clear" w:color="auto" w:fill="CCECFF"/>
          </w:tcPr>
          <w:p>
            <w:pPr>
              <w:spacing w:after="0"/>
              <w:rPr>
                <w:sz w:val="20"/>
                <w:szCs w:val="20"/>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auto"/>
            </w:tcBorders>
            <w:shd w:val="clear" w:color="auto" w:fill="CCECFF"/>
          </w:tcPr>
          <w:p>
            <w:pPr>
              <w:spacing w:after="0"/>
              <w:rPr>
                <w:sz w:val="20"/>
                <w:szCs w:val="20"/>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833,455</w:t>
            </w:r>
          </w:p>
        </w:tc>
        <w:tc>
          <w:tcPr>
            <w:tcW w:w="34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auto"/>
            </w:tcBorders>
            <w:shd w:val="clear" w:color="auto" w:fill="CCECFF"/>
          </w:tcPr>
          <w:p>
            <w:pPr>
              <w:spacing w:after="0"/>
              <w:rPr>
                <w:sz w:val="20"/>
                <w:szCs w:val="20"/>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auto"/>
            </w:tcBorders>
            <w:shd w:val="clear" w:color="auto" w:fill="CCECFF"/>
          </w:tcPr>
          <w:p>
            <w:pPr>
              <w:spacing w:after="0"/>
              <w:rPr>
                <w:sz w:val="20"/>
                <w:szCs w:val="20"/>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321,292</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Weighted average shares outstanding - diluted</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251,789,350</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248,342,200</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249,858,033</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248,782,665</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520" w:type="dxa"/>
            <w:vAlign w:val="bottom"/>
            <w:gridSpan w:val="2"/>
            <w:shd w:val="clear" w:color="auto" w:fill="CCECFF"/>
          </w:tcPr>
          <w:p>
            <w:pPr>
              <w:spacing w:after="0"/>
              <w:rPr>
                <w:sz w:val="18"/>
                <w:szCs w:val="18"/>
                <w:color w:val="auto"/>
              </w:rPr>
            </w:pPr>
          </w:p>
        </w:tc>
        <w:tc>
          <w:tcPr>
            <w:tcW w:w="1260" w:type="dxa"/>
            <w:vAlign w:val="bottom"/>
            <w:gridSpan w:val="2"/>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Net (loss) income per share - 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(0.07 )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0.24</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(0.15 )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per share - diluted</w:t>
            </w:r>
          </w:p>
        </w:tc>
        <w:tc>
          <w:tcPr>
            <w:tcW w:w="200" w:type="dxa"/>
            <w:vAlign w:val="bottom"/>
            <w:shd w:val="clear" w:color="auto" w:fill="CCEC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CFF"/>
          </w:tcPr>
          <w:p>
            <w:pPr>
              <w:jc w:val="right"/>
              <w:ind w:right="300"/>
              <w:spacing w:after="0"/>
              <w:rPr>
                <w:sz w:val="20"/>
                <w:szCs w:val="20"/>
                <w:color w:val="auto"/>
              </w:rPr>
            </w:pPr>
            <w:r>
              <w:rPr>
                <w:rFonts w:ascii="Arial" w:cs="Arial" w:eastAsia="Arial" w:hAnsi="Arial"/>
                <w:sz w:val="16"/>
                <w:szCs w:val="16"/>
                <w:color w:val="auto"/>
              </w:rPr>
              <w:t>(0.07 )</w:t>
            </w:r>
          </w:p>
        </w:tc>
        <w:tc>
          <w:tcPr>
            <w:tcW w:w="200" w:type="dxa"/>
            <w:vAlign w:val="bottom"/>
            <w:shd w:val="clear" w:color="auto" w:fill="CCEC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0.24</w:t>
            </w:r>
          </w:p>
        </w:tc>
        <w:tc>
          <w:tcPr>
            <w:tcW w:w="5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CFF"/>
          </w:tcPr>
          <w:p>
            <w:pPr>
              <w:jc w:val="right"/>
              <w:ind w:right="280"/>
              <w:spacing w:after="0"/>
              <w:rPr>
                <w:sz w:val="20"/>
                <w:szCs w:val="20"/>
                <w:color w:val="auto"/>
              </w:rPr>
            </w:pPr>
            <w:r>
              <w:rPr>
                <w:rFonts w:ascii="Arial" w:cs="Arial" w:eastAsia="Arial" w:hAnsi="Arial"/>
                <w:sz w:val="16"/>
                <w:szCs w:val="16"/>
                <w:color w:val="auto"/>
              </w:rPr>
              <w:t>(0.15 )</w:t>
            </w:r>
          </w:p>
        </w:tc>
        <w:tc>
          <w:tcPr>
            <w:tcW w:w="180" w:type="dxa"/>
            <w:vAlign w:val="bottom"/>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CFF"/>
          </w:tcPr>
          <w:p>
            <w:pPr>
              <w:spacing w:after="0"/>
              <w:rPr>
                <w:sz w:val="19"/>
                <w:szCs w:val="19"/>
                <w:color w:val="auto"/>
              </w:rPr>
            </w:pP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-668020</wp:posOffset>
            </wp:positionV>
            <wp:extent cx="76835"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-668020</wp:posOffset>
            </wp:positionV>
            <wp:extent cx="7747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-668020</wp:posOffset>
            </wp:positionV>
            <wp:extent cx="6858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the common shares that are excluded from the computation of diluted net income (loss) per common share at September 30, 2023 and 2022, because including them would have been antidilutive.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Pr>
          <w:p>
            <w:pPr>
              <w:spacing w:after="0"/>
              <w:rPr>
                <w:sz w:val="19"/>
                <w:szCs w:val="19"/>
                <w:color w:val="auto"/>
              </w:rPr>
            </w:pPr>
          </w:p>
        </w:tc>
        <w:tc>
          <w:tcPr>
            <w:tcW w:w="2460" w:type="dxa"/>
            <w:vAlign w:val="bottom"/>
            <w:tcBorders>
              <w:bottom w:val="single" w:sz="8" w:color="auto"/>
            </w:tcBorders>
            <w:gridSpan w:val="3"/>
          </w:tcPr>
          <w:p>
            <w:pPr>
              <w:ind w:left="1300"/>
              <w:spacing w:after="0"/>
              <w:rPr>
                <w:sz w:val="20"/>
                <w:szCs w:val="20"/>
                <w:color w:val="auto"/>
              </w:rPr>
            </w:pPr>
            <w:r>
              <w:rPr>
                <w:rFonts w:ascii="Arial" w:cs="Arial" w:eastAsia="Arial" w:hAnsi="Arial"/>
                <w:sz w:val="16"/>
                <w:szCs w:val="16"/>
                <w:b w:val="1"/>
                <w:bCs w:val="1"/>
                <w:color w:val="auto"/>
              </w:rPr>
              <w:t>September 30,</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40" w:type="dxa"/>
            <w:vAlign w:val="bottom"/>
          </w:tcPr>
          <w:p>
            <w:pPr>
              <w:spacing w:after="0"/>
              <w:rPr>
                <w:sz w:val="19"/>
                <w:szCs w:val="19"/>
                <w:color w:val="auto"/>
              </w:rPr>
            </w:pPr>
          </w:p>
        </w:tc>
        <w:tc>
          <w:tcPr>
            <w:tcW w:w="16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3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30"/>
        </w:trPr>
        <w:tc>
          <w:tcPr>
            <w:tcW w:w="7540" w:type="dxa"/>
            <w:vAlign w:val="bottom"/>
            <w:shd w:val="clear" w:color="auto" w:fill="CCECFF"/>
          </w:tcPr>
          <w:p>
            <w:pPr>
              <w:ind w:left="20"/>
              <w:spacing w:after="0"/>
              <w:rPr>
                <w:sz w:val="20"/>
                <w:szCs w:val="20"/>
                <w:color w:val="auto"/>
              </w:rPr>
            </w:pPr>
            <w:r>
              <w:rPr>
                <w:rFonts w:ascii="Arial" w:cs="Arial" w:eastAsia="Arial" w:hAnsi="Arial"/>
                <w:sz w:val="16"/>
                <w:szCs w:val="16"/>
                <w:color w:val="auto"/>
              </w:rPr>
              <w:t>Public warrants</w:t>
            </w:r>
          </w:p>
        </w:tc>
        <w:tc>
          <w:tcPr>
            <w:tcW w:w="1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8,499,980</w:t>
            </w:r>
          </w:p>
        </w:tc>
        <w:tc>
          <w:tcPr>
            <w:tcW w:w="380" w:type="dxa"/>
            <w:vAlign w:val="bottom"/>
            <w:shd w:val="clear" w:color="auto" w:fill="CCECFF"/>
          </w:tcPr>
          <w:p>
            <w:pPr>
              <w:spacing w:after="0"/>
              <w:rPr>
                <w:sz w:val="19"/>
                <w:szCs w:val="19"/>
                <w:color w:val="auto"/>
              </w:rPr>
            </w:pPr>
          </w:p>
        </w:tc>
        <w:tc>
          <w:tcPr>
            <w:tcW w:w="46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8,499,980</w:t>
            </w:r>
          </w:p>
        </w:tc>
        <w:tc>
          <w:tcPr>
            <w:tcW w:w="100" w:type="dxa"/>
            <w:vAlign w:val="bottom"/>
            <w:shd w:val="clear" w:color="auto" w:fill="CCECFF"/>
          </w:tcPr>
          <w:p>
            <w:pPr>
              <w:spacing w:after="0"/>
              <w:rPr>
                <w:sz w:val="19"/>
                <w:szCs w:val="19"/>
                <w:color w:val="auto"/>
              </w:rPr>
            </w:pPr>
          </w:p>
        </w:tc>
      </w:tr>
      <w:tr>
        <w:trPr>
          <w:trHeight w:val="220"/>
        </w:trPr>
        <w:tc>
          <w:tcPr>
            <w:tcW w:w="7540" w:type="dxa"/>
            <w:vAlign w:val="bottom"/>
          </w:tcPr>
          <w:p>
            <w:pPr>
              <w:ind w:left="20"/>
              <w:spacing w:after="0"/>
              <w:rPr>
                <w:sz w:val="20"/>
                <w:szCs w:val="20"/>
                <w:color w:val="auto"/>
              </w:rPr>
            </w:pPr>
            <w:r>
              <w:rPr>
                <w:rFonts w:ascii="Arial" w:cs="Arial" w:eastAsia="Arial" w:hAnsi="Arial"/>
                <w:sz w:val="16"/>
                <w:szCs w:val="16"/>
                <w:color w:val="auto"/>
              </w:rPr>
              <w:t>Private placement warrants</w:t>
            </w:r>
          </w:p>
        </w:tc>
        <w:tc>
          <w:tcPr>
            <w:tcW w:w="1620" w:type="dxa"/>
            <w:vAlign w:val="bottom"/>
          </w:tcPr>
          <w:p>
            <w:pPr>
              <w:jc w:val="right"/>
              <w:spacing w:after="0"/>
              <w:rPr>
                <w:sz w:val="20"/>
                <w:szCs w:val="20"/>
                <w:color w:val="auto"/>
              </w:rPr>
            </w:pPr>
            <w:r>
              <w:rPr>
                <w:rFonts w:ascii="Arial" w:cs="Arial" w:eastAsia="Arial" w:hAnsi="Arial"/>
                <w:sz w:val="16"/>
                <w:szCs w:val="16"/>
                <w:color w:val="auto"/>
              </w:rPr>
              <w:t>114,000</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114,000</w:t>
            </w:r>
          </w:p>
        </w:tc>
        <w:tc>
          <w:tcPr>
            <w:tcW w:w="100" w:type="dxa"/>
            <w:vAlign w:val="bottom"/>
          </w:tcPr>
          <w:p>
            <w:pPr>
              <w:spacing w:after="0"/>
              <w:rPr>
                <w:sz w:val="19"/>
                <w:szCs w:val="19"/>
                <w:color w:val="auto"/>
              </w:rPr>
            </w:pPr>
          </w:p>
        </w:tc>
      </w:tr>
      <w:tr>
        <w:trPr>
          <w:trHeight w:val="236"/>
        </w:trPr>
        <w:tc>
          <w:tcPr>
            <w:tcW w:w="75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6"/>
                <w:szCs w:val="16"/>
                <w:color w:val="auto"/>
              </w:rPr>
              <w:t>Unvested RSUs</w:t>
            </w:r>
          </w:p>
        </w:tc>
        <w:tc>
          <w:tcPr>
            <w:tcW w:w="1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21,234,610</w:t>
            </w:r>
          </w:p>
        </w:tc>
        <w:tc>
          <w:tcPr>
            <w:tcW w:w="380" w:type="dxa"/>
            <w:vAlign w:val="bottom"/>
            <w:tcBorders>
              <w:bottom w:val="single" w:sz="8" w:color="CCECFF"/>
            </w:tcBorders>
            <w:shd w:val="clear" w:color="auto" w:fill="CCECFF"/>
          </w:tcPr>
          <w:p>
            <w:pPr>
              <w:spacing w:after="0"/>
              <w:rPr>
                <w:sz w:val="20"/>
                <w:szCs w:val="20"/>
                <w:color w:val="auto"/>
              </w:rPr>
            </w:pPr>
          </w:p>
        </w:tc>
        <w:tc>
          <w:tcPr>
            <w:tcW w:w="460" w:type="dxa"/>
            <w:vAlign w:val="bottom"/>
            <w:tcBorders>
              <w:bottom w:val="single" w:sz="8" w:color="auto"/>
            </w:tcBorders>
            <w:shd w:val="clear" w:color="auto" w:fill="CCECFF"/>
          </w:tcPr>
          <w:p>
            <w:pPr>
              <w:spacing w:after="0"/>
              <w:rPr>
                <w:sz w:val="20"/>
                <w:szCs w:val="20"/>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15,364,457</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0"/>
        </w:trPr>
        <w:tc>
          <w:tcPr>
            <w:tcW w:w="754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29,848,590</w:t>
            </w:r>
          </w:p>
        </w:tc>
        <w:tc>
          <w:tcPr>
            <w:tcW w:w="3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23,978,437</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-179705</wp:posOffset>
            </wp:positionV>
            <wp:extent cx="76835"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85"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In June 2016, the FASB issued Accounting Standards Update ASU No. 2016</w:t>
      </w:r>
      <w:r>
        <w:rPr>
          <w:rFonts w:ascii="MS PGothic" w:cs="MS PGothic" w:eastAsia="MS PGothic" w:hAnsi="MS PGothic"/>
          <w:sz w:val="16"/>
          <w:szCs w:val="16"/>
          <w:color w:val="auto"/>
        </w:rPr>
        <w:t>‑</w:t>
      </w:r>
      <w:r>
        <w:rPr>
          <w:rFonts w:ascii="Arial" w:cs="Arial" w:eastAsia="Arial" w:hAnsi="Arial"/>
          <w:sz w:val="16"/>
          <w:szCs w:val="16"/>
          <w:color w:val="auto"/>
        </w:rPr>
        <w:t xml:space="preserve">13, </w:t>
      </w:r>
      <w:r>
        <w:rPr>
          <w:rFonts w:ascii="Arial" w:cs="Arial" w:eastAsia="Arial" w:hAnsi="Arial"/>
          <w:sz w:val="16"/>
          <w:szCs w:val="16"/>
          <w:i w:val="1"/>
          <w:iCs w:val="1"/>
          <w:color w:val="auto"/>
        </w:rPr>
        <w:t>Financial Instruments-Credit Losses (Topic 326):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on Financial Instruments</w:t>
      </w:r>
      <w:r>
        <w:rPr>
          <w:rFonts w:ascii="Arial" w:cs="Arial" w:eastAsia="Arial" w:hAnsi="Arial"/>
          <w:sz w:val="16"/>
          <w:szCs w:val="16"/>
          <w:color w:val="auto"/>
        </w:rPr>
        <w:t>, which was codified with its subsequent amendments as ASC Topic 326,</w:t>
      </w:r>
      <w:r>
        <w:rPr>
          <w:rFonts w:ascii="Arial" w:cs="Arial" w:eastAsia="Arial" w:hAnsi="Arial"/>
          <w:sz w:val="16"/>
          <w:szCs w:val="16"/>
          <w:i w:val="1"/>
          <w:iCs w:val="1"/>
          <w:color w:val="auto"/>
        </w:rPr>
        <w:t xml:space="preserve"> Financial Instruments – Credit Losses </w:t>
      </w:r>
      <w:r>
        <w:rPr>
          <w:rFonts w:ascii="Arial" w:cs="Arial" w:eastAsia="Arial" w:hAnsi="Arial"/>
          <w:sz w:val="16"/>
          <w:szCs w:val="16"/>
          <w:color w:val="auto"/>
        </w:rPr>
        <w:t>(“ASC</w:t>
      </w:r>
      <w:r>
        <w:rPr>
          <w:rFonts w:ascii="Arial" w:cs="Arial" w:eastAsia="Arial" w:hAnsi="Arial"/>
          <w:sz w:val="16"/>
          <w:szCs w:val="16"/>
          <w:i w:val="1"/>
          <w:iCs w:val="1"/>
          <w:color w:val="auto"/>
        </w:rPr>
        <w:t xml:space="preserve"> </w:t>
      </w:r>
      <w:r>
        <w:rPr>
          <w:rFonts w:ascii="Arial" w:cs="Arial" w:eastAsia="Arial" w:hAnsi="Arial"/>
          <w:sz w:val="16"/>
          <w:szCs w:val="16"/>
          <w:color w:val="auto"/>
        </w:rPr>
        <w:t>326”). ASC 326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other GAAP with a methodology that reflects current expected credit losses and requires consideration of a broader range of reasonable and supportable information to inform credit loss estimates. The adoption of this guidance on January 1, 2023 did not have a material impact on the Company’s unaudited condensed consolidated financial statements and disclosures.</w:t>
      </w:r>
    </w:p>
    <w:p>
      <w:pPr>
        <w:spacing w:after="0" w:line="1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financial statements and assures that there are proper controls in place to ascertain that the Company’s financial statements properly reflect the change. The Company reviewed all other recently issued accounting pronouncements and concluded that they were either not applicable or not expected to have a significant impact on its condensed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r>
              <w:rPr>
                <w:rFonts w:ascii="Arial" w:cs="Arial" w:eastAsia="Arial" w:hAnsi="Arial"/>
                <w:sz w:val="18"/>
                <w:szCs w:val="18"/>
                <w:b w:val="1"/>
                <w:bCs w:val="1"/>
                <w:color w:val="auto"/>
              </w:rPr>
              <w:t>NOTE 3. BITCOIN</w:t>
            </w: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9220" w:type="dxa"/>
            <w:vAlign w:val="bottom"/>
          </w:tcPr>
          <w:p>
            <w:pPr>
              <w:spacing w:after="0"/>
              <w:rPr>
                <w:sz w:val="20"/>
                <w:szCs w:val="20"/>
                <w:color w:val="auto"/>
              </w:rPr>
            </w:pPr>
            <w:r>
              <w:rPr>
                <w:rFonts w:ascii="Arial" w:cs="Arial" w:eastAsia="Arial" w:hAnsi="Arial"/>
                <w:sz w:val="18"/>
                <w:szCs w:val="18"/>
                <w:color w:val="auto"/>
              </w:rPr>
              <w:t>The following table presents information about the Company’s bitcoin (in thousands):</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922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January 1, 2023</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00" w:type="dxa"/>
            <w:vAlign w:val="bottom"/>
            <w:shd w:val="clear" w:color="auto" w:fill="CCEEFF"/>
          </w:tcPr>
          <w:p>
            <w:pPr>
              <w:spacing w:after="0"/>
              <w:rPr>
                <w:sz w:val="21"/>
                <w:szCs w:val="21"/>
                <w:color w:val="auto"/>
              </w:rPr>
            </w:pPr>
          </w:p>
        </w:tc>
      </w:tr>
      <w:tr>
        <w:trPr>
          <w:trHeight w:val="237"/>
        </w:trPr>
        <w:tc>
          <w:tcPr>
            <w:tcW w:w="9220" w:type="dxa"/>
            <w:vAlign w:val="bottom"/>
          </w:tcPr>
          <w:p>
            <w:pPr>
              <w:ind w:left="200"/>
              <w:spacing w:after="0"/>
              <w:rPr>
                <w:sz w:val="20"/>
                <w:szCs w:val="20"/>
                <w:color w:val="auto"/>
              </w:rPr>
            </w:pPr>
            <w:r>
              <w:rPr>
                <w:rFonts w:ascii="Arial" w:cs="Arial" w:eastAsia="Arial" w:hAnsi="Arial"/>
                <w:sz w:val="18"/>
                <w:szCs w:val="18"/>
                <w:color w:val="auto"/>
              </w:rPr>
              <w:t>Bitcoin received from equity investees</w:t>
            </w:r>
          </w:p>
        </w:tc>
        <w:tc>
          <w:tcPr>
            <w:tcW w:w="7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r>
      <w:tr>
        <w:trPr>
          <w:trHeight w:val="249"/>
        </w:trPr>
        <w:tc>
          <w:tcPr>
            <w:tcW w:w="9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Revenue recognized from bitcoin mined, net of receivable</w:t>
            </w:r>
          </w:p>
        </w:tc>
        <w:tc>
          <w:tcPr>
            <w:tcW w:w="720" w:type="dxa"/>
            <w:vAlign w:val="bottom"/>
            <w:shd w:val="clear" w:color="auto" w:fill="CCECFF"/>
          </w:tcPr>
          <w:p>
            <w:pPr>
              <w:spacing w:after="0"/>
              <w:rPr>
                <w:sz w:val="21"/>
                <w:szCs w:val="21"/>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83,162</w:t>
            </w:r>
          </w:p>
        </w:tc>
        <w:tc>
          <w:tcPr>
            <w:tcW w:w="100" w:type="dxa"/>
            <w:vAlign w:val="bottom"/>
            <w:shd w:val="clear" w:color="auto" w:fill="CCECFF"/>
          </w:tcPr>
          <w:p>
            <w:pPr>
              <w:spacing w:after="0"/>
              <w:rPr>
                <w:sz w:val="21"/>
                <w:szCs w:val="21"/>
                <w:color w:val="auto"/>
              </w:rPr>
            </w:pPr>
          </w:p>
        </w:tc>
      </w:tr>
      <w:tr>
        <w:trPr>
          <w:trHeight w:val="237"/>
        </w:trPr>
        <w:tc>
          <w:tcPr>
            <w:tcW w:w="9220" w:type="dxa"/>
            <w:vAlign w:val="bottom"/>
          </w:tcPr>
          <w:p>
            <w:pPr>
              <w:ind w:left="200"/>
              <w:spacing w:after="0"/>
              <w:rPr>
                <w:sz w:val="20"/>
                <w:szCs w:val="20"/>
                <w:color w:val="auto"/>
              </w:rPr>
            </w:pPr>
            <w:r>
              <w:rPr>
                <w:rFonts w:ascii="Arial" w:cs="Arial" w:eastAsia="Arial" w:hAnsi="Arial"/>
                <w:sz w:val="18"/>
                <w:szCs w:val="18"/>
                <w:color w:val="auto"/>
              </w:rPr>
              <w:t>Proceeds from sale of bitcoin, net of realized gain</w:t>
            </w:r>
          </w:p>
        </w:tc>
        <w:tc>
          <w:tcPr>
            <w:tcW w:w="72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(68,019 )</w:t>
            </w:r>
          </w:p>
        </w:tc>
      </w:tr>
      <w:tr>
        <w:trPr>
          <w:trHeight w:val="249"/>
        </w:trPr>
        <w:tc>
          <w:tcPr>
            <w:tcW w:w="9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Impairment of bitcoin</w:t>
            </w:r>
          </w:p>
        </w:tc>
        <w:tc>
          <w:tcPr>
            <w:tcW w:w="72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(8,076 )</w:t>
            </w:r>
          </w:p>
        </w:tc>
      </w:tr>
      <w:tr>
        <w:trPr>
          <w:trHeight w:val="237"/>
        </w:trPr>
        <w:tc>
          <w:tcPr>
            <w:tcW w:w="9220" w:type="dxa"/>
            <w:vAlign w:val="bottom"/>
            <w:tcBorders>
              <w:top w:val="single" w:sz="8" w:color="CCECFF"/>
            </w:tcBorders>
          </w:tcPr>
          <w:p>
            <w:pPr>
              <w:ind w:left="20"/>
              <w:spacing w:after="0"/>
              <w:rPr>
                <w:sz w:val="20"/>
                <w:szCs w:val="20"/>
                <w:color w:val="auto"/>
              </w:rPr>
            </w:pPr>
            <w:r>
              <w:rPr>
                <w:rFonts w:ascii="Arial" w:cs="Arial" w:eastAsia="Arial" w:hAnsi="Arial"/>
                <w:sz w:val="18"/>
                <w:szCs w:val="18"/>
                <w:b w:val="1"/>
                <w:bCs w:val="1"/>
                <w:color w:val="auto"/>
              </w:rPr>
              <w:t>Balance as of September 30, 2023</w:t>
            </w: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13,667</w:t>
            </w:r>
          </w:p>
        </w:tc>
        <w:tc>
          <w:tcPr>
            <w:tcW w:w="100" w:type="dxa"/>
            <w:vAlign w:val="bottom"/>
            <w:tcBorders>
              <w:top w:val="single" w:sz="8" w:color="CCECFF"/>
            </w:tcBorders>
          </w:tcPr>
          <w:p>
            <w:pPr>
              <w:spacing w:after="0"/>
              <w:rPr>
                <w:sz w:val="20"/>
                <w:szCs w:val="20"/>
                <w:color w:val="auto"/>
              </w:rPr>
            </w:pPr>
          </w:p>
        </w:tc>
      </w:tr>
      <w:tr>
        <w:trPr>
          <w:trHeight w:val="20"/>
        </w:trPr>
        <w:tc>
          <w:tcPr>
            <w:tcW w:w="9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fair value of the Company’s bitcoin as of September 30, 2023 was approximately $14.5 million and was estimated using the closing price of bitcoin, which is a Level 1 input (i.e., an observable input such as a quoted price in an active market for an identical asset).</w:t>
      </w:r>
    </w:p>
    <w:p>
      <w:pPr>
        <w:spacing w:after="0" w:line="13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During the three and nine months ended September 30, 2023, the Company recorded impairment charges on its bitcoin holdings of approximately $3.4 million and $8.1 million, respectively. Impairment charges were approximately $0.3 million and $0.9 million for the three and nine months ended September 30, 2022,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DERIVATIVE ASSET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Luminant Power Agreement</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June 23, 2021, the Company entered into a power purchase agreement with Luminant ET Services Company LLC (“Luminant”), which was subsequently amended and restated on July 9, 2021, and further amended on February 28, 2022, August 26, 2022 and August 23, 2023 (as amended, the “Luminant Power Agreement”), for the supply of a fixed amount of electric power to the Odessa Facility at a fixed price for a term of five years, subject to certain early termination exemptions. The Luminant Power Agreement provides for a subsequent automatic annual renewal unless either party provides written notice to the other party of its intent to terminate the agreement at least six months prior to the expiration of the then current term. Starting from July 1, 2022, and prior to the receipt of interconnection approval from the Electric Reliability Council of Texas (“ERCOT”), under the take or pay framework of the Luminant Power Agreement and pursuant to the ramp-up schedule agreed to between Luminant and Cipher, Luminant began sales of the scheduled energy in the ERCOT market.</w:t>
      </w:r>
    </w:p>
    <w:p>
      <w:pPr>
        <w:spacing w:after="0" w:line="15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Because ERCOT allows for net settlement, the Company’s management determined that, as of July 1, 2022, the Luminant Power Agreement met the definition of a derivative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Because the Company has the ability to sell its electricity in the ERCOT market rather than take physical delivery, physical delivery is not probable through the entirety of the contract and therefore, the Company’s management does not believe the normal purchases and normal sales scope exception applies to the Luminant Power Agreement. Accordingly, the Luminant Power Agreement (the non-hedging derivative contract) is recorded at its estimated fair value each reporting period with the change in the fair value recorded in change in fair value of derivative asset in the consolidated statements of operations. See additional information regarding valuation of the Luminant Power Agreement derivative in Note 16. </w:t>
      </w:r>
      <w:r>
        <w:rPr>
          <w:rFonts w:ascii="Arial" w:cs="Arial" w:eastAsia="Arial" w:hAnsi="Arial"/>
          <w:sz w:val="17"/>
          <w:szCs w:val="17"/>
          <w:i w:val="1"/>
          <w:iCs w:val="1"/>
          <w:color w:val="auto"/>
        </w:rPr>
        <w:t>Fair Value Measurements</w:t>
      </w:r>
      <w:r>
        <w:rPr>
          <w:rFonts w:ascii="Arial" w:cs="Arial" w:eastAsia="Arial" w:hAnsi="Arial"/>
          <w:sz w:val="17"/>
          <w:szCs w:val="17"/>
          <w:color w:val="auto"/>
        </w:rPr>
        <w:t>.</w:t>
      </w:r>
    </w:p>
    <w:p>
      <w:pPr>
        <w:spacing w:after="0" w:line="13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Depending on the spot market price of electricity, the Company may opportunistically sell electricity in the ERCOT market in exchange for cash payments, rather than utilizing the power to mine for bitcoin at the Odessa Facility during peak times in order to most efficiently manage the Company’s operating costs. The Company earned approximately $2.7 million and $8.5 million, respectively from power sales for the three and nine months ended September 30, 2023, and recorded this amount in power sales within costs and operating expenses (income) on the unaudited condensed consolidated statement of operations, with the corresponding cost of the power sold recorded in cost of revenue. See Note 1. </w:t>
      </w:r>
      <w:r>
        <w:rPr>
          <w:rFonts w:ascii="Arial" w:cs="Arial" w:eastAsia="Arial" w:hAnsi="Arial"/>
          <w:sz w:val="17"/>
          <w:szCs w:val="17"/>
          <w:i w:val="1"/>
          <w:iCs w:val="1"/>
          <w:color w:val="auto"/>
        </w:rPr>
        <w:t>Organization</w:t>
      </w:r>
      <w:r>
        <w:rPr>
          <w:rFonts w:ascii="Arial" w:cs="Arial" w:eastAsia="Arial" w:hAnsi="Arial"/>
          <w:sz w:val="17"/>
          <w:szCs w:val="17"/>
          <w:color w:val="auto"/>
        </w:rPr>
        <w:t xml:space="preserve"> for information regarding the out-of-period adjustments recorded during the nine months ended September 30, 2023, which affected cost of power, power sales, net operating loss and net loss on the Company’s unaudited condensed consolidated statement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NOTE 5. PROPERTY AND EQUIPMENT</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60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600" w:type="dxa"/>
            <w:vAlign w:val="bottom"/>
          </w:tcPr>
          <w:p>
            <w:pPr>
              <w:spacing w:after="0"/>
              <w:rPr>
                <w:sz w:val="24"/>
                <w:szCs w:val="24"/>
                <w:color w:val="auto"/>
              </w:rPr>
            </w:pPr>
          </w:p>
        </w:tc>
        <w:tc>
          <w:tcPr>
            <w:tcW w:w="20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0"/>
              </w:rPr>
              <w:t>September 30, 2023</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 2022</w:t>
            </w: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Miners and mining equipment</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160,477</w:t>
            </w:r>
          </w:p>
        </w:tc>
        <w:tc>
          <w:tcPr>
            <w:tcW w:w="420" w:type="dxa"/>
            <w:vAlign w:val="bottom"/>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79,909</w:t>
            </w:r>
          </w:p>
        </w:tc>
        <w:tc>
          <w:tcPr>
            <w:tcW w:w="100" w:type="dxa"/>
            <w:vAlign w:val="bottom"/>
            <w:shd w:val="clear" w:color="auto" w:fill="CCEEFF"/>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135,688</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94,807</w:t>
            </w:r>
          </w:p>
        </w:tc>
        <w:tc>
          <w:tcPr>
            <w:tcW w:w="100" w:type="dxa"/>
            <w:vAlign w:val="bottom"/>
          </w:tcPr>
          <w:p>
            <w:pPr>
              <w:spacing w:after="0"/>
              <w:rPr>
                <w:sz w:val="20"/>
                <w:szCs w:val="20"/>
                <w:color w:val="auto"/>
              </w:rPr>
            </w:pPr>
          </w:p>
        </w:tc>
      </w:tr>
      <w:tr>
        <w:trPr>
          <w:trHeight w:val="24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4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Office and computer equipment</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r>
      <w:tr>
        <w:trPr>
          <w:trHeight w:val="24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Autos</w:t>
            </w: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5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 cost of property and equipment</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301,114</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195,979</w:t>
            </w:r>
          </w:p>
        </w:tc>
        <w:tc>
          <w:tcPr>
            <w:tcW w:w="100" w:type="dxa"/>
            <w:vAlign w:val="bottom"/>
          </w:tcPr>
          <w:p>
            <w:pPr>
              <w:spacing w:after="0"/>
              <w:rPr>
                <w:sz w:val="20"/>
                <w:szCs w:val="20"/>
                <w:color w:val="auto"/>
              </w:rPr>
            </w:pPr>
          </w:p>
        </w:tc>
      </w:tr>
      <w:tr>
        <w:trPr>
          <w:trHeight w:val="243"/>
        </w:trPr>
        <w:tc>
          <w:tcPr>
            <w:tcW w:w="7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Less: accumulated depreciation</w:t>
            </w:r>
          </w:p>
        </w:tc>
        <w:tc>
          <w:tcPr>
            <w:tcW w:w="540" w:type="dxa"/>
            <w:vAlign w:val="bottom"/>
            <w:shd w:val="clear" w:color="auto" w:fill="CCECFF"/>
          </w:tcPr>
          <w:p>
            <w:pPr>
              <w:spacing w:after="0"/>
              <w:rPr>
                <w:sz w:val="21"/>
                <w:szCs w:val="21"/>
                <w:color w:val="auto"/>
              </w:rPr>
            </w:pPr>
          </w:p>
        </w:tc>
        <w:tc>
          <w:tcPr>
            <w:tcW w:w="1460" w:type="dxa"/>
            <w:vAlign w:val="bottom"/>
            <w:gridSpan w:val="2"/>
            <w:shd w:val="clear" w:color="auto" w:fill="CCECFF"/>
          </w:tcPr>
          <w:p>
            <w:pPr>
              <w:jc w:val="right"/>
              <w:ind w:right="360"/>
              <w:spacing w:after="0"/>
              <w:rPr>
                <w:sz w:val="20"/>
                <w:szCs w:val="20"/>
                <w:color w:val="auto"/>
              </w:rPr>
            </w:pPr>
            <w:r>
              <w:rPr>
                <w:rFonts w:ascii="Arial" w:cs="Arial" w:eastAsia="Arial" w:hAnsi="Arial"/>
                <w:sz w:val="18"/>
                <w:szCs w:val="18"/>
                <w:color w:val="auto"/>
              </w:rPr>
              <w:t>(42,819 )</w:t>
            </w:r>
          </w:p>
        </w:tc>
        <w:tc>
          <w:tcPr>
            <w:tcW w:w="52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(4,195 )</w:t>
            </w:r>
          </w:p>
        </w:tc>
      </w:tr>
      <w:tr>
        <w:trPr>
          <w:trHeight w:val="243"/>
        </w:trPr>
        <w:tc>
          <w:tcPr>
            <w:tcW w:w="760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Property and equipment, net</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258,295</w:t>
            </w:r>
          </w:p>
        </w:tc>
        <w:tc>
          <w:tcPr>
            <w:tcW w:w="420" w:type="dxa"/>
            <w:vAlign w:val="bottom"/>
            <w:tcBorders>
              <w:top w:val="single" w:sz="8" w:color="CCEC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191,784</w:t>
            </w:r>
          </w:p>
        </w:tc>
        <w:tc>
          <w:tcPr>
            <w:tcW w:w="100" w:type="dxa"/>
            <w:vAlign w:val="bottom"/>
            <w:tcBorders>
              <w:top w:val="single" w:sz="8" w:color="CCECFF"/>
            </w:tcBorders>
          </w:tcPr>
          <w:p>
            <w:pPr>
              <w:spacing w:after="0"/>
              <w:rPr>
                <w:sz w:val="21"/>
                <w:szCs w:val="21"/>
                <w:color w:val="auto"/>
              </w:rPr>
            </w:pPr>
          </w:p>
        </w:tc>
      </w:tr>
      <w:tr>
        <w:trPr>
          <w:trHeight w:val="20"/>
        </w:trPr>
        <w:tc>
          <w:tcPr>
            <w:tcW w:w="7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-505460</wp:posOffset>
            </wp:positionV>
            <wp:extent cx="6858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85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5"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During the nine months ended September 30, 2023 and 2022, the Company placed approximately $37.5 million and nil, respectively, of construction-in-progress into service at the Odessa Facility. Depreciation expense was approximately $16.2 million and $42.3 million, respectively, for the three and nine months ended September 30, 2023 and included approximately $0.4 million and $1.3 million, respectively, of accretion expense related to the Company’s asset retirement obligation. Depreciation expense was immaterial for the three and nine months ended September 30, 2022.</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During the first quarter of fiscal 2023, the Company received the remaining 17,094 MicroBT M30S, M30S+ and M30S++ miners (“MicroBT miners”) related to the framework agreement of September 2021 with SuperAcme Technology (Hong Kong) Limited (“SuperAcme”), which was amended and restated by the Amended and Restated Framework Agreement on Supply of Blockchain Servers (the “Amended and Restated Framework Agreement”), dated as of May 6, 2022, and subject to the Supplementary Agreement of the Framework Agreement on Supply of Blockchain Servers (the “Supplementary Agreement). These MicroBT miners received during the first quarter of fiscal 2023 had an aggregate cost of approximately $50.7 million and were purchased by the Company at the new fixed and floating price terms set forth in the Supplementary Agreement. The Company also received 4,622 Antminer S19j Pro (100 TH/s) (“S19j Pro”) miners from Bitmain with a cost basis of approximately $1.6 million during the first quarter of fiscal 2023. As of September 30, 2023, the Company had a total of 35,117 MicroBT miners, 14,907 S19j Pro miners and 11,000 Canaan A1346 model miners for a total of 61,024 miners at its Odessa Facility. See additional information regarding the Canaan miners in Note 11.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DEPOSITS ON EQUIPMENT</w:t>
      </w:r>
    </w:p>
    <w:p>
      <w:pPr>
        <w:spacing w:after="0" w:line="18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In November and December 2022, the Company agreed to purchase 5,000 and 2,200, respectively, S19j Pro miners from Bitmain. The Company utilized accumulated Bitmain credits and coupons for the majority of the purchase price for these miners and has no further payments due in respect of these orders. Information regarding the quantity of Bitmain miners received pursuant to these agreements during the nine months ended September 30, 2023 is disclosed in Note 5. </w:t>
      </w:r>
      <w:r>
        <w:rPr>
          <w:rFonts w:ascii="Arial" w:cs="Arial" w:eastAsia="Arial" w:hAnsi="Arial"/>
          <w:sz w:val="16"/>
          <w:szCs w:val="16"/>
          <w:i w:val="1"/>
          <w:iCs w:val="1"/>
          <w:color w:val="auto"/>
        </w:rPr>
        <w:t>Property and Equipment</w:t>
      </w:r>
      <w:r>
        <w:rPr>
          <w:rFonts w:ascii="Arial" w:cs="Arial" w:eastAsia="Arial" w:hAnsi="Arial"/>
          <w:sz w:val="16"/>
          <w:szCs w:val="16"/>
          <w:color w:val="auto"/>
        </w:rPr>
        <w:t>. As of September 30, 2023, the Company did not have material open purchase agreement commitments.</w:t>
      </w:r>
    </w:p>
    <w:p>
      <w:pPr>
        <w:spacing w:after="0" w:line="13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As disclosed in Note 18. </w:t>
      </w:r>
      <w:r>
        <w:rPr>
          <w:rFonts w:ascii="Arial" w:cs="Arial" w:eastAsia="Arial" w:hAnsi="Arial"/>
          <w:sz w:val="17"/>
          <w:szCs w:val="17"/>
          <w:i w:val="1"/>
          <w:iCs w:val="1"/>
          <w:color w:val="auto"/>
        </w:rPr>
        <w:t>Subsequent Events</w:t>
      </w:r>
      <w:r>
        <w:rPr>
          <w:rFonts w:ascii="Arial" w:cs="Arial" w:eastAsia="Arial" w:hAnsi="Arial"/>
          <w:sz w:val="17"/>
          <w:szCs w:val="17"/>
          <w:color w:val="auto"/>
        </w:rPr>
        <w:t>, on October 4, 2023, the Company entered into an agreement with Bitmain to purchase 1.2 EH/s worth of Bitmain’s new HASH Super Computing Servers (Antminer S21-200.0T model) for a total purchase price of $24.0 million to be paid in cash and coupons, or $16.8 million in cash after applying coupons. The Company expects to make periodic payments in accordance with the payment schedule under this agreement, with the final payment expected to occur one year after the delivery of the last batch of miners. Related to this agreement, in September 2023, the Company made a $1.2 million deposit for the related equipment, representing the balance of deposits on equipment as of September 30, 2023. Batches of the Antminer S21 miners are expected to be delivered between January and June 2024.</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 IN EQUITY INVESTEES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uses the equity method of accounting to account for its 49% equity interest in its partially owned mining operations Alborz LLC, Bear LLC and Chief, LLC (the “Data Center LLCs”). The Company recognized a total of approximately $2.0 million and $4.2 million of net losses in equity in losses of equity investees within the condensed consolidated statements of operations during the three and nine months ended September 30, 2023, respectively, and $8.3 million and $20.6 million of net losses in equity in losses of equity investees during the three and nine months ended September 30, 2022, respectively.</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fiscal year 2022, the Company contributed miners and mining equipment to the Alborz, Bear and Chief Facilities. The majority of these contributed miners had a fair value that was lower than the cost paid by the Company to obtain them, and the Company recognized losses at the time of the contributions, resulting in basis differences related to the Company’s investments in Alborz LLC, Bear LLC and Chief LLC, all of which recorded the contributions of equipment from the Company at the historical cost paid by the Company to obtain the equipment. As Alborz LLC, Bear LLC and Chief LLC depreciate the historical cost of these miners on their respective financial statements over the expected depreciation period of five years, the Company accretes these basis differences over the same period and records the accretion amount for each reporting period within equity in losses of equity investees on its statements of operations until these miners are fully depreciated and the corresponding basis differences are fully accreted. As of September 30, 2023, the Company had remaining basis differences totaling approximately $26.4 million that have not yet been accreted. Accretion recorded by the Company during the nine months ended September 30, 2023 is shown in the table below and was recorded within equity in losses of equity investees on the statement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Activity in the Company’s investments in equity investees during the nine months ended September 30, 2023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January 1, 2023</w:t>
            </w:r>
          </w:p>
        </w:tc>
        <w:tc>
          <w:tcPr>
            <w:tcW w:w="120" w:type="dxa"/>
            <w:vAlign w:val="bottom"/>
            <w:shd w:val="clear" w:color="auto" w:fill="CCECFF"/>
          </w:tcPr>
          <w:p>
            <w:pPr>
              <w:spacing w:after="0"/>
              <w:rPr>
                <w:sz w:val="21"/>
                <w:szCs w:val="21"/>
                <w:color w:val="auto"/>
              </w:rPr>
            </w:pPr>
          </w:p>
        </w:tc>
        <w:tc>
          <w:tcPr>
            <w:tcW w:w="1300" w:type="dxa"/>
            <w:vAlign w:val="bottom"/>
            <w:shd w:val="clear" w:color="auto" w:fill="CCEC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37,478</w:t>
            </w:r>
          </w:p>
        </w:tc>
        <w:tc>
          <w:tcPr>
            <w:tcW w:w="100" w:type="dxa"/>
            <w:vAlign w:val="bottom"/>
            <w:shd w:val="clear" w:color="auto" w:fill="CCEEFF"/>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Cost of contributed mining equipment and other capital contributions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20"/>
                <w:szCs w:val="20"/>
                <w:color w:val="auto"/>
              </w:rPr>
            </w:pPr>
          </w:p>
        </w:tc>
      </w:tr>
      <w:tr>
        <w:trPr>
          <w:trHeight w:val="249"/>
        </w:trPr>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basis differences related to miner contributions</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00" w:type="dxa"/>
            <w:vAlign w:val="bottom"/>
            <w:shd w:val="clear" w:color="auto" w:fill="CCEEFF"/>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Capital distributions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(3,807 )</w:t>
            </w:r>
          </w:p>
        </w:tc>
      </w:tr>
      <w:tr>
        <w:trPr>
          <w:trHeight w:val="249"/>
        </w:trPr>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Bitcoin received from equity investees</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(317 )</w:t>
            </w: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Equity in net losses of equity investees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(9,192 )</w:t>
            </w:r>
          </w:p>
        </w:tc>
      </w:tr>
      <w:tr>
        <w:trPr>
          <w:trHeight w:val="277"/>
        </w:trPr>
        <w:tc>
          <w:tcPr>
            <w:tcW w:w="76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September 30, 2023</w:t>
            </w:r>
          </w:p>
        </w:tc>
        <w:tc>
          <w:tcPr>
            <w:tcW w:w="120" w:type="dxa"/>
            <w:vAlign w:val="bottom"/>
            <w:tcBorders>
              <w:bottom w:val="single" w:sz="8" w:color="CCECFF"/>
            </w:tcBorders>
            <w:shd w:val="clear" w:color="auto" w:fill="CCECFF"/>
          </w:tcPr>
          <w:p>
            <w:pPr>
              <w:spacing w:after="0"/>
              <w:rPr>
                <w:sz w:val="24"/>
                <w:szCs w:val="24"/>
                <w:color w:val="auto"/>
              </w:rPr>
            </w:pPr>
          </w:p>
        </w:tc>
        <w:tc>
          <w:tcPr>
            <w:tcW w:w="130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33,609</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737"/>
        </w:trPr>
        <w:tc>
          <w:tcPr>
            <w:tcW w:w="7600" w:type="dxa"/>
            <w:vAlign w:val="bottom"/>
          </w:tcPr>
          <w:p>
            <w:pPr>
              <w:spacing w:after="0"/>
              <w:rPr>
                <w:sz w:val="20"/>
                <w:szCs w:val="20"/>
                <w:color w:val="auto"/>
              </w:rPr>
            </w:pPr>
            <w:r>
              <w:rPr>
                <w:rFonts w:ascii="Arial" w:cs="Arial" w:eastAsia="Arial" w:hAnsi="Arial"/>
                <w:sz w:val="18"/>
                <w:szCs w:val="18"/>
                <w:b w:val="1"/>
                <w:bCs w:val="1"/>
                <w:color w:val="auto"/>
              </w:rPr>
              <w:t>NOTE 8. SECURITY DEPOSITS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600" w:type="dxa"/>
            <w:vAlign w:val="bottom"/>
          </w:tcPr>
          <w:p>
            <w:pPr>
              <w:spacing w:after="0"/>
              <w:rPr>
                <w:sz w:val="20"/>
                <w:szCs w:val="20"/>
                <w:color w:val="auto"/>
              </w:rPr>
            </w:pPr>
            <w:r>
              <w:rPr>
                <w:rFonts w:ascii="Arial" w:cs="Arial" w:eastAsia="Arial" w:hAnsi="Arial"/>
                <w:sz w:val="18"/>
                <w:szCs w:val="18"/>
                <w:color w:val="auto"/>
              </w:rPr>
              <w:t>The Company’s security deposits consisted of the following (in thousands):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0"/>
              </w:rPr>
              <w:t>December 31, 2022</w:t>
            </w: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Luminant Power Purchase Agreement collateral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12,554</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12,554</w:t>
            </w:r>
          </w:p>
        </w:tc>
        <w:tc>
          <w:tcPr>
            <w:tcW w:w="100" w:type="dxa"/>
            <w:vAlign w:val="bottom"/>
            <w:shd w:val="clear" w:color="auto" w:fill="CCEEFF"/>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Luminant Purchase and Sale Agreement collateral</w:t>
            </w:r>
          </w:p>
        </w:tc>
        <w:tc>
          <w:tcPr>
            <w:tcW w:w="1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3,063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0"/>
                <w:szCs w:val="20"/>
                <w:color w:val="auto"/>
              </w:rPr>
            </w:pPr>
          </w:p>
        </w:tc>
      </w:tr>
      <w:tr>
        <w:trPr>
          <w:trHeight w:val="24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security deposits</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 deposits</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r>
      <w:tr>
        <w:trPr>
          <w:trHeight w:val="277"/>
        </w:trPr>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security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17,586</w:t>
            </w: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SUPPLEMENTAL FINANCIAL INFORMATION</w:t>
      </w:r>
    </w:p>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Prepaid expenses and other current assets was $4.0 million and $7.3 million as of September 30, 2023 and December 31, 2022, respectively, primarily consisting of prepaid insurance. As of December 31, 2022, the prepaid expenses and other current assets balance also included approximately $1.2 million of bitcoin temporarily held for the Company’s joint venture partner, WindHQ LLC (“WindHQ”).</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accrued expenses and other current liabilities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w w:val="89"/>
              </w:rPr>
              <w:t>September 30, 2023</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0"/>
              </w:rPr>
              <w:t>December 31, 2022</w:t>
            </w:r>
          </w:p>
        </w:tc>
        <w:tc>
          <w:tcPr>
            <w:tcW w:w="100" w:type="dxa"/>
            <w:vAlign w:val="bottom"/>
          </w:tcPr>
          <w:p>
            <w:pPr>
              <w:spacing w:after="0"/>
              <w:rPr>
                <w:sz w:val="19"/>
                <w:szCs w:val="19"/>
                <w:color w:val="auto"/>
              </w:rPr>
            </w:pPr>
          </w:p>
        </w:tc>
      </w:tr>
      <w:tr>
        <w:trPr>
          <w:trHeight w:val="243"/>
        </w:trPr>
        <w:tc>
          <w:tcPr>
            <w:tcW w:w="7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Taxes (primarily sales tax)</w:t>
            </w: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12,551</w:t>
            </w:r>
          </w:p>
        </w:tc>
        <w:tc>
          <w:tcPr>
            <w:tcW w:w="420" w:type="dxa"/>
            <w:vAlign w:val="bottom"/>
            <w:shd w:val="clear" w:color="auto" w:fill="CCECFF"/>
          </w:tcPr>
          <w:p>
            <w:pPr>
              <w:spacing w:after="0"/>
              <w:rPr>
                <w:sz w:val="21"/>
                <w:szCs w:val="21"/>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18,798</w:t>
            </w:r>
          </w:p>
        </w:tc>
        <w:tc>
          <w:tcPr>
            <w:tcW w:w="100" w:type="dxa"/>
            <w:vAlign w:val="bottom"/>
            <w:shd w:val="clear" w:color="auto" w:fill="CCECFF"/>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Power costs</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4,594</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Employee compensation</w:t>
            </w:r>
          </w:p>
        </w:tc>
        <w:tc>
          <w:tcPr>
            <w:tcW w:w="100" w:type="dxa"/>
            <w:vAlign w:val="bottom"/>
            <w:shd w:val="clear" w:color="auto" w:fill="CCECFF"/>
          </w:tcPr>
          <w:p>
            <w:pPr>
              <w:spacing w:after="0"/>
              <w:rPr>
                <w:sz w:val="21"/>
                <w:szCs w:val="21"/>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3,636</w:t>
            </w:r>
          </w:p>
        </w:tc>
        <w:tc>
          <w:tcPr>
            <w:tcW w:w="4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1"/>
                <w:szCs w:val="21"/>
                <w:color w:val="auto"/>
              </w:rPr>
            </w:pPr>
          </w:p>
        </w:tc>
      </w:tr>
      <w:tr>
        <w:trPr>
          <w:trHeight w:val="243"/>
        </w:trPr>
        <w:tc>
          <w:tcPr>
            <w:tcW w:w="760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Finance lease </w:t>
            </w:r>
            <w:r>
              <w:rPr>
                <w:rFonts w:ascii="Arial" w:cs="Arial" w:eastAsia="Arial" w:hAnsi="Arial"/>
                <w:sz w:val="24"/>
                <w:szCs w:val="24"/>
                <w:color w:val="auto"/>
                <w:vertAlign w:val="superscript"/>
              </w:rPr>
              <w:t>(1)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1,742</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r>
      <w:tr>
        <w:trPr>
          <w:trHeight w:val="243"/>
        </w:trPr>
        <w:tc>
          <w:tcPr>
            <w:tcW w:w="7600" w:type="dxa"/>
            <w:vAlign w:val="bottom"/>
            <w:shd w:val="clear" w:color="auto" w:fill="CCECFF"/>
          </w:tcPr>
          <w:p>
            <w:pPr>
              <w:ind w:left="20"/>
              <w:spacing w:after="0" w:line="243" w:lineRule="exact"/>
              <w:rPr>
                <w:sz w:val="20"/>
                <w:szCs w:val="20"/>
                <w:color w:val="auto"/>
              </w:rPr>
            </w:pPr>
            <w:r>
              <w:rPr>
                <w:rFonts w:ascii="Arial" w:cs="Arial" w:eastAsia="Arial" w:hAnsi="Arial"/>
                <w:sz w:val="18"/>
                <w:szCs w:val="18"/>
                <w:color w:val="auto"/>
              </w:rPr>
              <w:t xml:space="preserve">Legal settlement </w:t>
            </w:r>
            <w:r>
              <w:rPr>
                <w:rFonts w:ascii="Arial" w:cs="Arial" w:eastAsia="Arial" w:hAnsi="Arial"/>
                <w:sz w:val="24"/>
                <w:szCs w:val="24"/>
                <w:color w:val="auto"/>
                <w:vertAlign w:val="superscript"/>
              </w:rPr>
              <w:t>(2)</w:t>
            </w:r>
          </w:p>
        </w:tc>
        <w:tc>
          <w:tcPr>
            <w:tcW w:w="100" w:type="dxa"/>
            <w:vAlign w:val="bottom"/>
            <w:shd w:val="clear" w:color="auto" w:fill="CCECFF"/>
          </w:tcPr>
          <w:p>
            <w:pPr>
              <w:spacing w:after="0"/>
              <w:rPr>
                <w:sz w:val="21"/>
                <w:szCs w:val="21"/>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4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r>
      <w:tr>
        <w:trPr>
          <w:trHeight w:val="277"/>
        </w:trPr>
        <w:tc>
          <w:tcPr>
            <w:tcW w:w="76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24,813</w:t>
            </w:r>
          </w:p>
        </w:tc>
        <w:tc>
          <w:tcPr>
            <w:tcW w:w="420" w:type="dxa"/>
            <w:vAlign w:val="bottom"/>
            <w:tcBorders>
              <w:bottom w:val="single" w:sz="8" w:color="CCECFF"/>
            </w:tcBorders>
            <w:shd w:val="clear" w:color="auto" w:fill="CCECFF"/>
          </w:tcPr>
          <w:p>
            <w:pPr>
              <w:spacing w:after="0"/>
              <w:rPr>
                <w:sz w:val="24"/>
                <w:szCs w:val="24"/>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19,353</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__________</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-179070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-162560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220" w:hanging="212"/>
        <w:spacing w:after="0" w:line="211" w:lineRule="auto"/>
        <w:tabs>
          <w:tab w:leader="none" w:pos="220" w:val="left"/>
        </w:tabs>
        <w:numPr>
          <w:ilvl w:val="0"/>
          <w:numId w:val="5"/>
        </w:numPr>
        <w:rPr>
          <w:rFonts w:ascii="Arial" w:cs="Arial" w:eastAsia="Arial" w:hAnsi="Arial"/>
          <w:sz w:val="24"/>
          <w:szCs w:val="24"/>
          <w:color w:val="auto"/>
          <w:vertAlign w:val="superscript"/>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additional information regarding the Company’s finance leases.</w:t>
      </w:r>
    </w:p>
    <w:p>
      <w:pPr>
        <w:spacing w:after="0" w:line="29"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5"/>
        </w:numPr>
        <w:rPr>
          <w:rFonts w:ascii="Arial" w:cs="Arial" w:eastAsia="Arial" w:hAnsi="Arial"/>
          <w:sz w:val="24"/>
          <w:szCs w:val="24"/>
          <w:color w:val="auto"/>
          <w:vertAlign w:val="superscript"/>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information regarding the legal settlement accrual as of September 30, 2023.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receivables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Related party receivables were $1.1 million as of December 31, 2022, consisting of expenses paid on behalf of the Data Center LLCs. The Company recorded an additional $1.0 million of related party receivables during the nine months ended September 30, 2023, representing additional expenses paid on behalf of the Data Center LLCs, and subsequently reclassified the total outstanding balance of $2.1 million to investment in equity investees on the condensed consolidated balance sheet as of September 30, 2023. As a result of this reclassification, related party receivables were nil as of September 30, 2023.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 deposits on equipment and related party payables</w:t>
      </w:r>
    </w:p>
    <w:p>
      <w:pPr>
        <w:spacing w:after="0" w:line="19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entered into two agreements with Bitfury USA Inc. (“Bitfury USA”), made under, and as a part of, the Master Services and Supply Agreement to purchase BBACs. Additionally, Bitfury USA contracted with third-party vendors for the purchase of equipment and the receipt of services related to Cipher’s future mining operations. Pursuant to one of these arrangements between Bitfury USA and a third-party vendor, Paradigm Controls of Texas, LLC (“Paradigm”), the Company made payments directly to Paradigm in place of Bitfury USA, in respect of manufacturing services for BBACs, totaling approximately $5.8 million during the nine months ended September 30, 2023 and the Company’s obligations to Bitfury USA under the Master Services and Supply Agreement were reduced by the same amount.</w:t>
      </w:r>
    </w:p>
    <w:p>
      <w:pPr>
        <w:spacing w:after="0" w:line="192"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As of December 31, 2022, in relation to the Company assisting WindHQ with the liquidation of some of WindHQ’s bitcoin holdings, the Company had approximately $1.2 million of bitcoin and approximately $0.3 million of proceeds received, but not yet transferred to WindHQ, respectively, recorded in accounts payable, related party on its consolidated balance sheet. During the nine months ended September 30, 2023, all of the bitcoin held by the Company on behalf of WindHQ was liquidated and all proceeds received from the liquidation were forwarded to WindHQ, leaving no remaining amount payable to WindHQ in accounts payable, related party as of September 30, 2023 on the Company’s unaudited condensed consolidated balance sheet.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Luminant Lease Agreement</w:t>
      </w:r>
    </w:p>
    <w:p>
      <w:pPr>
        <w:spacing w:after="0" w:line="18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entered into a series of agreements with affiliates of Luminant, including the Lease Agreement dated June 29, 2021, with amendment and restatement on July 9, 2021 and August 23, 2023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Luminant Purchase and Sale Agreement to build the infrastructure necessary to support its Odessa Facility operations. The Company determined that the Luminant Lease Agreement and the Luminant Purchase and Sale Agreement should be combined for accounting purposes under ASC 842 (collectively, the “Combined Luminant Lease Agreement”) and that amounts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exchanged under the combined contract should be allocated to the various components of the overall transaction based on relative fair values.</w:t>
      </w:r>
    </w:p>
    <w:p>
      <w:pPr>
        <w:spacing w:after="0" w:line="21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Company’s management determined that the Combined Luminant Lease Agreement contains two lease components; and the components should be accounted for together as a single lease component, because the effect of accounting for the land lease separately would be insignificant.</w:t>
      </w:r>
    </w:p>
    <w:p>
      <w:pPr>
        <w:spacing w:after="0" w:line="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 Despite lease commencement in November 2022, the Company had not been required by Luminant to make any lease payments for the substation prior to July 2023, therefore the Company accrued amounts due under the Combined Luminant Lease Agreement in accrued expenses and other current liabilities on its unaudited condensed consolidated balance sheet.</w:t>
      </w:r>
    </w:p>
    <w:p>
      <w:pPr>
        <w:spacing w:after="0" w:line="14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On July 11, 2023, the Company entered into an amendment of the payment schedule to the Luminant Purchase and Sale Agreement, reflecting monthly installments of principal and interest totaling $19.7 million on an undiscounted basis, due over the remaining four-year period starting in July 2023. On August 23, 2023, the Company entered into a second amendment of the Luminant Lease Agreement, the terms of which included confirming the initial term will end on July 31, 2027. These amendments did not have a material impact on the Company’s unaudited condensed consolidated financial statements.</w:t>
      </w:r>
    </w:p>
    <w:p>
      <w:pPr>
        <w:spacing w:after="0" w:line="16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Canaan Agreement</w:t>
      </w:r>
    </w:p>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May 4, 2023, the Company entered into the Canaan Agreement to purchase 11,000 new A1346 model miners, all of which were received during the nine months ended September 30, 2023 and have been installed at the Odessa Facility. The Company was required to pay a total of approximately $4.1 million prior to delivery of the miners. The Company will also make six monthly installment payments of approximately $1.7 million each month, through November 2023, at which time the Company will obtain title to the miners. The Company determined that the Canaan Agreement contains embedded leases as defined in ASC 842, one for each batch of miners delivered. Based on the terms of the arrangement and intent of the parties, the Company has classified the leases of the Canaan miners as finance leases. Each lease commences upon delivery of the associated batch, as the delivery date represents the date upon which the Company obtains the right to use the assets for a period of time in exchange for consideration. As a result of all 11,000 miners being delivered to the Company in June 2023, the Company determined there will effectively be a single lease commencement date for all of the underlying right-of-use assets. The lease term for the Canaan miners will be six months, aligning with the final payment and title transfer date. Upon title transfer, the Company will continue depreciating the residual value of the miners over their remaining useful life.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headquarters lease</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entered into an operating lease for office space located in New York. The lease has an initial term of 64 months and commenced on February 1, 2022. The lease does not provide the Company with renewal options.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lease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Company’s lease expenses are as follows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60"/>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20" w:type="dxa"/>
            <w:vAlign w:val="bottom"/>
          </w:tcPr>
          <w:p>
            <w:pPr>
              <w:spacing w:after="0"/>
              <w:rPr>
                <w:sz w:val="19"/>
                <w:szCs w:val="19"/>
                <w:color w:val="auto"/>
              </w:rPr>
            </w:pPr>
          </w:p>
        </w:tc>
        <w:tc>
          <w:tcPr>
            <w:tcW w:w="272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6"/>
                <w:szCs w:val="16"/>
                <w:b w:val="1"/>
                <w:bCs w:val="1"/>
                <w:color w:val="auto"/>
                <w:w w:val="95"/>
              </w:rPr>
              <w:t>Three Months Ended September 30,</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6"/>
                <w:szCs w:val="16"/>
                <w:b w:val="1"/>
                <w:bCs w:val="1"/>
                <w:color w:val="auto"/>
                <w:w w:val="91"/>
              </w:rPr>
              <w:t>Nine Months Ended September 30,</w:t>
            </w:r>
          </w:p>
        </w:tc>
        <w:tc>
          <w:tcPr>
            <w:tcW w:w="100" w:type="dxa"/>
            <w:vAlign w:val="bottom"/>
          </w:tcPr>
          <w:p>
            <w:pPr>
              <w:spacing w:after="0"/>
              <w:rPr>
                <w:sz w:val="19"/>
                <w:szCs w:val="19"/>
                <w:color w:val="auto"/>
              </w:rPr>
            </w:pPr>
          </w:p>
        </w:tc>
      </w:tr>
      <w:tr>
        <w:trPr>
          <w:trHeight w:val="250"/>
        </w:trPr>
        <w:tc>
          <w:tcPr>
            <w:tcW w:w="542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2023</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1"/>
                <w:szCs w:val="21"/>
                <w:color w:val="auto"/>
              </w:rPr>
            </w:pPr>
          </w:p>
        </w:tc>
      </w:tr>
      <w:tr>
        <w:trPr>
          <w:trHeight w:val="243"/>
        </w:trPr>
        <w:tc>
          <w:tcPr>
            <w:tcW w:w="542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Finance leases:</w:t>
            </w:r>
          </w:p>
        </w:tc>
        <w:tc>
          <w:tcPr>
            <w:tcW w:w="7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43"/>
        </w:trPr>
        <w:tc>
          <w:tcPr>
            <w:tcW w:w="54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Amortization of ROU assets </w:t>
            </w:r>
            <w:r>
              <w:rPr>
                <w:rFonts w:ascii="Arial" w:cs="Arial" w:eastAsia="Arial" w:hAnsi="Arial"/>
                <w:sz w:val="24"/>
                <w:szCs w:val="24"/>
                <w:color w:val="auto"/>
                <w:vertAlign w:val="superscript"/>
              </w:rPr>
              <w:t>(1)</w:t>
            </w: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1,481</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3,297</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54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Interest on lease liability</w:t>
            </w:r>
          </w:p>
        </w:tc>
        <w:tc>
          <w:tcPr>
            <w:tcW w:w="760" w:type="dxa"/>
            <w:vAlign w:val="bottom"/>
            <w:tcBorders>
              <w:bottom w:val="single" w:sz="8" w:color="auto"/>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600</w:t>
            </w:r>
          </w:p>
        </w:tc>
        <w:tc>
          <w:tcPr>
            <w:tcW w:w="36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auto"/>
            </w:tcBorders>
            <w:shd w:val="clear" w:color="auto" w:fill="CCECFF"/>
          </w:tcPr>
          <w:p>
            <w:pPr>
              <w:spacing w:after="0"/>
              <w:rPr>
                <w:sz w:val="21"/>
                <w:szCs w:val="21"/>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1,478</w:t>
            </w:r>
          </w:p>
        </w:tc>
        <w:tc>
          <w:tcPr>
            <w:tcW w:w="34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0"/>
        </w:trPr>
        <w:tc>
          <w:tcPr>
            <w:tcW w:w="5420" w:type="dxa"/>
            <w:vAlign w:val="bottom"/>
          </w:tcPr>
          <w:p>
            <w:pPr>
              <w:ind w:left="200"/>
              <w:spacing w:after="0"/>
              <w:rPr>
                <w:sz w:val="20"/>
                <w:szCs w:val="20"/>
                <w:color w:val="auto"/>
              </w:rPr>
            </w:pPr>
            <w:r>
              <w:rPr>
                <w:rFonts w:ascii="Arial" w:cs="Arial" w:eastAsia="Arial" w:hAnsi="Arial"/>
                <w:sz w:val="18"/>
                <w:szCs w:val="18"/>
                <w:color w:val="auto"/>
              </w:rPr>
              <w:t>Total finance lease expense</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2,081</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42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Operating leases:</w:t>
            </w:r>
          </w:p>
        </w:tc>
        <w:tc>
          <w:tcPr>
            <w:tcW w:w="7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470</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0"/>
                <w:szCs w:val="20"/>
                <w:color w:val="auto"/>
              </w:rPr>
            </w:pPr>
          </w:p>
        </w:tc>
      </w:tr>
      <w:tr>
        <w:trPr>
          <w:trHeight w:val="249"/>
        </w:trPr>
        <w:tc>
          <w:tcPr>
            <w:tcW w:w="54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Variable lease cost</w:t>
            </w:r>
          </w:p>
        </w:tc>
        <w:tc>
          <w:tcPr>
            <w:tcW w:w="760" w:type="dxa"/>
            <w:vAlign w:val="bottom"/>
            <w:tcBorders>
              <w:bottom w:val="single" w:sz="8" w:color="auto"/>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auto"/>
            </w:tcBorders>
            <w:shd w:val="clear" w:color="auto" w:fill="CCECFF"/>
          </w:tcPr>
          <w:p>
            <w:pPr>
              <w:spacing w:after="0"/>
              <w:rPr>
                <w:sz w:val="21"/>
                <w:szCs w:val="21"/>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5420" w:type="dxa"/>
            <w:vAlign w:val="bottom"/>
          </w:tcPr>
          <w:p>
            <w:pPr>
              <w:ind w:left="200"/>
              <w:spacing w:after="0"/>
              <w:rPr>
                <w:sz w:val="20"/>
                <w:szCs w:val="20"/>
                <w:color w:val="auto"/>
              </w:rPr>
            </w:pPr>
            <w:r>
              <w:rPr>
                <w:rFonts w:ascii="Arial" w:cs="Arial" w:eastAsia="Arial" w:hAnsi="Arial"/>
                <w:sz w:val="18"/>
                <w:szCs w:val="18"/>
                <w:color w:val="auto"/>
              </w:rPr>
              <w:t>Total operating lease expense</w:t>
            </w: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0"/>
                <w:szCs w:val="20"/>
                <w:color w:val="auto"/>
              </w:rPr>
            </w:pPr>
          </w:p>
        </w:tc>
      </w:tr>
      <w:tr>
        <w:trPr>
          <w:trHeight w:val="277"/>
        </w:trPr>
        <w:tc>
          <w:tcPr>
            <w:tcW w:w="54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lease expense</w:t>
            </w:r>
          </w:p>
        </w:tc>
        <w:tc>
          <w:tcPr>
            <w:tcW w:w="760" w:type="dxa"/>
            <w:vAlign w:val="bottom"/>
            <w:tcBorders>
              <w:bottom w:val="single" w:sz="8" w:color="auto"/>
            </w:tcBorders>
            <w:shd w:val="clear" w:color="auto" w:fill="CCECFF"/>
          </w:tcPr>
          <w:p>
            <w:pPr>
              <w:jc w:val="right"/>
              <w:ind w:right="57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88"/>
              </w:rPr>
              <w:t>2,551</w:t>
            </w:r>
          </w:p>
        </w:tc>
        <w:tc>
          <w:tcPr>
            <w:tcW w:w="36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391</w:t>
            </w:r>
          </w:p>
        </w:tc>
        <w:tc>
          <w:tcPr>
            <w:tcW w:w="340" w:type="dxa"/>
            <w:vAlign w:val="bottom"/>
            <w:tcBorders>
              <w:bottom w:val="single" w:sz="8" w:color="CCECFF"/>
            </w:tcBorders>
            <w:shd w:val="clear" w:color="auto" w:fill="CCECFF"/>
          </w:tcPr>
          <w:p>
            <w:pPr>
              <w:spacing w:after="0"/>
              <w:rPr>
                <w:sz w:val="24"/>
                <w:szCs w:val="24"/>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6,166</w:t>
            </w:r>
          </w:p>
        </w:tc>
        <w:tc>
          <w:tcPr>
            <w:tcW w:w="34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11"/>
        </w:trPr>
        <w:tc>
          <w:tcPr>
            <w:tcW w:w="5420" w:type="dxa"/>
            <w:vAlign w:val="bottom"/>
          </w:tcPr>
          <w:p>
            <w:pPr>
              <w:spacing w:after="0"/>
              <w:rPr>
                <w:sz w:val="20"/>
                <w:szCs w:val="20"/>
                <w:color w:val="auto"/>
              </w:rPr>
            </w:pPr>
            <w:r>
              <w:rPr>
                <w:rFonts w:ascii="Arial" w:cs="Arial" w:eastAsia="Arial" w:hAnsi="Arial"/>
                <w:sz w:val="18"/>
                <w:szCs w:val="18"/>
                <w:color w:val="auto"/>
              </w:rPr>
              <w:t>__________</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-1122680</wp:posOffset>
            </wp:positionV>
            <wp:extent cx="76835"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-1122680</wp:posOffset>
            </wp:positionV>
            <wp:extent cx="76835"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-1122680</wp:posOffset>
            </wp:positionV>
            <wp:extent cx="6858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-1122680</wp:posOffset>
            </wp:positionV>
            <wp:extent cx="6858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-497205</wp:posOffset>
            </wp:positionV>
            <wp:extent cx="7683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-497205</wp:posOffset>
            </wp:positionV>
            <wp:extent cx="7683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-497205</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-497205</wp:posOffset>
            </wp:positionV>
            <wp:extent cx="685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-171450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-154305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-171450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-154305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-171450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-154305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-171450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-154305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4940" w:firstLine="8"/>
        <w:spacing w:after="0" w:line="448" w:lineRule="auto"/>
        <w:tabs>
          <w:tab w:leader="none" w:pos="185"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Amortization of finance lease ROU assets is included within depreciation expense. The Company did not incur any variable lease costs during any of the periods presented.</w:t>
      </w:r>
    </w:p>
    <w:p>
      <w:pPr>
        <w:spacing w:after="0"/>
        <w:rPr>
          <w:rFonts w:ascii="Arial" w:cs="Arial" w:eastAsia="Arial" w:hAnsi="Arial"/>
          <w:sz w:val="21"/>
          <w:szCs w:val="21"/>
          <w:color w:val="auto"/>
          <w:vertAlign w:val="superscript"/>
        </w:rPr>
      </w:pPr>
      <w:r>
        <w:rPr>
          <w:rFonts w:ascii="Arial" w:cs="Arial" w:eastAsia="Arial" w:hAnsi="Arial"/>
          <w:sz w:val="18"/>
          <w:szCs w:val="18"/>
          <w:color w:val="auto"/>
        </w:rPr>
        <w:t>Other information related to the Company’s leases is shown below (dollar 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Three Months Ended September 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10"/>
          </w:tcPr>
          <w:p>
            <w:pPr>
              <w:jc w:val="right"/>
              <w:ind w:right="280"/>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23"/>
        </w:trPr>
        <w:tc>
          <w:tcPr>
            <w:tcW w:w="5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2023</w:t>
            </w:r>
          </w:p>
        </w:tc>
        <w:tc>
          <w:tcPr>
            <w:tcW w:w="1460" w:type="dxa"/>
            <w:vAlign w:val="bottom"/>
            <w:tcBorders>
              <w:top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40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cash flows - operating lease</w:t>
            </w: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396</w:t>
            </w:r>
          </w:p>
        </w:tc>
        <w:tc>
          <w:tcPr>
            <w:tcW w:w="360" w:type="dxa"/>
            <w:vAlign w:val="bottom"/>
            <w:shd w:val="clear" w:color="auto" w:fill="CCECFF"/>
          </w:tcPr>
          <w:p>
            <w:pPr>
              <w:spacing w:after="0"/>
              <w:rPr>
                <w:sz w:val="21"/>
                <w:szCs w:val="21"/>
                <w:color w:val="auto"/>
              </w:rPr>
            </w:pPr>
          </w:p>
        </w:tc>
        <w:tc>
          <w:tcPr>
            <w:tcW w:w="540" w:type="dxa"/>
            <w:vAlign w:val="bottom"/>
            <w:tcBorders>
              <w:top w:val="single" w:sz="8" w:color="auto"/>
            </w:tcBorders>
            <w:shd w:val="clear" w:color="auto" w:fill="CCECFF"/>
          </w:tcPr>
          <w:p>
            <w:pPr>
              <w:jc w:val="right"/>
              <w:ind w:right="3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CFF"/>
          </w:tcPr>
          <w:p>
            <w:pPr>
              <w:spacing w:after="0"/>
              <w:rPr>
                <w:sz w:val="21"/>
                <w:szCs w:val="21"/>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CFF"/>
          </w:tcPr>
          <w:p>
            <w:pPr>
              <w:spacing w:after="0"/>
              <w:rPr>
                <w:sz w:val="21"/>
                <w:szCs w:val="21"/>
                <w:color w:val="auto"/>
              </w:rPr>
            </w:pPr>
          </w:p>
        </w:tc>
        <w:tc>
          <w:tcPr>
            <w:tcW w:w="700" w:type="dxa"/>
            <w:vAlign w:val="bottom"/>
            <w:tcBorders>
              <w:top w:val="single" w:sz="8" w:color="auto"/>
            </w:tcBorders>
            <w:shd w:val="clear" w:color="auto" w:fill="CCECFF"/>
          </w:tcPr>
          <w:p>
            <w:pPr>
              <w:jc w:val="right"/>
              <w:ind w:right="516"/>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CFF"/>
          </w:tcPr>
          <w:p>
            <w:pPr>
              <w:spacing w:after="0"/>
              <w:rPr>
                <w:sz w:val="21"/>
                <w:szCs w:val="21"/>
                <w:color w:val="auto"/>
              </w:rPr>
            </w:pPr>
          </w:p>
        </w:tc>
        <w:tc>
          <w:tcPr>
            <w:tcW w:w="420" w:type="dxa"/>
            <w:vAlign w:val="bottom"/>
            <w:tcBorders>
              <w:top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w w:val="84"/>
              </w:rPr>
              <w:t>1,187</w:t>
            </w:r>
          </w:p>
        </w:tc>
        <w:tc>
          <w:tcPr>
            <w:tcW w:w="6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w w:val="96"/>
              </w:rPr>
              <w:t>Right-of-use assets obtained in exchange for operating lease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5,859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5"/>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rPr>
              <w:t>September 30, 2023</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w w:val="90"/>
              </w:rPr>
              <w:t>December 31, 2022</w:t>
            </w:r>
          </w:p>
        </w:tc>
      </w:tr>
      <w:tr>
        <w:trPr>
          <w:trHeight w:val="243"/>
        </w:trPr>
        <w:tc>
          <w:tcPr>
            <w:tcW w:w="5400" w:type="dxa"/>
            <w:vAlign w:val="bottom"/>
            <w:shd w:val="clear" w:color="auto" w:fill="CCECFF"/>
          </w:tcPr>
          <w:p>
            <w:pPr>
              <w:ind w:left="20"/>
              <w:spacing w:after="0"/>
              <w:rPr>
                <w:sz w:val="20"/>
                <w:szCs w:val="20"/>
                <w:color w:val="auto"/>
              </w:rPr>
            </w:pPr>
            <w:r>
              <w:rPr>
                <w:rFonts w:ascii="Arial" w:cs="Arial" w:eastAsia="Arial" w:hAnsi="Arial"/>
                <w:sz w:val="18"/>
                <w:szCs w:val="18"/>
                <w:color w:val="auto"/>
              </w:rPr>
              <w:t>Weighted-average remaining lease term – finance lease (in years)</w:t>
            </w:r>
          </w:p>
        </w:tc>
        <w:tc>
          <w:tcPr>
            <w:tcW w:w="100" w:type="dxa"/>
            <w:vAlign w:val="bottom"/>
            <w:shd w:val="clear" w:color="auto" w:fill="CCECFF"/>
          </w:tcPr>
          <w:p>
            <w:pPr>
              <w:spacing w:after="0"/>
              <w:rPr>
                <w:sz w:val="21"/>
                <w:szCs w:val="21"/>
                <w:color w:val="auto"/>
              </w:rPr>
            </w:pPr>
          </w:p>
        </w:tc>
        <w:tc>
          <w:tcPr>
            <w:tcW w:w="10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560" w:type="dxa"/>
            <w:vAlign w:val="bottom"/>
            <w:tcBorders>
              <w:top w:val="single" w:sz="8" w:color="auto"/>
            </w:tcBorders>
            <w:shd w:val="clear" w:color="auto" w:fill="CCECFF"/>
          </w:tcPr>
          <w:p>
            <w:pPr>
              <w:spacing w:after="0"/>
              <w:rPr>
                <w:sz w:val="21"/>
                <w:szCs w:val="21"/>
                <w:color w:val="auto"/>
              </w:rPr>
            </w:pPr>
          </w:p>
        </w:tc>
        <w:tc>
          <w:tcPr>
            <w:tcW w:w="100" w:type="dxa"/>
            <w:vAlign w:val="bottom"/>
            <w:tcBorders>
              <w:top w:val="single" w:sz="8" w:color="auto"/>
            </w:tcBorders>
            <w:shd w:val="clear" w:color="auto" w:fill="CCECFF"/>
          </w:tcPr>
          <w:p>
            <w:pPr>
              <w:spacing w:after="0"/>
              <w:rPr>
                <w:sz w:val="21"/>
                <w:szCs w:val="21"/>
                <w:color w:val="auto"/>
              </w:rPr>
            </w:pPr>
          </w:p>
        </w:tc>
        <w:tc>
          <w:tcPr>
            <w:tcW w:w="104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40" w:type="dxa"/>
            <w:vAlign w:val="bottom"/>
            <w:tcBorders>
              <w:top w:val="single" w:sz="8" w:color="auto"/>
            </w:tcBorders>
            <w:shd w:val="clear" w:color="auto" w:fill="CCECFF"/>
          </w:tcPr>
          <w:p>
            <w:pPr>
              <w:spacing w:after="0"/>
              <w:rPr>
                <w:sz w:val="21"/>
                <w:szCs w:val="21"/>
                <w:color w:val="auto"/>
              </w:rPr>
            </w:pPr>
          </w:p>
        </w:tc>
        <w:tc>
          <w:tcPr>
            <w:tcW w:w="60" w:type="dxa"/>
            <w:vAlign w:val="bottom"/>
            <w:tcBorders>
              <w:top w:val="single" w:sz="8" w:color="auto"/>
            </w:tcBorders>
            <w:shd w:val="clear" w:color="auto" w:fill="CCECFF"/>
          </w:tcPr>
          <w:p>
            <w:pPr>
              <w:spacing w:after="0"/>
              <w:rPr>
                <w:sz w:val="21"/>
                <w:szCs w:val="21"/>
                <w:color w:val="auto"/>
              </w:rPr>
            </w:pPr>
          </w:p>
        </w:tc>
        <w:tc>
          <w:tcPr>
            <w:tcW w:w="280" w:type="dxa"/>
            <w:vAlign w:val="bottom"/>
            <w:tcBorders>
              <w:top w:val="single" w:sz="8" w:color="auto"/>
            </w:tcBorders>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w w:val="98"/>
              </w:rPr>
              <w:t>Weighted-average remaining lease term – operating lease (in years)</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discount rate – finance lease</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4"/>
          </w:tcPr>
          <w:p>
            <w:pPr>
              <w:jc w:val="right"/>
              <w:ind w:right="170"/>
              <w:spacing w:after="0"/>
              <w:rPr>
                <w:sz w:val="20"/>
                <w:szCs w:val="20"/>
                <w:color w:val="auto"/>
              </w:rPr>
            </w:pPr>
            <w:r>
              <w:rPr>
                <w:rFonts w:ascii="Arial" w:cs="Arial" w:eastAsia="Arial" w:hAnsi="Arial"/>
                <w:sz w:val="18"/>
                <w:szCs w:val="18"/>
                <w:color w:val="auto"/>
              </w:rPr>
              <w:t>11.0 %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11.0 %</w:t>
            </w: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4"/>
          </w:tcPr>
          <w:p>
            <w:pPr>
              <w:jc w:val="right"/>
              <w:ind w:right="170"/>
              <w:spacing w:after="0"/>
              <w:rPr>
                <w:sz w:val="20"/>
                <w:szCs w:val="20"/>
                <w:color w:val="auto"/>
              </w:rPr>
            </w:pPr>
            <w:r>
              <w:rPr>
                <w:rFonts w:ascii="Arial" w:cs="Arial" w:eastAsia="Arial" w:hAnsi="Arial"/>
                <w:sz w:val="18"/>
                <w:szCs w:val="18"/>
                <w:color w:val="auto"/>
              </w:rPr>
              <w:t>10.9 %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10.9 %</w:t>
            </w:r>
          </w:p>
        </w:tc>
      </w:tr>
      <w:tr>
        <w:trPr>
          <w:trHeight w:val="250"/>
        </w:trPr>
        <w:tc>
          <w:tcPr>
            <w:tcW w:w="5400" w:type="dxa"/>
            <w:vAlign w:val="bottom"/>
            <w:shd w:val="clear" w:color="auto" w:fill="CCECFF"/>
          </w:tcPr>
          <w:p>
            <w:pPr>
              <w:ind w:left="20"/>
              <w:spacing w:after="0" w:line="250" w:lineRule="exact"/>
              <w:rPr>
                <w:sz w:val="20"/>
                <w:szCs w:val="20"/>
                <w:color w:val="auto"/>
              </w:rPr>
            </w:pPr>
            <w:r>
              <w:rPr>
                <w:rFonts w:ascii="Arial" w:cs="Arial" w:eastAsia="Arial" w:hAnsi="Arial"/>
                <w:sz w:val="18"/>
                <w:szCs w:val="18"/>
                <w:color w:val="auto"/>
              </w:rPr>
              <w:t xml:space="preserve">Finance lease ROU assets </w:t>
            </w:r>
            <w:r>
              <w:rPr>
                <w:rFonts w:ascii="Arial" w:cs="Arial" w:eastAsia="Arial" w:hAnsi="Arial"/>
                <w:sz w:val="24"/>
                <w:szCs w:val="24"/>
                <w:color w:val="auto"/>
                <w:vertAlign w:val="superscript"/>
              </w:rPr>
              <w:t>(1)</w:t>
            </w:r>
          </w:p>
        </w:tc>
        <w:tc>
          <w:tcPr>
            <w:tcW w:w="100" w:type="dxa"/>
            <w:vAlign w:val="bottom"/>
            <w:shd w:val="clear" w:color="auto" w:fill="CCECFF"/>
          </w:tcPr>
          <w:p>
            <w:pPr>
              <w:spacing w:after="0"/>
              <w:rPr>
                <w:sz w:val="21"/>
                <w:szCs w:val="21"/>
                <w:color w:val="auto"/>
              </w:rPr>
            </w:pPr>
          </w:p>
        </w:tc>
        <w:tc>
          <w:tcPr>
            <w:tcW w:w="1080" w:type="dxa"/>
            <w:vAlign w:val="bottom"/>
            <w:shd w:val="clear" w:color="auto" w:fill="CCECFF"/>
          </w:tcPr>
          <w:p>
            <w:pPr>
              <w:spacing w:after="0"/>
              <w:rPr>
                <w:sz w:val="21"/>
                <w:szCs w:val="21"/>
                <w:color w:val="auto"/>
              </w:rPr>
            </w:pPr>
          </w:p>
        </w:tc>
        <w:tc>
          <w:tcPr>
            <w:tcW w:w="1460" w:type="dxa"/>
            <w:vAlign w:val="bottom"/>
            <w:gridSpan w:val="3"/>
            <w:shd w:val="clear" w:color="auto" w:fill="CCECFF"/>
          </w:tcPr>
          <w:p>
            <w:pPr>
              <w:jc w:val="right"/>
              <w:ind w:right="3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25,186</w:t>
            </w:r>
          </w:p>
        </w:tc>
        <w:tc>
          <w:tcPr>
            <w:tcW w:w="40" w:type="dxa"/>
            <w:vAlign w:val="bottom"/>
            <w:shd w:val="clear" w:color="auto" w:fill="CCECFF"/>
          </w:tcPr>
          <w:p>
            <w:pPr>
              <w:spacing w:after="0"/>
              <w:rPr>
                <w:sz w:val="21"/>
                <w:szCs w:val="21"/>
                <w:color w:val="auto"/>
              </w:rPr>
            </w:pPr>
          </w:p>
        </w:tc>
        <w:tc>
          <w:tcPr>
            <w:tcW w:w="48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14,471</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00" w:right="260" w:hanging="292"/>
        <w:spacing w:after="0" w:line="230" w:lineRule="auto"/>
        <w:tabs>
          <w:tab w:leader="none" w:pos="231"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As of September 30, 2023 and December 31, 2022, the Company had recorded accumulated amortization of approximately $1.5 million and $0.5 million, respectively, for the finance lease ROU assets. Finance lease ROU assets are recorded within property and equipment, net on the Company’s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future minimum lease payments during the next five years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0"/>
              </w:rPr>
              <w:t>Finance Lease</w:t>
            </w: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Lease</w:t>
            </w:r>
          </w:p>
        </w:tc>
        <w:tc>
          <w:tcPr>
            <w:tcW w:w="16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20" w:type="dxa"/>
            <w:vAlign w:val="bottom"/>
            <w:shd w:val="clear" w:color="auto" w:fill="CCECFF"/>
          </w:tcPr>
          <w:p>
            <w:pPr>
              <w:ind w:left="20"/>
              <w:spacing w:after="0"/>
              <w:rPr>
                <w:sz w:val="20"/>
                <w:szCs w:val="20"/>
                <w:color w:val="auto"/>
              </w:rPr>
            </w:pPr>
            <w:r>
              <w:rPr>
                <w:rFonts w:ascii="Arial" w:cs="Arial" w:eastAsia="Arial" w:hAnsi="Arial"/>
                <w:sz w:val="18"/>
                <w:szCs w:val="18"/>
                <w:color w:val="auto"/>
              </w:rPr>
              <w:t>Remaining Period Ended December 31, 2023</w:t>
            </w:r>
          </w:p>
        </w:tc>
        <w:tc>
          <w:tcPr>
            <w:tcW w:w="2280" w:type="dxa"/>
            <w:vAlign w:val="bottom"/>
            <w:shd w:val="clear" w:color="auto" w:fill="CCECFF"/>
          </w:tcPr>
          <w:p>
            <w:pPr>
              <w:spacing w:after="0"/>
              <w:rPr>
                <w:sz w:val="21"/>
                <w:szCs w:val="21"/>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4,693</w:t>
            </w:r>
          </w:p>
        </w:tc>
        <w:tc>
          <w:tcPr>
            <w:tcW w:w="420" w:type="dxa"/>
            <w:vAlign w:val="bottom"/>
            <w:shd w:val="clear" w:color="auto" w:fill="CCECFF"/>
          </w:tcPr>
          <w:p>
            <w:pPr>
              <w:spacing w:after="0"/>
              <w:rPr>
                <w:sz w:val="21"/>
                <w:szCs w:val="21"/>
                <w:color w:val="auto"/>
              </w:rPr>
            </w:pPr>
          </w:p>
        </w:tc>
        <w:tc>
          <w:tcPr>
            <w:tcW w:w="48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394</w:t>
            </w:r>
          </w:p>
        </w:tc>
        <w:tc>
          <w:tcPr>
            <w:tcW w:w="360" w:type="dxa"/>
            <w:vAlign w:val="bottom"/>
            <w:shd w:val="clear" w:color="auto" w:fill="CCECFF"/>
          </w:tcPr>
          <w:p>
            <w:pPr>
              <w:spacing w:after="0"/>
              <w:rPr>
                <w:sz w:val="21"/>
                <w:szCs w:val="21"/>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5,087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4,834</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20" w:type="dxa"/>
            <w:vAlign w:val="bottom"/>
            <w:shd w:val="clear" w:color="auto" w:fill="CCECFF"/>
          </w:tcPr>
          <w:p>
            <w:pPr>
              <w:ind w:left="20"/>
              <w:spacing w:after="0"/>
              <w:rPr>
                <w:sz w:val="20"/>
                <w:szCs w:val="20"/>
                <w:color w:val="auto"/>
              </w:rPr>
            </w:pPr>
            <w:r>
              <w:rPr>
                <w:rFonts w:ascii="Arial" w:cs="Arial" w:eastAsia="Arial" w:hAnsi="Arial"/>
                <w:sz w:val="18"/>
                <w:szCs w:val="18"/>
                <w:color w:val="auto"/>
              </w:rPr>
              <w:t>Year Ended December 31, 2025</w:t>
            </w:r>
          </w:p>
        </w:tc>
        <w:tc>
          <w:tcPr>
            <w:tcW w:w="228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4,834</w:t>
            </w:r>
          </w:p>
        </w:tc>
        <w:tc>
          <w:tcPr>
            <w:tcW w:w="420" w:type="dxa"/>
            <w:vAlign w:val="bottom"/>
            <w:shd w:val="clear" w:color="auto" w:fill="CCECFF"/>
          </w:tcPr>
          <w:p>
            <w:pPr>
              <w:spacing w:after="0"/>
              <w:rPr>
                <w:sz w:val="21"/>
                <w:szCs w:val="21"/>
                <w:color w:val="auto"/>
              </w:rPr>
            </w:pPr>
          </w:p>
        </w:tc>
        <w:tc>
          <w:tcPr>
            <w:tcW w:w="48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1,581</w:t>
            </w:r>
          </w:p>
        </w:tc>
        <w:tc>
          <w:tcPr>
            <w:tcW w:w="3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6,415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Year Ended December 31, 2026</w:t>
            </w: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4,834</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Year Ended December 31, 2027</w:t>
            </w:r>
          </w:p>
        </w:tc>
        <w:tc>
          <w:tcPr>
            <w:tcW w:w="228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spacing w:after="0"/>
              <w:rPr>
                <w:sz w:val="21"/>
                <w:szCs w:val="21"/>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3,223</w:t>
            </w:r>
          </w:p>
        </w:tc>
        <w:tc>
          <w:tcPr>
            <w:tcW w:w="420" w:type="dxa"/>
            <w:vAlign w:val="bottom"/>
            <w:tcBorders>
              <w:bottom w:val="single" w:sz="8" w:color="CCECFF"/>
            </w:tcBorders>
            <w:shd w:val="clear" w:color="auto" w:fill="CCECFF"/>
          </w:tcPr>
          <w:p>
            <w:pPr>
              <w:spacing w:after="0"/>
              <w:rPr>
                <w:sz w:val="21"/>
                <w:szCs w:val="21"/>
                <w:color w:val="auto"/>
              </w:rPr>
            </w:pPr>
          </w:p>
        </w:tc>
        <w:tc>
          <w:tcPr>
            <w:tcW w:w="480" w:type="dxa"/>
            <w:vAlign w:val="bottom"/>
            <w:tcBorders>
              <w:bottom w:val="single" w:sz="8" w:color="auto"/>
            </w:tcBorders>
            <w:shd w:val="clear" w:color="auto" w:fill="CCECFF"/>
          </w:tcPr>
          <w:p>
            <w:pPr>
              <w:spacing w:after="0"/>
              <w:rPr>
                <w:sz w:val="21"/>
                <w:szCs w:val="21"/>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659</w:t>
            </w:r>
          </w:p>
        </w:tc>
        <w:tc>
          <w:tcPr>
            <w:tcW w:w="3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3,882</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0"/>
              <w:spacing w:after="0"/>
              <w:rPr>
                <w:sz w:val="20"/>
                <w:szCs w:val="20"/>
                <w:color w:val="auto"/>
              </w:rPr>
            </w:pPr>
            <w:r>
              <w:rPr>
                <w:rFonts w:ascii="Arial" w:cs="Arial" w:eastAsia="Arial" w:hAnsi="Arial"/>
                <w:sz w:val="18"/>
                <w:szCs w:val="18"/>
                <w:color w:val="auto"/>
              </w:rPr>
              <w:t>Total lease payments</w:t>
            </w: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22,418</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5,796</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20" w:type="dxa"/>
            <w:vAlign w:val="bottom"/>
            <w:shd w:val="clear" w:color="auto" w:fill="CCECFF"/>
          </w:tcPr>
          <w:p>
            <w:pPr>
              <w:ind w:left="20"/>
              <w:spacing w:after="0"/>
              <w:rPr>
                <w:sz w:val="20"/>
                <w:szCs w:val="20"/>
                <w:color w:val="auto"/>
              </w:rPr>
            </w:pPr>
            <w:r>
              <w:rPr>
                <w:rFonts w:ascii="Arial" w:cs="Arial" w:eastAsia="Arial" w:hAnsi="Arial"/>
                <w:sz w:val="18"/>
                <w:szCs w:val="18"/>
                <w:color w:val="auto"/>
              </w:rPr>
              <w:t>Less present value discount</w:t>
            </w:r>
          </w:p>
        </w:tc>
        <w:tc>
          <w:tcPr>
            <w:tcW w:w="228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76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(3,654 )</w:t>
            </w:r>
          </w:p>
        </w:tc>
        <w:tc>
          <w:tcPr>
            <w:tcW w:w="48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(1,034 )</w:t>
            </w:r>
          </w:p>
        </w:tc>
        <w:tc>
          <w:tcPr>
            <w:tcW w:w="160" w:type="dxa"/>
            <w:vAlign w:val="bottom"/>
            <w:shd w:val="clear" w:color="auto" w:fill="CCECFF"/>
          </w:tcPr>
          <w:p>
            <w:pPr>
              <w:spacing w:after="0"/>
              <w:rPr>
                <w:sz w:val="21"/>
                <w:szCs w:val="21"/>
                <w:color w:val="auto"/>
              </w:rPr>
            </w:pPr>
          </w:p>
        </w:tc>
        <w:tc>
          <w:tcPr>
            <w:tcW w:w="7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(4,688 )</w:t>
            </w:r>
          </w:p>
        </w:tc>
        <w:tc>
          <w:tcPr>
            <w:tcW w:w="0" w:type="dxa"/>
            <w:vAlign w:val="bottom"/>
          </w:tcPr>
          <w:p>
            <w:pPr>
              <w:spacing w:after="0"/>
              <w:rPr>
                <w:sz w:val="1"/>
                <w:szCs w:val="1"/>
                <w:color w:val="auto"/>
              </w:rPr>
            </w:pPr>
          </w:p>
        </w:tc>
      </w:tr>
      <w:tr>
        <w:trPr>
          <w:trHeight w:val="237"/>
        </w:trPr>
        <w:tc>
          <w:tcPr>
            <w:tcW w:w="4420" w:type="dxa"/>
            <w:vAlign w:val="bottom"/>
            <w:tcBorders>
              <w:top w:val="single" w:sz="8" w:color="CCECFF"/>
            </w:tcBorders>
          </w:tcPr>
          <w:p>
            <w:pPr>
              <w:ind w:left="20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CCEC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18,764</w:t>
            </w:r>
          </w:p>
        </w:tc>
        <w:tc>
          <w:tcPr>
            <w:tcW w:w="420" w:type="dxa"/>
            <w:vAlign w:val="bottom"/>
            <w:tcBorders>
              <w:top w:val="single" w:sz="8" w:color="CCEC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360" w:type="dxa"/>
            <w:vAlign w:val="bottom"/>
            <w:tcBorders>
              <w:top w:val="single" w:sz="8" w:color="CCEC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23,526</w:t>
            </w:r>
          </w:p>
        </w:tc>
        <w:tc>
          <w:tcPr>
            <w:tcW w:w="100" w:type="dxa"/>
            <w:vAlign w:val="bottom"/>
            <w:tcBorders>
              <w:top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280" w:type="dxa"/>
            <w:vAlign w:val="bottom"/>
            <w:vMerge w:val="restart"/>
          </w:tcPr>
          <w:p>
            <w:pPr>
              <w:jc w:val="right"/>
              <w:ind w:right="89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-1002030</wp:posOffset>
            </wp:positionV>
            <wp:extent cx="77470"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-1002030</wp:posOffset>
            </wp:positionV>
            <wp:extent cx="6858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-685165</wp:posOffset>
            </wp:positionV>
            <wp:extent cx="7747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-685165</wp:posOffset>
            </wp:positionV>
            <wp:extent cx="6858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9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September 30, 2023. The Company does not anticipate recognizing any significant losses relating to these arrangements.</w:t>
      </w:r>
    </w:p>
    <w:p>
      <w:pPr>
        <w:spacing w:after="0" w:line="14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August 14, 2023, the Company, through CMTI, entered into a master loan agreement with Coinbase Credit, Inc., as lender, and Coinbase, Inc., as lending service provider. Pursuant to the master loan agreement, the Company established a secured line of credit up to $10.0 million (the “Credit Facility”). The Company will not incur commitment fees for unused portions of the Credit Facility. The borrowing rate on amounts drawn against the Credit Facility is determined on the basis of the Federal Funds Target Rate - Upper Bound, plus 2.5%, calculated daily based on a 365-day year and payable monthly for the duration of the loan. Borrowings under the Credit Facility are available on demand, open term, and collateralized by bitcoin transferred to the lending service provider’s platform. As of September 30, 2023 the Company has not drawn upon the Credit Facility.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Company in the accompanying unaudited condensed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unaudited condensed consolidated statements of operations. Management, with the assistance of outside counsel, may from time to time adjust such accruals according to new developments in the matter, court rulings, or changes in the strategy affecting the Company’s defense of such matters. On the basis of current information, the Company does not believe there is a reasonable possibility that a material loss, if any, will result from any claims, lawsuits and proceedings to which the Company is subject to either individually, or in the aggregate.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Luminant Power Agreement</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November 18, 2022, Luminant filed suit against CMTI in the 95</w:t>
      </w:r>
      <w:r>
        <w:rPr>
          <w:rFonts w:ascii="Arial" w:cs="Arial" w:eastAsia="Arial" w:hAnsi="Arial"/>
          <w:sz w:val="10"/>
          <w:szCs w:val="10"/>
          <w:color w:val="auto"/>
        </w:rPr>
        <w:t>th</w:t>
      </w:r>
      <w:r>
        <w:rPr>
          <w:rFonts w:ascii="Arial" w:cs="Arial" w:eastAsia="Arial" w:hAnsi="Arial"/>
          <w:sz w:val="17"/>
          <w:szCs w:val="17"/>
          <w:color w:val="auto"/>
        </w:rPr>
        <w:t xml:space="preserve"> District Court of Dallas County, Texas, asserting Texas state law claims for declaratory judgment and “money had and received”, seeking recoupment and return of money previously paid by Luminant to CMTI in connection with Luminant’s (and its affiliates’) construction and energization of Cipher’s bitcoin mining data center in Odessa, Texas. These prior payments were (i) the sum of $5.1 million paid to CMTI in September 2022 pursuant to a contractual provision requiring such payment in the parties’ written and executed August 25, 2022 Third Amendment to the Luminant Power Agreement, and (ii) the sum of $1.7 million also paid to CMTI in September 2022, as agreed by the parties, for electrical power sold by Luminant for CMTI’s benefit into the open market prior to the final energization of the Odessa Facility. Luminant contended that such payments were mistaken because, although voluntarily made by Luminant, they were not actually due under the terms of the Luminant Power Agreement, as amended. The Company filed its answer on January 17, 2023, denying any liability to Luminant. Cipher has not received payment from Luminant for electricity sold in the ERCOT market in September 2022 and October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established a $2.0 million accrual for the cost of resolving the claims in the second quarter of 2023.</w:t>
      </w:r>
    </w:p>
    <w:p>
      <w:pPr>
        <w:spacing w:after="0" w:line="18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On July 11, 2023, the Company entered into an amendment of the payment schedule to the Luminant Purchase and Sale Agreement, reflecting monthly installments of principal and interest totaling $19.7 million on an undiscounted basis, due over the remaining four-year period starting in July 2023.</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August 23, 2023, the Company settled the dispute with Luminant (the “Luminant Settlement”). In connection with the Luminant Settlement, the Company, through CMTI, entered into (i) a Fourth Amendment to the Power Purchase Agreement (the “Amended PPA”) with Luminant, which amended the Luminant Power Agreement and (ii) a Second Amendment to the Lease Agreement (the "Amended Lease") with an affiliate of Luminant, which amended the Luminant Lease Agreement.</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Amended PPA, among other items, reduces the notice requirements that CMTI must satisfy in connection with changes to its energy consumption at the Odessa Facility and the Amended Lease provides that the initial term of the agreement shall end on July 31, 2027.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1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September 30, 2023, 510,000,000 shares with a par value of $0.001 per share are authorized, of which, 500,000,000 shares are designated as Common Stock and 10,000,000 shares are designated as preferred stock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Holders of each share of Common Stock are entitled to dividends when, as and if declared by the Board. As of the issuance of these unaudited condensed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3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During the nine months ended September 30, 2023, the Company issued 4,457,708 shares of Common Stock to officers, employees and consultants in settlement of an equal number of fully vested RSUs awarded to these individuals, and 319,786 shares of Common Stock to directors, pursuant to grants made under the Cipher Mining Inc. 2021 Incentive Award Plan (the “Incentive Award Plan”). The Company immediately repurchased 1,581,217 of these shares of Common Stock from officers and employees, with a fair value of approximately $3.2 million, to cover taxes related to the settlement of vested RSUs, as permitted by the Incentive Award Plan. The Company placed the repurchased shares in treasury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September 21, 2022, the Company filed with the SEC a shelf registration statement on Form S-3, which was declared effective on October 6, 2022 (the “Registration Statement”). In connection with the filing of the Registration Statement, the Company also entered into an at the market offering agreement (the “Prior Sales Agreement”) with H.C. Wainwright &amp; Co., LLC (the “Prior Agent”), under which the Company may, from time to time, sell shares of its Common Stock having an aggregate offering price of up to $250.0 million in “at the market” offerings through the Prior Agent. Effective August 1, 2023, the Company terminated the Prior Sales Agreement.</w:t>
      </w:r>
    </w:p>
    <w:p>
      <w:pPr>
        <w:spacing w:after="0" w:line="19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On August 3, 2023, the Company entered into a Controlled Equity Offering</w:t>
      </w:r>
      <w:r>
        <w:rPr>
          <w:rFonts w:ascii="Arial" w:cs="Arial" w:eastAsia="Arial" w:hAnsi="Arial"/>
          <w:sz w:val="24"/>
          <w:szCs w:val="24"/>
          <w:color w:val="auto"/>
          <w:vertAlign w:val="superscript"/>
        </w:rPr>
        <w:t>SM</w:t>
      </w:r>
      <w:r>
        <w:rPr>
          <w:rFonts w:ascii="Arial" w:cs="Arial" w:eastAsia="Arial" w:hAnsi="Arial"/>
          <w:sz w:val="18"/>
          <w:szCs w:val="18"/>
          <w:color w:val="auto"/>
        </w:rPr>
        <w:t xml:space="preserve"> Sales Agreement (the “Sales Agreement”) with Cantor Fitzgerald &amp; Co., Canaccord Genuity LLC, Needham &amp; Company, LLC and Compass Point Research &amp; Trading, LLC (each, an “Agent” and, together, the “Agents”), pursuant to which the Company may offer and sell, from time to time through or to the Agents, shares of its Common Stock, for aggregate gross proceeds of up to $250.0 million (the “Shares”).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2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the Sales Agreement, the Agent selected by the Company (such Agent, the “Designated Agent”) may sell the Shares in sales deemed to be “at the market offerings” as defined in Rule 415(a)(4) promulgated under the Securities Act. The Company has no obligation to sell any of the Shares under the Sales Agreement and may at any time suspend or terminate the offering of the Shares pursuant to the Sales Agreement upon notice and subject to other conditions. The Agents will act as sales agents and will use commercially reasonable efforts to sell on the Company’s behalf all of the Shares requested to be sold by it, on mutually agreed terms between the Agents and the Company. Under the terms of the Sales Agreement, the Company agreed to pay the Designated Agent a commission up to 3.0% of the aggregate gross proceeds from any Shares sold through such Designated Agent pursuant to the Sales Agreement. In addition, the Company agreed to reimburse certain expenses incurred by the Agents in connection with the Sales Agreement. During the nine months ended September 30, 2023, in connection with the Prior Sales Agreement and the Sales Agreement, the Company received proceeds of approximately $11.3 million, net of issuance costs, from the sale of 3,809,943 shares of common stock, with an average fair value of $3.02 per share.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WARRANTS</w:t>
      </w:r>
    </w:p>
    <w:p>
      <w:pPr>
        <w:spacing w:after="0" w:line="189"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Upon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The Public and Private Placement Warrants entitle the holder to purchase one share of Common Stock at an exercise price of $11.50 per share, subject to adjustment. There were 8,499,980 Public Warrants and 114,000 Private Placement Warrants outstanding as of both September 30, 2023 and December 31, 2022.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4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Initially, up to 19,869,312 shares of Common Stock were available for issuance under awards granted pursuant to the Incentive Award Plan. In addition, the number of shares of Common Stock available for issuance under the Incentive Equity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2023, this resulted in an increase of 7,426,559 shares of Common Stock available for issuance under the Incentive Award Plan. As of September 30, 2023, 6,282,366 shares of Common Stock were available for issuance under the Incentive Award Plan.</w:t>
      </w:r>
    </w:p>
    <w:p>
      <w:pPr>
        <w:spacing w:after="0" w:line="1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recognized total share-based compensation expense in general and administrative expenses on the unaudited condensed consolidated statements of operations for the following categories of awards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Pr>
          <w:p>
            <w:pPr>
              <w:spacing w:after="0"/>
              <w:rPr>
                <w:sz w:val="19"/>
                <w:szCs w:val="19"/>
                <w:color w:val="auto"/>
              </w:rPr>
            </w:pPr>
          </w:p>
        </w:tc>
        <w:tc>
          <w:tcPr>
            <w:tcW w:w="336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6"/>
                <w:szCs w:val="16"/>
                <w:b w:val="1"/>
                <w:bCs w:val="1"/>
                <w:color w:val="auto"/>
                <w:w w:val="97"/>
              </w:rPr>
              <w:t>Nine Months Ended September 30,</w:t>
            </w:r>
          </w:p>
        </w:tc>
        <w:tc>
          <w:tcPr>
            <w:tcW w:w="100" w:type="dxa"/>
            <w:vAlign w:val="bottom"/>
          </w:tcPr>
          <w:p>
            <w:pPr>
              <w:spacing w:after="0"/>
              <w:rPr>
                <w:sz w:val="19"/>
                <w:szCs w:val="19"/>
                <w:color w:val="auto"/>
              </w:rPr>
            </w:pPr>
          </w:p>
        </w:tc>
      </w:tr>
      <w:tr>
        <w:trPr>
          <w:trHeight w:val="223"/>
        </w:trPr>
        <w:tc>
          <w:tcPr>
            <w:tcW w:w="40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408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Service-based RSUs</w:t>
            </w: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3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00" w:type="dxa"/>
            <w:vAlign w:val="bottom"/>
            <w:shd w:val="clear" w:color="auto" w:fill="CCEE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17,865</w:t>
            </w: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19,936</w:t>
            </w:r>
          </w:p>
        </w:tc>
        <w:tc>
          <w:tcPr>
            <w:tcW w:w="100" w:type="dxa"/>
            <w:vAlign w:val="bottom"/>
            <w:shd w:val="clear" w:color="auto" w:fill="CCEEFF"/>
          </w:tcPr>
          <w:p>
            <w:pPr>
              <w:spacing w:after="0"/>
              <w:rPr>
                <w:sz w:val="21"/>
                <w:szCs w:val="2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Performance-based RSUs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3,416</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10,136</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10,136</w:t>
            </w:r>
          </w:p>
        </w:tc>
        <w:tc>
          <w:tcPr>
            <w:tcW w:w="100" w:type="dxa"/>
            <w:vAlign w:val="bottom"/>
          </w:tcPr>
          <w:p>
            <w:pPr>
              <w:spacing w:after="0"/>
              <w:rPr>
                <w:sz w:val="20"/>
                <w:szCs w:val="20"/>
                <w:color w:val="auto"/>
              </w:rPr>
            </w:pPr>
          </w:p>
        </w:tc>
      </w:tr>
      <w:tr>
        <w:trPr>
          <w:trHeight w:val="249"/>
        </w:trPr>
        <w:tc>
          <w:tcPr>
            <w:tcW w:w="4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Common stock, fully-vested</w:t>
            </w: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4080" w:type="dxa"/>
            <w:vAlign w:val="bottom"/>
          </w:tcPr>
          <w:p>
            <w:pPr>
              <w:ind w:left="200"/>
              <w:spacing w:after="0"/>
              <w:rPr>
                <w:sz w:val="20"/>
                <w:szCs w:val="20"/>
                <w:color w:val="auto"/>
              </w:rPr>
            </w:pPr>
            <w:r>
              <w:rPr>
                <w:rFonts w:ascii="Arial" w:cs="Arial" w:eastAsia="Arial" w:hAnsi="Arial"/>
                <w:sz w:val="18"/>
                <w:szCs w:val="18"/>
                <w:color w:val="auto"/>
              </w:rPr>
              <w:t>Total share-based compensation expense</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10,699</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28,687</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30,072</w:t>
            </w:r>
          </w:p>
        </w:tc>
        <w:tc>
          <w:tcPr>
            <w:tcW w:w="10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-187960</wp:posOffset>
            </wp:positionV>
            <wp:extent cx="7683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-187960</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Service-based RSUs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unvested Service-based RSU activity for the nine months ended September 30, 2023 is shown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Weighted Average Grant Date</w:t>
            </w:r>
          </w:p>
        </w:tc>
        <w:tc>
          <w:tcPr>
            <w:tcW w:w="100" w:type="dxa"/>
            <w:vAlign w:val="bottom"/>
          </w:tcPr>
          <w:p>
            <w:pPr>
              <w:spacing w:after="0"/>
              <w:rPr>
                <w:sz w:val="17"/>
                <w:szCs w:val="17"/>
                <w:color w:val="auto"/>
              </w:rPr>
            </w:pPr>
          </w:p>
        </w:tc>
      </w:tr>
      <w:tr>
        <w:trPr>
          <w:trHeight w:val="223"/>
        </w:trPr>
        <w:tc>
          <w:tcPr>
            <w:tcW w:w="5840" w:type="dxa"/>
            <w:vAlign w:val="bottom"/>
          </w:tcPr>
          <w:p>
            <w:pPr>
              <w:spacing w:after="0"/>
              <w:rPr>
                <w:sz w:val="19"/>
                <w:szCs w:val="19"/>
                <w:color w:val="auto"/>
              </w:rPr>
            </w:pPr>
          </w:p>
        </w:tc>
        <w:tc>
          <w:tcPr>
            <w:tcW w:w="2920" w:type="dxa"/>
            <w:vAlign w:val="bottom"/>
            <w:gridSpan w:val="2"/>
          </w:tcPr>
          <w:p>
            <w:pPr>
              <w:jc w:val="right"/>
              <w:ind w:right="1060"/>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9"/>
                <w:szCs w:val="19"/>
                <w:color w:val="auto"/>
              </w:rPr>
            </w:pPr>
          </w:p>
        </w:tc>
        <w:tc>
          <w:tcPr>
            <w:tcW w:w="2260" w:type="dxa"/>
            <w:vAlign w:val="bottom"/>
          </w:tcPr>
          <w:p>
            <w:pPr>
              <w:jc w:val="right"/>
              <w:ind w:right="733"/>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9"/>
                <w:szCs w:val="19"/>
                <w:color w:val="auto"/>
              </w:rPr>
            </w:pPr>
          </w:p>
        </w:tc>
      </w:tr>
      <w:tr>
        <w:trPr>
          <w:trHeight w:val="243"/>
        </w:trPr>
        <w:tc>
          <w:tcPr>
            <w:tcW w:w="58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Unvested at January 1, 2023</w:t>
            </w: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14,441,044</w:t>
            </w:r>
          </w:p>
        </w:tc>
        <w:tc>
          <w:tcPr>
            <w:tcW w:w="4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1"/>
                <w:szCs w:val="2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Granted</w:t>
            </w:r>
          </w:p>
        </w:tc>
        <w:tc>
          <w:tcPr>
            <w:tcW w:w="2440" w:type="dxa"/>
            <w:vAlign w:val="bottom"/>
          </w:tcPr>
          <w:p>
            <w:pPr>
              <w:jc w:val="right"/>
              <w:spacing w:after="0"/>
              <w:rPr>
                <w:sz w:val="20"/>
                <w:szCs w:val="20"/>
                <w:color w:val="auto"/>
              </w:rPr>
            </w:pPr>
            <w:r>
              <w:rPr>
                <w:rFonts w:ascii="Arial" w:cs="Arial" w:eastAsia="Arial" w:hAnsi="Arial"/>
                <w:sz w:val="18"/>
                <w:szCs w:val="18"/>
                <w:color w:val="auto"/>
              </w:rPr>
              <w:t>6,993,565</w:t>
            </w:r>
          </w:p>
        </w:tc>
        <w:tc>
          <w:tcPr>
            <w:tcW w:w="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r>
      <w:tr>
        <w:trPr>
          <w:trHeight w:val="249"/>
        </w:trPr>
        <w:tc>
          <w:tcPr>
            <w:tcW w:w="58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Vested</w:t>
            </w:r>
          </w:p>
        </w:tc>
        <w:tc>
          <w:tcPr>
            <w:tcW w:w="2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(4,457,709 )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1"/>
                <w:szCs w:val="21"/>
                <w:color w:val="auto"/>
              </w:rPr>
            </w:pPr>
          </w:p>
        </w:tc>
      </w:tr>
      <w:tr>
        <w:trPr>
          <w:trHeight w:val="237"/>
        </w:trPr>
        <w:tc>
          <w:tcPr>
            <w:tcW w:w="5840" w:type="dxa"/>
            <w:vAlign w:val="bottom"/>
            <w:tcBorders>
              <w:top w:val="single" w:sz="8" w:color="CCECFF"/>
            </w:tcBorders>
          </w:tcPr>
          <w:p>
            <w:pPr>
              <w:ind w:left="20"/>
              <w:spacing w:after="0"/>
              <w:rPr>
                <w:sz w:val="20"/>
                <w:szCs w:val="20"/>
                <w:color w:val="auto"/>
              </w:rPr>
            </w:pPr>
            <w:r>
              <w:rPr>
                <w:rFonts w:ascii="Arial" w:cs="Arial" w:eastAsia="Arial" w:hAnsi="Arial"/>
                <w:sz w:val="18"/>
                <w:szCs w:val="18"/>
                <w:b w:val="1"/>
                <w:bCs w:val="1"/>
                <w:color w:val="auto"/>
              </w:rPr>
              <w:t>Unvested at September 30, 2023</w:t>
            </w:r>
          </w:p>
        </w:tc>
        <w:tc>
          <w:tcPr>
            <w:tcW w:w="2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16,976,900</w:t>
            </w:r>
          </w:p>
        </w:tc>
        <w:tc>
          <w:tcPr>
            <w:tcW w:w="4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top w:val="single" w:sz="8" w:color="CCEEFF"/>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-187960</wp:posOffset>
            </wp:positionV>
            <wp:extent cx="685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September 30, 2023, there was approximately $26.2 million of unrecognized compensation expense related to unvested Service-based RSUs, which is expected to be recognized over a weighted-average vesting period of approximately 1.5 years.</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If not fully vested upon grant, Service-based RSUs awarded generally vest over a period ranging from two to four years in equal installments on the award’s anniversary of the vesting commencement date, which will generally coincide with the timing when the employee or consultant began to provide services to the Company, as determined by the Board, and which may precede the grant date. 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or due to award recipient’s death or permanent disability, all unvested Service-based RSUs will vest in full.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Chief Executive Officer (“CEO”) remains in continuous service through such achievement, any then-unvested Service-based RSUs awarded to the CEO will also vest.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RSUs</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There was no new activity for unvested Performance-based RSUs during the nine months ended September 30, 2023 There were 4,257,710 unvested Performance-based RSUs with a weighted average grant date fair value of $7.76 as of both September 30, 2023 and December 31, 2022. As of September 30, 2023, there was approximately $7.7 million of unrecognized compensation expense related to unvested Performance-based RSUs, which is expected to be recognized over a weighted-average derived service period of approximately 0.7 years.</w:t>
      </w:r>
    </w:p>
    <w:p>
      <w:pPr>
        <w:spacing w:after="0" w:line="13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One-third of the outstanding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the CEO’s termination of service or, if earlier, in connection with a change in control will be forfeited for no consideration.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MEASUREMENTS</w:t>
      </w:r>
    </w:p>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7"/>
          </w:tcPr>
          <w:p>
            <w:pPr>
              <w:ind w:left="260"/>
              <w:spacing w:after="0"/>
              <w:rPr>
                <w:sz w:val="20"/>
                <w:szCs w:val="20"/>
                <w:color w:val="auto"/>
              </w:rPr>
            </w:pPr>
            <w:r>
              <w:rPr>
                <w:rFonts w:ascii="Arial" w:cs="Arial" w:eastAsia="Arial" w:hAnsi="Arial"/>
                <w:sz w:val="16"/>
                <w:szCs w:val="16"/>
                <w:b w:val="1"/>
                <w:bCs w:val="1"/>
                <w:color w:val="auto"/>
                <w:w w:val="98"/>
              </w:rPr>
              <w:t>Fair Value Measured as of September 30, 2023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Arial" w:cs="Arial" w:eastAsia="Arial" w:hAnsi="Arial"/>
                <w:sz w:val="16"/>
                <w:szCs w:val="16"/>
                <w:b w:val="1"/>
                <w:bCs w:val="1"/>
                <w:color w:val="auto"/>
              </w:rPr>
              <w:t>Level 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Arial" w:cs="Arial" w:eastAsia="Arial" w:hAnsi="Arial"/>
                <w:sz w:val="16"/>
                <w:szCs w:val="16"/>
                <w:b w:val="1"/>
                <w:bCs w:val="1"/>
                <w:color w:val="auto"/>
              </w:rPr>
              <w:t>Level 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r>
      <w:tr>
        <w:trPr>
          <w:trHeight w:val="243"/>
        </w:trPr>
        <w:tc>
          <w:tcPr>
            <w:tcW w:w="47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Assets included in:</w:t>
            </w:r>
          </w:p>
        </w:tc>
        <w:tc>
          <w:tcPr>
            <w:tcW w:w="28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60" w:type="dxa"/>
            <w:vAlign w:val="bottom"/>
            <w:tcBorders>
              <w:top w:val="single" w:sz="8" w:color="auto"/>
            </w:tcBorders>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104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7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Money market securities</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3,208</w:t>
            </w:r>
          </w:p>
        </w:tc>
        <w:tc>
          <w:tcPr>
            <w:tcW w:w="64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CECFF"/>
          </w:tcPr>
          <w:p>
            <w:pPr>
              <w:spacing w:after="0"/>
              <w:rPr>
                <w:sz w:val="21"/>
                <w:szCs w:val="2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r>
      <w:tr>
        <w:trPr>
          <w:trHeight w:val="249"/>
        </w:trPr>
        <w:tc>
          <w:tcPr>
            <w:tcW w:w="4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Derivative asset</w:t>
            </w:r>
          </w:p>
        </w:tc>
        <w:tc>
          <w:tcPr>
            <w:tcW w:w="28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80,050</w:t>
            </w:r>
          </w:p>
        </w:tc>
        <w:tc>
          <w:tcPr>
            <w:tcW w:w="34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80,050</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0"/>
        </w:trPr>
        <w:tc>
          <w:tcPr>
            <w:tcW w:w="47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3,568</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80,050</w:t>
            </w:r>
          </w:p>
        </w:tc>
        <w:tc>
          <w:tcPr>
            <w:tcW w:w="3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83,618</w:t>
            </w:r>
          </w:p>
        </w:tc>
        <w:tc>
          <w:tcPr>
            <w:tcW w:w="10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Liabilities included in:</w:t>
            </w:r>
          </w:p>
        </w:tc>
        <w:tc>
          <w:tcPr>
            <w:tcW w:w="28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r>
      <w:tr>
        <w:trPr>
          <w:trHeight w:val="270"/>
        </w:trPr>
        <w:tc>
          <w:tcPr>
            <w:tcW w:w="4700" w:type="dxa"/>
            <w:vAlign w:val="bottom"/>
            <w:tcBorders>
              <w:bottom w:val="single" w:sz="8" w:color="CCECFF"/>
            </w:tcBorders>
            <w:shd w:val="clear" w:color="auto" w:fill="CCECFF"/>
          </w:tcPr>
          <w:p>
            <w:pPr>
              <w:spacing w:after="0"/>
              <w:rPr>
                <w:sz w:val="23"/>
                <w:szCs w:val="23"/>
                <w:color w:val="auto"/>
              </w:rPr>
            </w:pP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CCECFF"/>
            </w:tcBorders>
            <w:shd w:val="clear" w:color="auto" w:fill="CCECFF"/>
          </w:tcPr>
          <w:p>
            <w:pPr>
              <w:spacing w:after="0"/>
              <w:rPr>
                <w:sz w:val="23"/>
                <w:szCs w:val="23"/>
                <w:color w:val="auto"/>
              </w:rPr>
            </w:pPr>
          </w:p>
        </w:tc>
        <w:tc>
          <w:tcPr>
            <w:tcW w:w="30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CFF"/>
            </w:tcBorders>
            <w:shd w:val="clear" w:color="auto" w:fill="CCECFF"/>
          </w:tcPr>
          <w:p>
            <w:pPr>
              <w:spacing w:after="0"/>
              <w:rPr>
                <w:sz w:val="23"/>
                <w:szCs w:val="23"/>
                <w:color w:val="auto"/>
              </w:rPr>
            </w:pPr>
          </w:p>
        </w:tc>
      </w:tr>
      <w:tr>
        <w:trPr>
          <w:trHeight w:val="439"/>
        </w:trPr>
        <w:tc>
          <w:tcPr>
            <w:tcW w:w="4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ind w:left="280"/>
              <w:spacing w:after="0"/>
              <w:rPr>
                <w:sz w:val="20"/>
                <w:szCs w:val="20"/>
                <w:color w:val="auto"/>
              </w:rPr>
            </w:pPr>
            <w:r>
              <w:rPr>
                <w:rFonts w:ascii="Arial" w:cs="Arial" w:eastAsia="Arial" w:hAnsi="Arial"/>
                <w:sz w:val="16"/>
                <w:szCs w:val="16"/>
                <w:b w:val="1"/>
                <w:bCs w:val="1"/>
                <w:color w:val="auto"/>
                <w:w w:val="99"/>
              </w:rPr>
              <w:t>Fair Value Measured as of December 31, 2022</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Arial" w:cs="Arial" w:eastAsia="Arial" w:hAnsi="Arial"/>
                <w:sz w:val="16"/>
                <w:szCs w:val="16"/>
                <w:b w:val="1"/>
                <w:bCs w:val="1"/>
                <w:color w:val="auto"/>
              </w:rPr>
              <w:t>Level 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Arial" w:cs="Arial" w:eastAsia="Arial" w:hAnsi="Arial"/>
                <w:sz w:val="16"/>
                <w:szCs w:val="16"/>
                <w:b w:val="1"/>
                <w:bCs w:val="1"/>
                <w:color w:val="auto"/>
              </w:rPr>
              <w:t>Level 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r>
      <w:tr>
        <w:trPr>
          <w:trHeight w:val="243"/>
        </w:trPr>
        <w:tc>
          <w:tcPr>
            <w:tcW w:w="47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Assets included in:</w:t>
            </w:r>
          </w:p>
        </w:tc>
        <w:tc>
          <w:tcPr>
            <w:tcW w:w="28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60" w:type="dxa"/>
            <w:vAlign w:val="bottom"/>
            <w:tcBorders>
              <w:top w:val="single" w:sz="8" w:color="auto"/>
            </w:tcBorders>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104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7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Money market securities</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10,943</w:t>
            </w:r>
          </w:p>
        </w:tc>
        <w:tc>
          <w:tcPr>
            <w:tcW w:w="64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10,943</w:t>
            </w:r>
          </w:p>
        </w:tc>
        <w:tc>
          <w:tcPr>
            <w:tcW w:w="100" w:type="dxa"/>
            <w:vAlign w:val="bottom"/>
            <w:shd w:val="clear" w:color="auto" w:fill="CCECFF"/>
          </w:tcPr>
          <w:p>
            <w:pPr>
              <w:spacing w:after="0"/>
              <w:rPr>
                <w:sz w:val="21"/>
                <w:szCs w:val="2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r>
      <w:tr>
        <w:trPr>
          <w:trHeight w:val="249"/>
        </w:trPr>
        <w:tc>
          <w:tcPr>
            <w:tcW w:w="4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Derivative asset</w:t>
            </w:r>
          </w:p>
        </w:tc>
        <w:tc>
          <w:tcPr>
            <w:tcW w:w="28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66,702</w:t>
            </w:r>
          </w:p>
        </w:tc>
        <w:tc>
          <w:tcPr>
            <w:tcW w:w="34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66,702</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0"/>
        </w:trPr>
        <w:tc>
          <w:tcPr>
            <w:tcW w:w="47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11,041</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66,702</w:t>
            </w:r>
          </w:p>
        </w:tc>
        <w:tc>
          <w:tcPr>
            <w:tcW w:w="3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77,743</w:t>
            </w:r>
          </w:p>
        </w:tc>
        <w:tc>
          <w:tcPr>
            <w:tcW w:w="10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Liabilities included in:</w:t>
            </w:r>
          </w:p>
        </w:tc>
        <w:tc>
          <w:tcPr>
            <w:tcW w:w="28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r>
      <w:tr>
        <w:trPr>
          <w:trHeight w:val="270"/>
        </w:trPr>
        <w:tc>
          <w:tcPr>
            <w:tcW w:w="4700" w:type="dxa"/>
            <w:vAlign w:val="bottom"/>
            <w:tcBorders>
              <w:bottom w:val="single" w:sz="8" w:color="CCECFF"/>
            </w:tcBorders>
            <w:shd w:val="clear" w:color="auto" w:fill="CCECFF"/>
          </w:tcPr>
          <w:p>
            <w:pPr>
              <w:spacing w:after="0"/>
              <w:rPr>
                <w:sz w:val="23"/>
                <w:szCs w:val="23"/>
                <w:color w:val="auto"/>
              </w:rPr>
            </w:pP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CCECFF"/>
            </w:tcBorders>
            <w:shd w:val="clear" w:color="auto" w:fill="CCECFF"/>
          </w:tcPr>
          <w:p>
            <w:pPr>
              <w:spacing w:after="0"/>
              <w:rPr>
                <w:sz w:val="23"/>
                <w:szCs w:val="23"/>
                <w:color w:val="auto"/>
              </w:rPr>
            </w:pPr>
          </w:p>
        </w:tc>
        <w:tc>
          <w:tcPr>
            <w:tcW w:w="30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CFF"/>
            </w:tcBorders>
            <w:shd w:val="clear" w:color="auto" w:fill="CCEC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-2596515</wp:posOffset>
            </wp:positionV>
            <wp:extent cx="7747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-2596515</wp:posOffset>
            </wp:positionV>
            <wp:extent cx="6858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-2596515</wp:posOffset>
            </wp:positionV>
            <wp:extent cx="6858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-1936750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-1919605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-1936750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-1919605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-1936750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-1919605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-685165</wp:posOffset>
            </wp:positionV>
            <wp:extent cx="7747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-685165</wp:posOffset>
            </wp:positionV>
            <wp:extent cx="6858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-685165</wp:posOffset>
            </wp:positionV>
            <wp:extent cx="6858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center"/>
        <w:ind w:right="60"/>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financial instruments between Level 1, Level 2 and Level 3 during the periods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asset</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Company’s derivative asset, related to the Luminant Power Agreement, is divided between current and noncurrent assets, and was initially recorded on its unaudited condensed consolidated balance sheets on the derivative asset’s effective date of July 1, 2022, with an offsetting amount recorded to change in fair value of derivative asset in costs and operating expenses on the unaudited condensed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which has a remaining term of approximately 3.6 years. The valuations performed by the third-party valuation firm engaged by the Company utilized pre-tax discount rates of 7.55% and 6.83% as of September 30, 2023 and December 31, 2022,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changes to the quoted forward electricity rates, as well as unobservable inputs (e.g., changes in estimated usage rates and discount rate assumptions).</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the changes in the estimated fair value of the derivative asset measured using significant unobservable inputs (Level 3) for the nine months ended September 30, 2023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January 1, 2023</w:t>
            </w:r>
          </w:p>
        </w:tc>
        <w:tc>
          <w:tcPr>
            <w:tcW w:w="1060" w:type="dxa"/>
            <w:vAlign w:val="bottom"/>
            <w:shd w:val="clear" w:color="auto" w:fill="CCECFF"/>
          </w:tcPr>
          <w:p>
            <w:pPr>
              <w:jc w:val="right"/>
              <w:ind w:right="8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66,702</w:t>
            </w:r>
          </w:p>
        </w:tc>
        <w:tc>
          <w:tcPr>
            <w:tcW w:w="100" w:type="dxa"/>
            <w:vAlign w:val="bottom"/>
            <w:shd w:val="clear" w:color="auto" w:fill="CCECFF"/>
          </w:tcPr>
          <w:p>
            <w:pPr>
              <w:spacing w:after="0"/>
              <w:rPr>
                <w:sz w:val="21"/>
                <w:szCs w:val="21"/>
                <w:color w:val="auto"/>
              </w:rPr>
            </w:pPr>
          </w:p>
        </w:tc>
      </w:tr>
      <w:tr>
        <w:trPr>
          <w:trHeight w:val="243"/>
        </w:trPr>
        <w:tc>
          <w:tcPr>
            <w:tcW w:w="8600" w:type="dxa"/>
            <w:vAlign w:val="bottom"/>
          </w:tcPr>
          <w:p>
            <w:pPr>
              <w:ind w:left="200"/>
              <w:spacing w:after="0"/>
              <w:rPr>
                <w:sz w:val="20"/>
                <w:szCs w:val="20"/>
                <w:color w:val="auto"/>
              </w:rPr>
            </w:pPr>
            <w:r>
              <w:rPr>
                <w:rFonts w:ascii="Arial" w:cs="Arial" w:eastAsia="Arial" w:hAnsi="Arial"/>
                <w:sz w:val="18"/>
                <w:szCs w:val="18"/>
                <w:color w:val="auto"/>
              </w:rPr>
              <w:t>Change in fair value</w:t>
            </w:r>
          </w:p>
        </w:tc>
        <w:tc>
          <w:tcPr>
            <w:tcW w:w="10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13,348</w:t>
            </w:r>
          </w:p>
        </w:tc>
        <w:tc>
          <w:tcPr>
            <w:tcW w:w="100" w:type="dxa"/>
            <w:vAlign w:val="bottom"/>
          </w:tcPr>
          <w:p>
            <w:pPr>
              <w:spacing w:after="0"/>
              <w:rPr>
                <w:sz w:val="21"/>
                <w:szCs w:val="21"/>
                <w:color w:val="auto"/>
              </w:rPr>
            </w:pPr>
          </w:p>
        </w:tc>
      </w:tr>
      <w:tr>
        <w:trPr>
          <w:trHeight w:val="277"/>
        </w:trPr>
        <w:tc>
          <w:tcPr>
            <w:tcW w:w="86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September 30, 2023</w:t>
            </w:r>
          </w:p>
        </w:tc>
        <w:tc>
          <w:tcPr>
            <w:tcW w:w="1060" w:type="dxa"/>
            <w:vAlign w:val="bottom"/>
            <w:tcBorders>
              <w:bottom w:val="single" w:sz="8" w:color="auto"/>
            </w:tcBorders>
            <w:shd w:val="clear" w:color="auto" w:fill="CCECFF"/>
          </w:tcPr>
          <w:p>
            <w:pPr>
              <w:jc w:val="right"/>
              <w:ind w:right="8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80,050</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liability</w:t>
      </w:r>
    </w:p>
    <w:p>
      <w:pPr>
        <w:spacing w:after="0" w:line="18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The Company’s Private Placement Warrants (as defined in Note 14. </w:t>
      </w:r>
      <w:r>
        <w:rPr>
          <w:rFonts w:ascii="Arial" w:cs="Arial" w:eastAsia="Arial" w:hAnsi="Arial"/>
          <w:sz w:val="17"/>
          <w:szCs w:val="17"/>
          <w:i w:val="1"/>
          <w:iCs w:val="1"/>
          <w:color w:val="auto"/>
        </w:rPr>
        <w:t>Warrants</w:t>
      </w:r>
      <w:r>
        <w:rPr>
          <w:rFonts w:ascii="Arial" w:cs="Arial" w:eastAsia="Arial" w:hAnsi="Arial"/>
          <w:sz w:val="17"/>
          <w:szCs w:val="17"/>
          <w:color w:val="auto"/>
        </w:rPr>
        <w:t>) are its only liability classified within Level 3 of the fair value hierarchy because the fair value is based on significant inputs that are unobservable in the market. The valuation of the Private Placement Warrants uses assumptions and estimates the Company believes would be made by a market participant in making the same valuation. The Company assesses these assumptions and estimates on an on-going basis as additional data impacting the assumptions and estimates are obtained.</w:t>
      </w:r>
    </w:p>
    <w:p>
      <w:pPr>
        <w:spacing w:after="0" w:line="14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engaged a valuation firm to determine the fair value of the Private Placement Warrants using a Black-Scholes option-pricing model and the quoted price of its Common Stock. The following table presents significant assumptions utilized in the valuations of the Private Placement Warrants as of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2"/>
          </w:tcPr>
          <w:p>
            <w:pPr>
              <w:jc w:val="right"/>
              <w:ind w:right="690"/>
              <w:spacing w:after="0"/>
              <w:rPr>
                <w:sz w:val="20"/>
                <w:szCs w:val="20"/>
                <w:color w:val="auto"/>
              </w:rPr>
            </w:pPr>
            <w:r>
              <w:rPr>
                <w:rFonts w:ascii="Arial" w:cs="Arial" w:eastAsia="Arial" w:hAnsi="Arial"/>
                <w:sz w:val="16"/>
                <w:szCs w:val="16"/>
                <w:b w:val="1"/>
                <w:bCs w:val="1"/>
                <w:color w:val="auto"/>
                <w:w w:val="96"/>
              </w:rPr>
              <w:t>September 30, 2023</w:t>
            </w:r>
          </w:p>
        </w:tc>
        <w:tc>
          <w:tcPr>
            <w:tcW w:w="220" w:type="dxa"/>
            <w:vAlign w:val="bottom"/>
          </w:tcPr>
          <w:p>
            <w:pPr>
              <w:spacing w:after="0"/>
              <w:rPr>
                <w:sz w:val="19"/>
                <w:szCs w:val="19"/>
                <w:color w:val="auto"/>
              </w:rPr>
            </w:pPr>
          </w:p>
        </w:tc>
        <w:tc>
          <w:tcPr>
            <w:tcW w:w="194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w w:val="98"/>
              </w:rPr>
              <w:t>December 31, 2022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6700" w:type="dxa"/>
            <w:vAlign w:val="bottom"/>
          </w:tcPr>
          <w:p>
            <w:pPr>
              <w:ind w:left="20"/>
              <w:spacing w:after="0"/>
              <w:rPr>
                <w:sz w:val="20"/>
                <w:szCs w:val="20"/>
                <w:color w:val="auto"/>
              </w:rPr>
            </w:pPr>
            <w:r>
              <w:rPr>
                <w:rFonts w:ascii="Arial" w:cs="Arial" w:eastAsia="Arial" w:hAnsi="Arial"/>
                <w:sz w:val="18"/>
                <w:szCs w:val="18"/>
                <w:color w:val="auto"/>
              </w:rPr>
              <w:t>Dividend yield rate</w:t>
            </w:r>
          </w:p>
        </w:tc>
        <w:tc>
          <w:tcPr>
            <w:tcW w:w="200" w:type="dxa"/>
            <w:vAlign w:val="bottom"/>
          </w:tcPr>
          <w:p>
            <w:pPr>
              <w:spacing w:after="0"/>
              <w:rPr>
                <w:sz w:val="21"/>
                <w:szCs w:val="21"/>
                <w:color w:val="auto"/>
              </w:rPr>
            </w:pPr>
          </w:p>
        </w:tc>
        <w:tc>
          <w:tcPr>
            <w:tcW w:w="2240" w:type="dxa"/>
            <w:vAlign w:val="bottom"/>
            <w:gridSpan w:val="2"/>
          </w:tcPr>
          <w:p>
            <w:pPr>
              <w:jc w:val="right"/>
              <w:ind w:right="190"/>
              <w:spacing w:after="0"/>
              <w:rPr>
                <w:sz w:val="20"/>
                <w:szCs w:val="20"/>
                <w:color w:val="auto"/>
              </w:rPr>
            </w:pPr>
            <w:r>
              <w:rPr>
                <w:rFonts w:ascii="Arial" w:cs="Arial" w:eastAsia="Arial" w:hAnsi="Arial"/>
                <w:sz w:val="18"/>
                <w:szCs w:val="18"/>
                <w:color w:val="auto"/>
              </w:rPr>
              <w:t>0.00 %</w:t>
            </w:r>
          </w:p>
        </w:tc>
        <w:tc>
          <w:tcPr>
            <w:tcW w:w="22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0.00 %</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00" w:type="dxa"/>
            <w:vAlign w:val="bottom"/>
          </w:tcPr>
          <w:p>
            <w:pPr>
              <w:spacing w:after="0"/>
              <w:rPr>
                <w:sz w:val="21"/>
                <w:szCs w:val="21"/>
                <w:color w:val="auto"/>
              </w:rPr>
            </w:pPr>
          </w:p>
        </w:tc>
        <w:tc>
          <w:tcPr>
            <w:tcW w:w="2240" w:type="dxa"/>
            <w:vAlign w:val="bottom"/>
            <w:gridSpan w:val="2"/>
          </w:tcPr>
          <w:p>
            <w:pPr>
              <w:jc w:val="right"/>
              <w:ind w:right="190"/>
              <w:spacing w:after="0"/>
              <w:rPr>
                <w:sz w:val="20"/>
                <w:szCs w:val="20"/>
                <w:color w:val="auto"/>
              </w:rPr>
            </w:pPr>
            <w:r>
              <w:rPr>
                <w:rFonts w:ascii="Arial" w:cs="Arial" w:eastAsia="Arial" w:hAnsi="Arial"/>
                <w:sz w:val="18"/>
                <w:szCs w:val="18"/>
                <w:color w:val="auto"/>
              </w:rPr>
              <w:t>85.0 %</w:t>
            </w:r>
          </w:p>
        </w:tc>
        <w:tc>
          <w:tcPr>
            <w:tcW w:w="22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90.0 %</w:t>
            </w:r>
          </w:p>
        </w:tc>
      </w:tr>
      <w:tr>
        <w:trPr>
          <w:trHeight w:val="250"/>
        </w:trPr>
        <w:tc>
          <w:tcPr>
            <w:tcW w:w="6700" w:type="dxa"/>
            <w:vAlign w:val="bottom"/>
          </w:tcPr>
          <w:p>
            <w:pPr>
              <w:ind w:left="20"/>
              <w:spacing w:after="0"/>
              <w:rPr>
                <w:sz w:val="20"/>
                <w:szCs w:val="20"/>
                <w:color w:val="auto"/>
              </w:rPr>
            </w:pPr>
            <w:r>
              <w:rPr>
                <w:rFonts w:ascii="Arial" w:cs="Arial" w:eastAsia="Arial" w:hAnsi="Arial"/>
                <w:sz w:val="18"/>
                <w:szCs w:val="18"/>
                <w:color w:val="auto"/>
              </w:rPr>
              <w:t>Contractual term (in years)</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6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Exercise price</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11.50</w:t>
            </w:r>
          </w:p>
        </w:tc>
        <w:tc>
          <w:tcPr>
            <w:tcW w:w="46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changes in the estimated fair value of the Private Placement Warrants for the nine months ended September 30, 2023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6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January 1, 2023</w:t>
            </w:r>
          </w:p>
        </w:tc>
        <w:tc>
          <w:tcPr>
            <w:tcW w:w="5760" w:type="dxa"/>
            <w:vAlign w:val="bottom"/>
            <w:gridSpan w:val="2"/>
            <w:shd w:val="clear" w:color="auto" w:fill="CCECFF"/>
          </w:tcPr>
          <w:p>
            <w:pPr>
              <w:jc w:val="right"/>
              <w:ind w:right="10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CFF"/>
          </w:tcPr>
          <w:p>
            <w:pPr>
              <w:spacing w:after="0"/>
              <w:rPr>
                <w:sz w:val="21"/>
                <w:szCs w:val="21"/>
                <w:color w:val="auto"/>
              </w:rPr>
            </w:pPr>
          </w:p>
        </w:tc>
      </w:tr>
      <w:tr>
        <w:trPr>
          <w:trHeight w:val="243"/>
        </w:trPr>
        <w:tc>
          <w:tcPr>
            <w:tcW w:w="4060" w:type="dxa"/>
            <w:vAlign w:val="bottom"/>
          </w:tcPr>
          <w:p>
            <w:pPr>
              <w:ind w:left="200"/>
              <w:spacing w:after="0"/>
              <w:rPr>
                <w:sz w:val="20"/>
                <w:szCs w:val="20"/>
                <w:color w:val="auto"/>
              </w:rPr>
            </w:pPr>
            <w:r>
              <w:rPr>
                <w:rFonts w:ascii="Arial" w:cs="Arial" w:eastAsia="Arial" w:hAnsi="Arial"/>
                <w:sz w:val="18"/>
                <w:szCs w:val="18"/>
                <w:color w:val="auto"/>
              </w:rPr>
              <w:t>Change in fair value</w:t>
            </w:r>
          </w:p>
        </w:tc>
        <w:tc>
          <w:tcPr>
            <w:tcW w:w="454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r>
      <w:tr>
        <w:trPr>
          <w:trHeight w:val="277"/>
        </w:trPr>
        <w:tc>
          <w:tcPr>
            <w:tcW w:w="40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September 30, 2023</w:t>
            </w:r>
          </w:p>
        </w:tc>
        <w:tc>
          <w:tcPr>
            <w:tcW w:w="4540" w:type="dxa"/>
            <w:vAlign w:val="bottom"/>
            <w:tcBorders>
              <w:bottom w:val="single" w:sz="8" w:color="CCECFF"/>
            </w:tcBorders>
            <w:shd w:val="clear" w:color="auto" w:fill="CCECFF"/>
          </w:tcPr>
          <w:p>
            <w:pPr>
              <w:spacing w:after="0"/>
              <w:rPr>
                <w:sz w:val="24"/>
                <w:szCs w:val="24"/>
                <w:color w:val="auto"/>
              </w:rPr>
            </w:pPr>
          </w:p>
        </w:tc>
        <w:tc>
          <w:tcPr>
            <w:tcW w:w="1220" w:type="dxa"/>
            <w:vAlign w:val="bottom"/>
            <w:tcBorders>
              <w:bottom w:val="single" w:sz="8" w:color="auto"/>
            </w:tcBorders>
            <w:shd w:val="clear" w:color="auto" w:fill="CCECFF"/>
          </w:tcPr>
          <w:p>
            <w:pPr>
              <w:jc w:val="right"/>
              <w:ind w:right="10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628"/>
        </w:trPr>
        <w:tc>
          <w:tcPr>
            <w:tcW w:w="4060" w:type="dxa"/>
            <w:vAlign w:val="bottom"/>
          </w:tcPr>
          <w:p>
            <w:pPr>
              <w:spacing w:after="0"/>
              <w:rPr>
                <w:sz w:val="24"/>
                <w:szCs w:val="24"/>
                <w:color w:val="auto"/>
              </w:rPr>
            </w:pPr>
          </w:p>
        </w:tc>
        <w:tc>
          <w:tcPr>
            <w:tcW w:w="4540" w:type="dxa"/>
            <w:vAlign w:val="bottom"/>
          </w:tcPr>
          <w:p>
            <w:pPr>
              <w:jc w:val="right"/>
              <w:ind w:right="2790"/>
              <w:spacing w:after="0"/>
              <w:rPr>
                <w:sz w:val="20"/>
                <w:szCs w:val="20"/>
                <w:color w:val="auto"/>
              </w:rPr>
            </w:pPr>
            <w:r>
              <w:rPr>
                <w:rFonts w:ascii="Arial" w:cs="Arial" w:eastAsia="Arial" w:hAnsi="Arial"/>
                <w:sz w:val="18"/>
                <w:szCs w:val="18"/>
                <w:color w:val="auto"/>
              </w:rPr>
              <w:t>23</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060" w:type="dxa"/>
            <w:vAlign w:val="bottom"/>
            <w:tcBorders>
              <w:bottom w:val="single" w:sz="8" w:color="9A9A9A"/>
            </w:tcBorders>
          </w:tcPr>
          <w:p>
            <w:pPr>
              <w:spacing w:after="0"/>
              <w:rPr>
                <w:sz w:val="8"/>
                <w:szCs w:val="8"/>
                <w:color w:val="auto"/>
              </w:rPr>
            </w:pPr>
          </w:p>
        </w:tc>
        <w:tc>
          <w:tcPr>
            <w:tcW w:w="45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8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determination of income tax expense in the unaudited condensed consolidated statements of operations is based upon the estimated effective tax rate for the year, adjusted for the impact of any discrete items which are accounted for in the period in which they occur. The Company recorded an income tax benefit of approximately 1.1% and nil of income (loss) before taxes for each of the nine months ended September 30, 2023 and 2022, respectively.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 Purchase</w:t>
      </w:r>
    </w:p>
    <w:p>
      <w:pPr>
        <w:spacing w:after="0" w:line="18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October 4, 2023, the Company entered into an agreement with Bitmain Technologies Delaware Limited to purchase 1.2 EH/s worth of HASH Super Computing Servers (Antminer S21-200.0T model), for a total commitment of $24.0 million to be paid in cash and coupons, or $16.8 million in cash after applying coupons (the “Bitmain Agreement”). The Company expects the miners purchased under this agreement to be shipped in batches between January and June 2024. The Company expects to make periodic payments in accordance with the payment schedule under the Bitmain Agreement, with the final payment expected to occur one year after the delivery of the last batch of miners. Pursuant to the Bitmain Agreement, the Company is responsible for all logistics costs related to transportation, packaging for transportation and insurance related to the delivery of the miners.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Pearl Purchase</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November 6, 2023, the Company and its wholly-owned subsidiary, Cipher Black Pearl LLC, entered into a Purchase and Sale Agreement (the “PSA”) with Trinity Mining Group, Inc. (“Trinity”) to purchase a data center lease (the “Lease”) related to certain tracts or parcels of land containing at least 50 acres of land located in Winkler County, Texas (the “Leased Property”) and certain other agreements (the “Assumed Agreements”) providing for the construction of a new data center the Company expects to build and call “Black Pearl” or the “Black Pearl Facility”. The Lease has an initial term of ten years, and the Company has four consecutive options to renew for periods of ten years each. In addition to the Lease and the Assumed Agreements, the purchased assets under the PSA include certain books, records, reports, studies and governmental approvals related to the Leased Property, and an approval from the Electric Reliability Council of Texas (“ERCOT”) conditionally approving up to 300 MW of energy consumption at the interconnection point of the Leased Property (the “Purchased Assets”).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consideration for the Purchased Assets will be $7.0 million (the “Purchase Price”). The Purchase Price will be paid by delivery of a number of whole shares of the Company’s common stock. The amount of the Company’s stock to be delivered under the PSA will be calculated by dividing the Purchase Price by the volume weighted average price of the Company’s common stock traded on the Nasdaq Global Select Market for the thirty (30) trading days immediately preceding the signing of the Purchase and Sale Agreement, determined without regard to after-hours trading or any other trading outside of the regular trading session trading hours.</w:t>
      </w:r>
    </w:p>
    <w:p>
      <w:pPr>
        <w:spacing w:after="0" w:line="18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shares of the Company’s common stock to be issued to Trinity will be issued pursuant to the Registration Statement, including all information, documents and exhibits filed with or incorporated by reference into the Registration Statement, providing for the offering, issuance and sale by the Company from time to time of up to $500.0 million in aggregate of the Company’s common stock, preferred stock, warrants and units. The Company’s obligations to consummate the transactions contemplated by the PSA are subject to the satisfaction of certain conditions precedent. To the extent those conditions are satisfied, or waived by the Company, the Company expects the closing date to occur before the end of December 2023. If the closing date occurs before the end of December 2023, the Company expects to deliver to Oncor Electric Delivery Company LLC (“Oncor”) up to $6.3 million as collateral that Oncor will be obligated to return to the Company, provided that the Company energizes at least 135MW at the Black Pearl Facility by 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as well as our audited consolidated financial statements and related notes disclosed in our 2022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2022 Form 10-K and this Quarterly Report and in other parts of this Quarterly Report.</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Unless the context otherwise requires, references in this Quarterly Report to the “Company,” “Cipher,” “Cipher Mining,” “we,” “us” or “our” refers to Cipher Mining Inc. and its consolidated subsidiaries, unless otherwise indicated.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are an emerging technology company that develops and operates industrial scale bitcoin mining data centers. Cipher Mining Inc., through itself and its consolidated subsidiaries, including Cipher Mining Technologies Inc. (“CMTI”), currently operates four bitcoin mining data centers in Texas. Bitcoin mining is our principal revenue generating business activity.</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current intention is to continue to expand our bitcoin mining business by developing additional data centers, expanding capacity at our current data centers and entering into other arrangements, such as joint ventures or data center hosting agreements.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key mission is to expand and strengthen the Bitcoin network’s critical infrastructure. As of October 31, 2023, we operated approximately 80,500 miners, with an aggregate hashrate capacity of approximately 8.2 EH/s, deploying approximately 267 MW of electricity, of which we owned approximately 70,500 miners, with an aggregate hashrate capacity of approximately 7.2 EH/s, deploying approximately 236 MW of electricity.</w:t>
      </w:r>
    </w:p>
    <w:p>
      <w:pPr>
        <w:spacing w:after="0" w:line="1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operate four bitcoin mining data centers in Texas, including one wholly-owned and three partially-owned data centers acquired through investments in joint ventures. Our largest data center is our Odessa data center (the “Odessa Facility”), which is our wholly-owned 207 MW facility located in Odessa, Texas. We also operate our Alborz data center (the “Alborz Facility”), which is located near Happy, Texas and is partially-owned through a joint venture with WindHQ LLC (“WindHQ”). Our Bear data center (the “Bear Facility”) and our Chief data center (the “Chief Facility”) are both located near Andrews, Texas and are also partially-owned through separate joint ventures with WindHQ. We have a 49% membership interest in Alborz LLC, Bear LLC and Chief LLC, which own the Alborz Facility, the Bear Facility and the Chief Facility,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 Purchase</w:t>
      </w:r>
    </w:p>
    <w:p>
      <w:pPr>
        <w:spacing w:after="0" w:line="18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October 4, 2023, we entered into an agreement with Bitmain Technologies Delaware Limited to purchase 1.2 EH/s worth of HASH Super Computing Servers (Antminer S21-200.0T model), for a total commitment of $24.0 million to be paid in cash and coupons, or $16.8 million in cash after applying coupons (the “Bitmain Agreement”). We expect the miners purchased under this agreement to be shipped in batches between January and June 2024. We expect to make periodic payments in accordance with the payment schedule under the Bitmain Agreement, with the final payment expected to occur one year after the delivery of the last batch of miners. Pursuant to the Bitmain Agreement, we are responsible for all logistics costs related to transportation, packaging for transportation and insurance related to the delivery of the miners.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Pearl Purchase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November 6, 2023, we and our wholly-owned subsidiary, Cipher Black Pearl LLC, entered into a Purchase and Sale Agreement (the “PSA”) with Trinity Mining Group, Inc. (“Trinity”) to purchase a data center lease (the “Lease”) related to certain tracts or parcels of land containing at least 50 acres of land located in Winkler County, Texas (the “Leased Property”) and certain other agreements (the “Assumed Agreements”) providing for the construction of a new data center we expect to build and call “Black Pearl” or the “Black Pearl Facility”. The Lease has an initial term of ten years, and we have four consecutive options to renew for periods of ten years each. In addition to the Lease and the Assumed Agreements, the purchased assets under the PSA include certain books, records, reports, studies and governmental approvals related to the Leased Property, and an approval from the Electric Reliability Council of Texas (“ERCOT”) conditionally approving up to 300 MW of energy consumption at the interconnection point of the Leased Property (the “Purchased Assets”).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ind w:right="60"/>
        <w:spacing w:after="0" w:line="257" w:lineRule="auto"/>
        <w:rPr>
          <w:sz w:val="20"/>
          <w:szCs w:val="20"/>
          <w:color w:val="auto"/>
        </w:rPr>
      </w:pPr>
      <w:r>
        <w:rPr>
          <w:rFonts w:ascii="Arial" w:cs="Arial" w:eastAsia="Arial" w:hAnsi="Arial"/>
          <w:sz w:val="18"/>
          <w:szCs w:val="18"/>
          <w:color w:val="auto"/>
        </w:rPr>
        <w:t>The consideration for the Purchased Assets will be $7.0 million (the “Purchase Price”). The Purchase Price will be paid by delivery of a number of whole shares of our common stock. The amount of our stock to be delivered under the PSA will be calculated by dividing the Purchase Price by the volume weighted average price of our common stock traded on the Nasdaq Global Select Market for the thirty (30) trading days immediately preceding the signing of the Purchase and Sale Agreement, determined without regard to after-hours trading or any other trading outside of the regular trading session trading hours.</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shares of our common stock to be issued to Trinity will be issued pursuant to the Company’s shelf registration statement on Form S-3, which was declared effective on October 6, 2022 (the “Registration Statement”), including all information, documents and exhibits filed with or incorporated by reference into the Registration Statement, providing for the offering, issuance and sale by us from time to time of up to $500.0 million in aggregate of our common stock, preferred stock, warrants and units. Our obligations to consummate the transactions contemplated by the PSA are subject to the satisfaction of certain conditions precedent. To the extent those conditions are satisfied, or waived by us, we expect the closing date to occur before the end of December 2023. If the closing date occurs before the end of December 2023, we expect to deliver to Oncor Electric Delivery Company LLC (“Oncor”) up to $6.3 million as collateral that Oncor will be obligated to return to us, provided that we energize at least 135MW at the Black Pearl Facility by May 15, 2026.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material changes to the “Factors Affecting Our Results of Operations” in the Management’s Discussion and Analysis section of our 2022 Form 10-K. Our financial position and results of operations depend to a significant extent on those factors.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Bitcoin Mining Results</w:t>
      </w:r>
    </w:p>
    <w:p>
      <w:pPr>
        <w:spacing w:after="0" w:line="18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presents information about our Bitcoin mining activities, including bitcoin production and sales of bitcoin (dollar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40" w:type="dxa"/>
            <w:vAlign w:val="bottom"/>
          </w:tcPr>
          <w:p>
            <w:pPr>
              <w:spacing w:after="0"/>
              <w:rPr>
                <w:sz w:val="20"/>
                <w:szCs w:val="20"/>
                <w:color w:val="auto"/>
              </w:rPr>
            </w:pPr>
          </w:p>
        </w:tc>
        <w:tc>
          <w:tcPr>
            <w:tcW w:w="1260" w:type="dxa"/>
            <w:vAlign w:val="bottom"/>
          </w:tcPr>
          <w:p>
            <w:pPr>
              <w:ind w:left="540"/>
              <w:spacing w:after="0"/>
              <w:rPr>
                <w:sz w:val="20"/>
                <w:szCs w:val="20"/>
                <w:color w:val="auto"/>
              </w:rPr>
            </w:pPr>
            <w:r>
              <w:rPr>
                <w:rFonts w:ascii="Arial" w:cs="Arial" w:eastAsia="Arial" w:hAnsi="Arial"/>
                <w:sz w:val="18"/>
                <w:szCs w:val="18"/>
                <w:b w:val="1"/>
                <w:bCs w:val="1"/>
                <w:color w:val="auto"/>
                <w:w w:val="95"/>
              </w:rPr>
              <w:t>Quantity</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43"/>
        </w:trPr>
        <w:tc>
          <w:tcPr>
            <w:tcW w:w="72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January 1, 2023</w:t>
            </w:r>
          </w:p>
        </w:tc>
        <w:tc>
          <w:tcPr>
            <w:tcW w:w="1260" w:type="dxa"/>
            <w:vAlign w:val="bottom"/>
            <w:tcBorders>
              <w:top w:val="single" w:sz="8" w:color="auto"/>
            </w:tcBorders>
            <w:shd w:val="clear" w:color="auto" w:fill="CCECFF"/>
          </w:tcPr>
          <w:p>
            <w:pPr>
              <w:spacing w:after="0"/>
              <w:rPr>
                <w:sz w:val="21"/>
                <w:szCs w:val="2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394</w:t>
            </w:r>
          </w:p>
        </w:tc>
        <w:tc>
          <w:tcPr>
            <w:tcW w:w="44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6,283</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00" w:type="dxa"/>
            <w:vAlign w:val="bottom"/>
            <w:gridSpan w:val="2"/>
          </w:tcPr>
          <w:p>
            <w:pPr>
              <w:ind w:left="200"/>
              <w:spacing w:after="0"/>
              <w:rPr>
                <w:sz w:val="20"/>
                <w:szCs w:val="20"/>
                <w:color w:val="auto"/>
              </w:rPr>
            </w:pPr>
            <w:r>
              <w:rPr>
                <w:rFonts w:ascii="Arial" w:cs="Arial" w:eastAsia="Arial" w:hAnsi="Arial"/>
                <w:sz w:val="18"/>
                <w:szCs w:val="18"/>
                <w:color w:val="auto"/>
              </w:rPr>
              <w:t>Bitcoin received from equity investees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50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Revenue recognized from bitcoin mined, net of receivable</w:t>
            </w: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3,131</w:t>
            </w:r>
          </w:p>
        </w:tc>
        <w:tc>
          <w:tcPr>
            <w:tcW w:w="4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83,162</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00" w:type="dxa"/>
            <w:vAlign w:val="bottom"/>
            <w:gridSpan w:val="2"/>
          </w:tcPr>
          <w:p>
            <w:pPr>
              <w:ind w:left="200"/>
              <w:spacing w:after="0"/>
              <w:rPr>
                <w:sz w:val="20"/>
                <w:szCs w:val="20"/>
                <w:color w:val="auto"/>
              </w:rPr>
            </w:pPr>
            <w:r>
              <w:rPr>
                <w:rFonts w:ascii="Arial" w:cs="Arial" w:eastAsia="Arial" w:hAnsi="Arial"/>
                <w:sz w:val="18"/>
                <w:szCs w:val="18"/>
                <w:color w:val="auto"/>
              </w:rPr>
              <w:t>Proceeds from sale of bitcoin, net of realized gain</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(3,005 )</w:t>
            </w:r>
          </w:p>
        </w:tc>
        <w:tc>
          <w:tcPr>
            <w:tcW w:w="3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(68,019 )</w:t>
            </w:r>
          </w:p>
        </w:tc>
        <w:tc>
          <w:tcPr>
            <w:tcW w:w="0" w:type="dxa"/>
            <w:vAlign w:val="bottom"/>
          </w:tcPr>
          <w:p>
            <w:pPr>
              <w:spacing w:after="0"/>
              <w:rPr>
                <w:sz w:val="1"/>
                <w:szCs w:val="1"/>
                <w:color w:val="auto"/>
              </w:rPr>
            </w:pPr>
          </w:p>
        </w:tc>
      </w:tr>
      <w:tr>
        <w:trPr>
          <w:trHeight w:val="249"/>
        </w:trPr>
        <w:tc>
          <w:tcPr>
            <w:tcW w:w="72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Impairment of bitcoin</w:t>
            </w:r>
          </w:p>
        </w:tc>
        <w:tc>
          <w:tcPr>
            <w:tcW w:w="1260" w:type="dxa"/>
            <w:vAlign w:val="bottom"/>
            <w:shd w:val="clear" w:color="auto" w:fill="CCECFF"/>
          </w:tcPr>
          <w:p>
            <w:pPr>
              <w:spacing w:after="0"/>
              <w:rPr>
                <w:sz w:val="21"/>
                <w:szCs w:val="2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4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(8,076 )</w:t>
            </w:r>
          </w:p>
        </w:tc>
        <w:tc>
          <w:tcPr>
            <w:tcW w:w="0" w:type="dxa"/>
            <w:vAlign w:val="bottom"/>
          </w:tcPr>
          <w:p>
            <w:pPr>
              <w:spacing w:after="0"/>
              <w:rPr>
                <w:sz w:val="1"/>
                <w:szCs w:val="1"/>
                <w:color w:val="auto"/>
              </w:rPr>
            </w:pPr>
          </w:p>
        </w:tc>
      </w:tr>
      <w:tr>
        <w:trPr>
          <w:trHeight w:val="236"/>
        </w:trPr>
        <w:tc>
          <w:tcPr>
            <w:tcW w:w="7240" w:type="dxa"/>
            <w:vAlign w:val="bottom"/>
            <w:tcBorders>
              <w:top w:val="single" w:sz="8" w:color="CCECFF"/>
            </w:tcBorders>
          </w:tcPr>
          <w:p>
            <w:pPr>
              <w:ind w:left="20"/>
              <w:spacing w:after="0"/>
              <w:rPr>
                <w:sz w:val="20"/>
                <w:szCs w:val="20"/>
                <w:color w:val="auto"/>
              </w:rPr>
            </w:pPr>
            <w:r>
              <w:rPr>
                <w:rFonts w:ascii="Arial" w:cs="Arial" w:eastAsia="Arial" w:hAnsi="Arial"/>
                <w:sz w:val="18"/>
                <w:szCs w:val="18"/>
                <w:b w:val="1"/>
                <w:bCs w:val="1"/>
                <w:color w:val="auto"/>
              </w:rPr>
              <w:t>Balance as of September 30, 2023</w:t>
            </w:r>
          </w:p>
        </w:tc>
        <w:tc>
          <w:tcPr>
            <w:tcW w:w="12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440" w:type="dxa"/>
            <w:vAlign w:val="bottom"/>
            <w:tcBorders>
              <w:top w:val="single" w:sz="8" w:color="CCEC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13,667</w:t>
            </w:r>
          </w:p>
        </w:tc>
        <w:tc>
          <w:tcPr>
            <w:tcW w:w="100" w:type="dxa"/>
            <w:vAlign w:val="bottom"/>
            <w:tcBorders>
              <w:top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5540"/>
              <w:spacing w:after="0"/>
              <w:rPr>
                <w:sz w:val="20"/>
                <w:szCs w:val="20"/>
                <w:color w:val="auto"/>
              </w:rPr>
            </w:pPr>
            <w:r>
              <w:rPr>
                <w:rFonts w:ascii="Arial" w:cs="Arial" w:eastAsia="Arial" w:hAnsi="Arial"/>
                <w:sz w:val="18"/>
                <w:szCs w:val="18"/>
                <w:color w:val="auto"/>
              </w:rPr>
              <w:t>26</w:t>
            </w: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2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-685165</wp:posOffset>
            </wp:positionV>
            <wp:extent cx="6858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w w:val="94"/>
              </w:rPr>
              <w:t>Three Months Ended September 30,</w:t>
            </w:r>
          </w:p>
        </w:tc>
        <w:tc>
          <w:tcPr>
            <w:tcW w:w="180" w:type="dxa"/>
            <w:vAlign w:val="bottom"/>
          </w:tcPr>
          <w:p>
            <w:pPr>
              <w:spacing w:after="0"/>
              <w:rPr>
                <w:sz w:val="19"/>
                <w:szCs w:val="19"/>
                <w:color w:val="auto"/>
              </w:rPr>
            </w:pPr>
          </w:p>
        </w:tc>
        <w:tc>
          <w:tcPr>
            <w:tcW w:w="288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23"/>
        </w:trPr>
        <w:tc>
          <w:tcPr>
            <w:tcW w:w="4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26"/>
        </w:trPr>
        <w:tc>
          <w:tcPr>
            <w:tcW w:w="4860" w:type="dxa"/>
            <w:vAlign w:val="bottom"/>
            <w:tcBorders>
              <w:bottom w:val="single" w:sz="8" w:color="CCECFF"/>
            </w:tcBorders>
            <w:shd w:val="clear" w:color="auto" w:fill="CCECFF"/>
          </w:tcPr>
          <w:p>
            <w:pPr>
              <w:ind w:left="60"/>
              <w:spacing w:after="0"/>
              <w:rPr>
                <w:sz w:val="20"/>
                <w:szCs w:val="20"/>
                <w:color w:val="auto"/>
              </w:rPr>
            </w:pPr>
            <w:r>
              <w:rPr>
                <w:rFonts w:ascii="Arial" w:cs="Arial" w:eastAsia="Arial" w:hAnsi="Arial"/>
                <w:sz w:val="16"/>
                <w:szCs w:val="16"/>
                <w:color w:val="auto"/>
              </w:rPr>
              <w:t>Revenue - bitcoin mining</w:t>
            </w: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30,304</w:t>
            </w:r>
          </w:p>
        </w:tc>
        <w:tc>
          <w:tcPr>
            <w:tcW w:w="3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83,423</w:t>
            </w:r>
          </w:p>
        </w:tc>
        <w:tc>
          <w:tcPr>
            <w:tcW w:w="32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16"/>
        </w:trPr>
        <w:tc>
          <w:tcPr>
            <w:tcW w:w="4860" w:type="dxa"/>
            <w:vAlign w:val="bottom"/>
          </w:tcPr>
          <w:p>
            <w:pPr>
              <w:ind w:left="60"/>
              <w:spacing w:after="0"/>
              <w:rPr>
                <w:sz w:val="20"/>
                <w:szCs w:val="20"/>
                <w:color w:val="auto"/>
              </w:rPr>
            </w:pPr>
            <w:r>
              <w:rPr>
                <w:rFonts w:ascii="Arial" w:cs="Arial" w:eastAsia="Arial" w:hAnsi="Arial"/>
                <w:sz w:val="16"/>
                <w:szCs w:val="16"/>
                <w:color w:val="auto"/>
              </w:rPr>
              <w:t>Costs and operating expenses (income)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3"/>
        </w:trPr>
        <w:tc>
          <w:tcPr>
            <w:tcW w:w="4860" w:type="dxa"/>
            <w:vAlign w:val="bottom"/>
            <w:shd w:val="clear" w:color="auto" w:fill="CCECFF"/>
          </w:tcPr>
          <w:p>
            <w:pPr>
              <w:ind w:left="240"/>
              <w:spacing w:after="0"/>
              <w:rPr>
                <w:sz w:val="20"/>
                <w:szCs w:val="20"/>
                <w:color w:val="auto"/>
              </w:rPr>
            </w:pPr>
            <w:r>
              <w:rPr>
                <w:rFonts w:ascii="Arial" w:cs="Arial" w:eastAsia="Arial" w:hAnsi="Arial"/>
                <w:sz w:val="16"/>
                <w:szCs w:val="16"/>
                <w:color w:val="auto"/>
              </w:rPr>
              <w:t>Cost of revenue</w:t>
            </w:r>
          </w:p>
        </w:tc>
        <w:tc>
          <w:tcPr>
            <w:tcW w:w="18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13,008</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37,017</w:t>
            </w:r>
          </w:p>
        </w:tc>
        <w:tc>
          <w:tcPr>
            <w:tcW w:w="3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CFF"/>
          </w:tcPr>
          <w:p>
            <w:pPr>
              <w:spacing w:after="0"/>
              <w:rPr>
                <w:sz w:val="21"/>
                <w:szCs w:val="21"/>
                <w:color w:val="auto"/>
              </w:rPr>
            </w:pPr>
          </w:p>
        </w:tc>
      </w:tr>
      <w:tr>
        <w:trPr>
          <w:trHeight w:val="220"/>
        </w:trPr>
        <w:tc>
          <w:tcPr>
            <w:tcW w:w="486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23,898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17,755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62,653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51,849</w:t>
            </w:r>
          </w:p>
        </w:tc>
        <w:tc>
          <w:tcPr>
            <w:tcW w:w="100" w:type="dxa"/>
            <w:vAlign w:val="bottom"/>
          </w:tcPr>
          <w:p>
            <w:pPr>
              <w:spacing w:after="0"/>
              <w:rPr>
                <w:sz w:val="19"/>
                <w:szCs w:val="19"/>
                <w:color w:val="auto"/>
              </w:rPr>
            </w:pPr>
          </w:p>
        </w:tc>
      </w:tr>
      <w:tr>
        <w:trPr>
          <w:trHeight w:val="253"/>
        </w:trPr>
        <w:tc>
          <w:tcPr>
            <w:tcW w:w="4860" w:type="dxa"/>
            <w:vAlign w:val="bottom"/>
            <w:shd w:val="clear" w:color="auto" w:fill="CCECFF"/>
          </w:tcPr>
          <w:p>
            <w:pPr>
              <w:ind w:left="240"/>
              <w:spacing w:after="0"/>
              <w:rPr>
                <w:sz w:val="20"/>
                <w:szCs w:val="20"/>
                <w:color w:val="auto"/>
              </w:rPr>
            </w:pPr>
            <w:r>
              <w:rPr>
                <w:rFonts w:ascii="Arial" w:cs="Arial" w:eastAsia="Arial" w:hAnsi="Arial"/>
                <w:sz w:val="16"/>
                <w:szCs w:val="16"/>
                <w:color w:val="auto"/>
              </w:rPr>
              <w:t>Depreciation</w:t>
            </w:r>
          </w:p>
        </w:tc>
        <w:tc>
          <w:tcPr>
            <w:tcW w:w="18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16,217</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42,284</w:t>
            </w:r>
          </w:p>
        </w:tc>
        <w:tc>
          <w:tcPr>
            <w:tcW w:w="3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CFF"/>
          </w:tcPr>
          <w:p>
            <w:pPr>
              <w:spacing w:after="0"/>
              <w:rPr>
                <w:sz w:val="21"/>
                <w:szCs w:val="21"/>
                <w:color w:val="auto"/>
              </w:rPr>
            </w:pPr>
          </w:p>
        </w:tc>
      </w:tr>
      <w:tr>
        <w:trPr>
          <w:trHeight w:val="220"/>
        </w:trPr>
        <w:tc>
          <w:tcPr>
            <w:tcW w:w="4860" w:type="dxa"/>
            <w:vAlign w:val="bottom"/>
          </w:tcPr>
          <w:p>
            <w:pPr>
              <w:ind w:left="240"/>
              <w:spacing w:after="0"/>
              <w:rPr>
                <w:sz w:val="20"/>
                <w:szCs w:val="20"/>
                <w:color w:val="auto"/>
              </w:rPr>
            </w:pPr>
            <w:r>
              <w:rPr>
                <w:rFonts w:ascii="Arial" w:cs="Arial" w:eastAsia="Arial" w:hAnsi="Arial"/>
                <w:sz w:val="16"/>
                <w:szCs w:val="16"/>
                <w:color w:val="auto"/>
              </w:rPr>
              <w:t>Change in fair value of derivative asset</w:t>
            </w:r>
          </w:p>
        </w:tc>
        <w:tc>
          <w:tcPr>
            <w:tcW w:w="18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(4,744 )</w:t>
            </w:r>
          </w:p>
        </w:tc>
        <w:tc>
          <w:tcPr>
            <w:tcW w:w="3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(85,658 )</w:t>
            </w:r>
          </w:p>
        </w:tc>
        <w:tc>
          <w:tcPr>
            <w:tcW w:w="18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(13,294 )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(85,658 )</w:t>
            </w:r>
          </w:p>
        </w:tc>
      </w:tr>
      <w:tr>
        <w:trPr>
          <w:trHeight w:val="253"/>
        </w:trPr>
        <w:tc>
          <w:tcPr>
            <w:tcW w:w="4860" w:type="dxa"/>
            <w:vAlign w:val="bottom"/>
            <w:shd w:val="clear" w:color="auto" w:fill="CCECFF"/>
          </w:tcPr>
          <w:p>
            <w:pPr>
              <w:ind w:left="240"/>
              <w:spacing w:after="0"/>
              <w:rPr>
                <w:sz w:val="20"/>
                <w:szCs w:val="20"/>
                <w:color w:val="auto"/>
              </w:rPr>
            </w:pPr>
            <w:r>
              <w:rPr>
                <w:rFonts w:ascii="Arial" w:cs="Arial" w:eastAsia="Arial" w:hAnsi="Arial"/>
                <w:sz w:val="16"/>
                <w:szCs w:val="16"/>
                <w:color w:val="auto"/>
              </w:rPr>
              <w:t>Power sales</w:t>
            </w:r>
          </w:p>
        </w:tc>
        <w:tc>
          <w:tcPr>
            <w:tcW w:w="180" w:type="dxa"/>
            <w:vAlign w:val="bottom"/>
            <w:shd w:val="clear" w:color="auto" w:fill="CCECFF"/>
          </w:tcPr>
          <w:p>
            <w:pPr>
              <w:spacing w:after="0"/>
              <w:rPr>
                <w:sz w:val="21"/>
                <w:szCs w:val="21"/>
                <w:color w:val="auto"/>
              </w:rPr>
            </w:pPr>
          </w:p>
        </w:tc>
        <w:tc>
          <w:tcPr>
            <w:tcW w:w="1520" w:type="dxa"/>
            <w:vAlign w:val="bottom"/>
            <w:gridSpan w:val="2"/>
            <w:shd w:val="clear" w:color="auto" w:fill="CCECFF"/>
          </w:tcPr>
          <w:p>
            <w:pPr>
              <w:jc w:val="right"/>
              <w:ind w:right="280"/>
              <w:spacing w:after="0"/>
              <w:rPr>
                <w:sz w:val="20"/>
                <w:szCs w:val="20"/>
                <w:color w:val="auto"/>
              </w:rPr>
            </w:pPr>
            <w:r>
              <w:rPr>
                <w:rFonts w:ascii="Arial" w:cs="Arial" w:eastAsia="Arial" w:hAnsi="Arial"/>
                <w:sz w:val="16"/>
                <w:szCs w:val="16"/>
                <w:color w:val="auto"/>
              </w:rPr>
              <w:t>(2,720 )</w:t>
            </w: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6"/>
                <w:szCs w:val="16"/>
                <w:color w:val="auto"/>
              </w:rPr>
              <w:t>(8,469 )</w:t>
            </w: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CFF"/>
          </w:tcPr>
          <w:p>
            <w:pPr>
              <w:spacing w:after="0"/>
              <w:rPr>
                <w:sz w:val="21"/>
                <w:szCs w:val="21"/>
                <w:color w:val="auto"/>
              </w:rPr>
            </w:pPr>
          </w:p>
        </w:tc>
      </w:tr>
      <w:tr>
        <w:trPr>
          <w:trHeight w:val="220"/>
        </w:trPr>
        <w:tc>
          <w:tcPr>
            <w:tcW w:w="4860" w:type="dxa"/>
            <w:vAlign w:val="bottom"/>
          </w:tcPr>
          <w:p>
            <w:pPr>
              <w:ind w:left="240"/>
              <w:spacing w:after="0"/>
              <w:rPr>
                <w:sz w:val="20"/>
                <w:szCs w:val="20"/>
                <w:color w:val="auto"/>
              </w:rPr>
            </w:pPr>
            <w:r>
              <w:rPr>
                <w:rFonts w:ascii="Arial" w:cs="Arial" w:eastAsia="Arial" w:hAnsi="Arial"/>
                <w:sz w:val="16"/>
                <w:szCs w:val="16"/>
                <w:color w:val="auto"/>
              </w:rPr>
              <w:t>Equity in losses of equity investees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1,998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8,345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4,179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20,577</w:t>
            </w:r>
          </w:p>
        </w:tc>
        <w:tc>
          <w:tcPr>
            <w:tcW w:w="100" w:type="dxa"/>
            <w:vAlign w:val="bottom"/>
          </w:tcPr>
          <w:p>
            <w:pPr>
              <w:spacing w:after="0"/>
              <w:rPr>
                <w:sz w:val="19"/>
                <w:szCs w:val="19"/>
                <w:color w:val="auto"/>
              </w:rPr>
            </w:pPr>
          </w:p>
        </w:tc>
      </w:tr>
      <w:tr>
        <w:trPr>
          <w:trHeight w:val="253"/>
        </w:trPr>
        <w:tc>
          <w:tcPr>
            <w:tcW w:w="4860" w:type="dxa"/>
            <w:vAlign w:val="bottom"/>
            <w:shd w:val="clear" w:color="auto" w:fill="CCECFF"/>
          </w:tcPr>
          <w:p>
            <w:pPr>
              <w:ind w:left="240"/>
              <w:spacing w:after="0"/>
              <w:rPr>
                <w:sz w:val="20"/>
                <w:szCs w:val="20"/>
                <w:color w:val="auto"/>
              </w:rPr>
            </w:pPr>
            <w:r>
              <w:rPr>
                <w:rFonts w:ascii="Arial" w:cs="Arial" w:eastAsia="Arial" w:hAnsi="Arial"/>
                <w:sz w:val="16"/>
                <w:szCs w:val="16"/>
                <w:color w:val="auto"/>
              </w:rPr>
              <w:t>Realized gain on sale of bitcoin</w:t>
            </w:r>
          </w:p>
        </w:tc>
        <w:tc>
          <w:tcPr>
            <w:tcW w:w="180" w:type="dxa"/>
            <w:vAlign w:val="bottom"/>
            <w:shd w:val="clear" w:color="auto" w:fill="CCECFF"/>
          </w:tcPr>
          <w:p>
            <w:pPr>
              <w:spacing w:after="0"/>
              <w:rPr>
                <w:sz w:val="21"/>
                <w:szCs w:val="21"/>
                <w:color w:val="auto"/>
              </w:rPr>
            </w:pPr>
          </w:p>
        </w:tc>
        <w:tc>
          <w:tcPr>
            <w:tcW w:w="1520" w:type="dxa"/>
            <w:vAlign w:val="bottom"/>
            <w:gridSpan w:val="2"/>
            <w:shd w:val="clear" w:color="auto" w:fill="CCECFF"/>
          </w:tcPr>
          <w:p>
            <w:pPr>
              <w:jc w:val="right"/>
              <w:ind w:right="280"/>
              <w:spacing w:after="0"/>
              <w:rPr>
                <w:sz w:val="20"/>
                <w:szCs w:val="20"/>
                <w:color w:val="auto"/>
              </w:rPr>
            </w:pPr>
            <w:r>
              <w:rPr>
                <w:rFonts w:ascii="Arial" w:cs="Arial" w:eastAsia="Arial" w:hAnsi="Arial"/>
                <w:sz w:val="16"/>
                <w:szCs w:val="16"/>
                <w:color w:val="auto"/>
              </w:rPr>
              <w:t>(2,505 )</w:t>
            </w:r>
          </w:p>
        </w:tc>
        <w:tc>
          <w:tcPr>
            <w:tcW w:w="300" w:type="dxa"/>
            <w:vAlign w:val="bottom"/>
            <w:shd w:val="clear" w:color="auto" w:fill="CCECFF"/>
          </w:tcPr>
          <w:p>
            <w:pPr>
              <w:spacing w:after="0"/>
              <w:rPr>
                <w:sz w:val="21"/>
                <w:szCs w:val="21"/>
                <w:color w:val="auto"/>
              </w:rPr>
            </w:pPr>
          </w:p>
        </w:tc>
        <w:tc>
          <w:tcPr>
            <w:tcW w:w="1320" w:type="dxa"/>
            <w:vAlign w:val="bottom"/>
            <w:gridSpan w:val="2"/>
            <w:shd w:val="clear" w:color="auto" w:fill="CCECFF"/>
          </w:tcPr>
          <w:p>
            <w:pPr>
              <w:jc w:val="right"/>
              <w:ind w:right="240"/>
              <w:spacing w:after="0"/>
              <w:rPr>
                <w:sz w:val="20"/>
                <w:szCs w:val="20"/>
                <w:color w:val="auto"/>
              </w:rPr>
            </w:pPr>
            <w:r>
              <w:rPr>
                <w:rFonts w:ascii="Arial" w:cs="Arial" w:eastAsia="Arial" w:hAnsi="Arial"/>
                <w:sz w:val="16"/>
                <w:szCs w:val="16"/>
                <w:color w:val="auto"/>
              </w:rPr>
              <w:t>(6 )</w:t>
            </w:r>
          </w:p>
        </w:tc>
        <w:tc>
          <w:tcPr>
            <w:tcW w:w="180" w:type="dxa"/>
            <w:vAlign w:val="bottom"/>
            <w:shd w:val="clear" w:color="auto" w:fill="CCECFF"/>
          </w:tcPr>
          <w:p>
            <w:pPr>
              <w:spacing w:after="0"/>
              <w:rPr>
                <w:sz w:val="21"/>
                <w:szCs w:val="21"/>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6"/>
                <w:szCs w:val="16"/>
                <w:color w:val="auto"/>
              </w:rPr>
              <w:t>(10,711 )</w:t>
            </w:r>
          </w:p>
        </w:tc>
        <w:tc>
          <w:tcPr>
            <w:tcW w:w="30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40"/>
              <w:spacing w:after="0"/>
              <w:rPr>
                <w:sz w:val="20"/>
                <w:szCs w:val="20"/>
                <w:color w:val="auto"/>
              </w:rPr>
            </w:pPr>
            <w:r>
              <w:rPr>
                <w:rFonts w:ascii="Arial" w:cs="Arial" w:eastAsia="Arial" w:hAnsi="Arial"/>
                <w:sz w:val="16"/>
                <w:szCs w:val="16"/>
                <w:color w:val="auto"/>
              </w:rPr>
              <w:t>(6 )</w:t>
            </w:r>
          </w:p>
        </w:tc>
      </w:tr>
      <w:tr>
        <w:trPr>
          <w:trHeight w:val="220"/>
        </w:trPr>
        <w:tc>
          <w:tcPr>
            <w:tcW w:w="4860" w:type="dxa"/>
            <w:vAlign w:val="bottom"/>
          </w:tcPr>
          <w:p>
            <w:pPr>
              <w:ind w:left="240"/>
              <w:spacing w:after="0"/>
              <w:rPr>
                <w:sz w:val="20"/>
                <w:szCs w:val="20"/>
                <w:color w:val="auto"/>
              </w:rPr>
            </w:pPr>
            <w:r>
              <w:rPr>
                <w:rFonts w:ascii="Arial" w:cs="Arial" w:eastAsia="Arial" w:hAnsi="Arial"/>
                <w:sz w:val="16"/>
                <w:szCs w:val="16"/>
                <w:color w:val="auto"/>
              </w:rPr>
              <w:t>Impairment of bitcoin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3,443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8,076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9"/>
                <w:szCs w:val="19"/>
                <w:color w:val="auto"/>
              </w:rPr>
            </w:pPr>
          </w:p>
        </w:tc>
      </w:tr>
      <w:tr>
        <w:trPr>
          <w:trHeight w:val="236"/>
        </w:trPr>
        <w:tc>
          <w:tcPr>
            <w:tcW w:w="4860" w:type="dxa"/>
            <w:vAlign w:val="bottom"/>
            <w:shd w:val="clear" w:color="auto" w:fill="CCECFF"/>
          </w:tcPr>
          <w:p>
            <w:pPr>
              <w:ind w:left="240"/>
              <w:spacing w:after="0"/>
              <w:rPr>
                <w:sz w:val="20"/>
                <w:szCs w:val="20"/>
                <w:color w:val="auto"/>
              </w:rPr>
            </w:pPr>
            <w:r>
              <w:rPr>
                <w:rFonts w:ascii="Arial" w:cs="Arial" w:eastAsia="Arial" w:hAnsi="Arial"/>
                <w:sz w:val="16"/>
                <w:szCs w:val="16"/>
                <w:color w:val="auto"/>
              </w:rPr>
              <w:t>Other gains</w:t>
            </w:r>
          </w:p>
        </w:tc>
        <w:tc>
          <w:tcPr>
            <w:tcW w:w="180" w:type="dxa"/>
            <w:vAlign w:val="bottom"/>
            <w:shd w:val="clear" w:color="auto" w:fill="CCECFF"/>
          </w:tcPr>
          <w:p>
            <w:pPr>
              <w:spacing w:after="0"/>
              <w:rPr>
                <w:sz w:val="20"/>
                <w:szCs w:val="20"/>
                <w:color w:val="auto"/>
              </w:rPr>
            </w:pPr>
          </w:p>
        </w:tc>
        <w:tc>
          <w:tcPr>
            <w:tcW w:w="1520" w:type="dxa"/>
            <w:vAlign w:val="bottom"/>
            <w:gridSpan w:val="2"/>
            <w:shd w:val="clear" w:color="auto" w:fill="CCECFF"/>
          </w:tcPr>
          <w:p>
            <w:pPr>
              <w:jc w:val="right"/>
              <w:ind w:right="280"/>
              <w:spacing w:after="0"/>
              <w:rPr>
                <w:sz w:val="20"/>
                <w:szCs w:val="20"/>
                <w:color w:val="auto"/>
              </w:rPr>
            </w:pPr>
            <w:r>
              <w:rPr>
                <w:rFonts w:ascii="Arial" w:cs="Arial" w:eastAsia="Arial" w:hAnsi="Arial"/>
                <w:sz w:val="16"/>
                <w:szCs w:val="16"/>
                <w:color w:val="auto"/>
              </w:rPr>
              <w:t>(95 )</w:t>
            </w: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6"/>
                <w:szCs w:val="16"/>
                <w:color w:val="auto"/>
              </w:rPr>
              <w:t>(2,355 )</w:t>
            </w: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CFF"/>
          </w:tcPr>
          <w:p>
            <w:pPr>
              <w:spacing w:after="0"/>
              <w:rPr>
                <w:sz w:val="20"/>
                <w:szCs w:val="20"/>
                <w:color w:val="auto"/>
              </w:rPr>
            </w:pPr>
          </w:p>
        </w:tc>
      </w:tr>
      <w:tr>
        <w:trPr>
          <w:trHeight w:val="20"/>
        </w:trPr>
        <w:tc>
          <w:tcPr>
            <w:tcW w:w="48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3"/>
        </w:trPr>
        <w:tc>
          <w:tcPr>
            <w:tcW w:w="4860" w:type="dxa"/>
            <w:vAlign w:val="bottom"/>
          </w:tcPr>
          <w:p>
            <w:pPr>
              <w:ind w:left="420"/>
              <w:spacing w:after="0"/>
              <w:rPr>
                <w:sz w:val="20"/>
                <w:szCs w:val="20"/>
                <w:color w:val="auto"/>
              </w:rPr>
            </w:pPr>
            <w:r>
              <w:rPr>
                <w:rFonts w:ascii="Arial" w:cs="Arial" w:eastAsia="Arial" w:hAnsi="Arial"/>
                <w:sz w:val="16"/>
                <w:szCs w:val="16"/>
                <w:color w:val="auto"/>
              </w:rPr>
              <w:t>Total costs and operating expenses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48,500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(59,233 )</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119,380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(12,353 )</w:t>
            </w:r>
          </w:p>
        </w:tc>
      </w:tr>
      <w:tr>
        <w:trPr>
          <w:trHeight w:val="20"/>
        </w:trPr>
        <w:tc>
          <w:tcPr>
            <w:tcW w:w="4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60" w:type="dxa"/>
            <w:vAlign w:val="bottom"/>
            <w:shd w:val="clear" w:color="auto" w:fill="CCECFF"/>
          </w:tcPr>
          <w:p>
            <w:pPr>
              <w:ind w:left="60"/>
              <w:spacing w:after="0"/>
              <w:rPr>
                <w:sz w:val="20"/>
                <w:szCs w:val="20"/>
                <w:color w:val="auto"/>
              </w:rPr>
            </w:pPr>
            <w:r>
              <w:rPr>
                <w:rFonts w:ascii="Arial" w:cs="Arial" w:eastAsia="Arial" w:hAnsi="Arial"/>
                <w:sz w:val="16"/>
                <w:szCs w:val="16"/>
                <w:color w:val="auto"/>
              </w:rPr>
              <w:t>Operating (loss) income</w:t>
            </w:r>
          </w:p>
        </w:tc>
        <w:tc>
          <w:tcPr>
            <w:tcW w:w="18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280"/>
              <w:spacing w:after="0"/>
              <w:rPr>
                <w:sz w:val="20"/>
                <w:szCs w:val="20"/>
                <w:color w:val="auto"/>
              </w:rPr>
            </w:pPr>
            <w:r>
              <w:rPr>
                <w:rFonts w:ascii="Arial" w:cs="Arial" w:eastAsia="Arial" w:hAnsi="Arial"/>
                <w:sz w:val="16"/>
                <w:szCs w:val="16"/>
                <w:color w:val="auto"/>
              </w:rPr>
              <w:t>(18,196 )</w:t>
            </w:r>
          </w:p>
        </w:tc>
        <w:tc>
          <w:tcPr>
            <w:tcW w:w="30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59,233</w:t>
            </w:r>
          </w:p>
        </w:tc>
        <w:tc>
          <w:tcPr>
            <w:tcW w:w="3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6"/>
                <w:szCs w:val="16"/>
                <w:color w:val="auto"/>
              </w:rPr>
              <w:t>(35,957 )</w:t>
            </w:r>
          </w:p>
        </w:tc>
        <w:tc>
          <w:tcPr>
            <w:tcW w:w="30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12,353</w:t>
            </w:r>
          </w:p>
        </w:tc>
        <w:tc>
          <w:tcPr>
            <w:tcW w:w="100" w:type="dxa"/>
            <w:vAlign w:val="bottom"/>
            <w:shd w:val="clear" w:color="auto" w:fill="CCECFF"/>
          </w:tcPr>
          <w:p>
            <w:pPr>
              <w:spacing w:after="0"/>
              <w:rPr>
                <w:sz w:val="19"/>
                <w:szCs w:val="19"/>
                <w:color w:val="auto"/>
              </w:rPr>
            </w:pPr>
          </w:p>
        </w:tc>
      </w:tr>
      <w:tr>
        <w:trPr>
          <w:trHeight w:val="216"/>
        </w:trPr>
        <w:tc>
          <w:tcPr>
            <w:tcW w:w="4860" w:type="dxa"/>
            <w:vAlign w:val="bottom"/>
            <w:tcBorders>
              <w:top w:val="single" w:sz="8" w:color="CCECFF"/>
            </w:tcBorders>
          </w:tcPr>
          <w:p>
            <w:pPr>
              <w:ind w:left="60"/>
              <w:spacing w:after="0"/>
              <w:rPr>
                <w:sz w:val="20"/>
                <w:szCs w:val="20"/>
                <w:color w:val="auto"/>
              </w:rPr>
            </w:pPr>
            <w:r>
              <w:rPr>
                <w:rFonts w:ascii="Arial" w:cs="Arial" w:eastAsia="Arial" w:hAnsi="Arial"/>
                <w:sz w:val="16"/>
                <w:szCs w:val="16"/>
                <w:color w:val="auto"/>
              </w:rPr>
              <w:t>Other income (expense)</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60" w:type="dxa"/>
            <w:vAlign w:val="bottom"/>
            <w:tcBorders>
              <w:top w:val="single" w:sz="8" w:color="CCEC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Borders>
              <w:top w:val="single" w:sz="8" w:color="CCEC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Borders>
              <w:top w:val="single" w:sz="8" w:color="CCEC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r>
        <w:trPr>
          <w:trHeight w:val="253"/>
        </w:trPr>
        <w:tc>
          <w:tcPr>
            <w:tcW w:w="4860" w:type="dxa"/>
            <w:vAlign w:val="bottom"/>
            <w:shd w:val="clear" w:color="auto" w:fill="CCECFF"/>
          </w:tcPr>
          <w:p>
            <w:pPr>
              <w:ind w:left="24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55</w:t>
            </w:r>
          </w:p>
        </w:tc>
        <w:tc>
          <w:tcPr>
            <w:tcW w:w="3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112</w:t>
            </w:r>
          </w:p>
        </w:tc>
        <w:tc>
          <w:tcPr>
            <w:tcW w:w="3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CFF"/>
          </w:tcPr>
          <w:p>
            <w:pPr>
              <w:spacing w:after="0"/>
              <w:rPr>
                <w:sz w:val="21"/>
                <w:szCs w:val="21"/>
                <w:color w:val="auto"/>
              </w:rPr>
            </w:pPr>
          </w:p>
        </w:tc>
      </w:tr>
      <w:tr>
        <w:trPr>
          <w:trHeight w:val="220"/>
        </w:trPr>
        <w:tc>
          <w:tcPr>
            <w:tcW w:w="486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(627 )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(1,513 )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53"/>
        </w:trPr>
        <w:tc>
          <w:tcPr>
            <w:tcW w:w="4860" w:type="dxa"/>
            <w:vAlign w:val="bottom"/>
            <w:shd w:val="clear" w:color="auto" w:fill="CCECFF"/>
          </w:tcPr>
          <w:p>
            <w:pPr>
              <w:ind w:left="240"/>
              <w:spacing w:after="0"/>
              <w:rPr>
                <w:sz w:val="20"/>
                <w:szCs w:val="20"/>
                <w:color w:val="auto"/>
              </w:rPr>
            </w:pPr>
            <w:r>
              <w:rPr>
                <w:rFonts w:ascii="Arial" w:cs="Arial" w:eastAsia="Arial" w:hAnsi="Arial"/>
                <w:sz w:val="16"/>
                <w:szCs w:val="16"/>
                <w:color w:val="auto"/>
              </w:rPr>
              <w:t>Change in fair value of warrant liability</w:t>
            </w:r>
          </w:p>
        </w:tc>
        <w:tc>
          <w:tcPr>
            <w:tcW w:w="18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w:t>
            </w:r>
          </w:p>
        </w:tc>
        <w:tc>
          <w:tcPr>
            <w:tcW w:w="3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6"/>
                <w:szCs w:val="16"/>
                <w:color w:val="auto"/>
              </w:rPr>
              <w:t>(49 )</w:t>
            </w: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CFF"/>
          </w:tcPr>
          <w:p>
            <w:pPr>
              <w:spacing w:after="0"/>
              <w:rPr>
                <w:sz w:val="21"/>
                <w:szCs w:val="21"/>
                <w:color w:val="auto"/>
              </w:rPr>
            </w:pPr>
          </w:p>
        </w:tc>
      </w:tr>
      <w:tr>
        <w:trPr>
          <w:trHeight w:val="227"/>
        </w:trPr>
        <w:tc>
          <w:tcPr>
            <w:tcW w:w="4860" w:type="dxa"/>
            <w:vAlign w:val="bottom"/>
          </w:tcPr>
          <w:p>
            <w:pPr>
              <w:ind w:left="240"/>
              <w:spacing w:after="0"/>
              <w:rPr>
                <w:sz w:val="20"/>
                <w:szCs w:val="20"/>
                <w:color w:val="auto"/>
              </w:rPr>
            </w:pPr>
            <w:r>
              <w:rPr>
                <w:rFonts w:ascii="Arial" w:cs="Arial" w:eastAsia="Arial" w:hAnsi="Arial"/>
                <w:sz w:val="16"/>
                <w:szCs w:val="16"/>
                <w:color w:val="auto"/>
              </w:rPr>
              <w:t>Other expense</w:t>
            </w:r>
          </w:p>
        </w:tc>
        <w:tc>
          <w:tcPr>
            <w:tcW w:w="18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(6 )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(18 )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60" w:type="dxa"/>
            <w:vAlign w:val="bottom"/>
            <w:shd w:val="clear" w:color="auto" w:fill="CCECFF"/>
          </w:tcPr>
          <w:p>
            <w:pPr>
              <w:ind w:left="420"/>
              <w:spacing w:after="0"/>
              <w:rPr>
                <w:sz w:val="20"/>
                <w:szCs w:val="20"/>
                <w:color w:val="auto"/>
              </w:rPr>
            </w:pPr>
            <w:r>
              <w:rPr>
                <w:rFonts w:ascii="Arial" w:cs="Arial" w:eastAsia="Arial" w:hAnsi="Arial"/>
                <w:sz w:val="16"/>
                <w:szCs w:val="16"/>
                <w:color w:val="auto"/>
              </w:rPr>
              <w:t>Total other (expense) income</w:t>
            </w:r>
          </w:p>
        </w:tc>
        <w:tc>
          <w:tcPr>
            <w:tcW w:w="18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280"/>
              <w:spacing w:after="0"/>
              <w:rPr>
                <w:sz w:val="20"/>
                <w:szCs w:val="20"/>
                <w:color w:val="auto"/>
              </w:rPr>
            </w:pPr>
            <w:r>
              <w:rPr>
                <w:rFonts w:ascii="Arial" w:cs="Arial" w:eastAsia="Arial" w:hAnsi="Arial"/>
                <w:sz w:val="16"/>
                <w:szCs w:val="16"/>
                <w:color w:val="auto"/>
              </w:rPr>
              <w:t>(612 )</w:t>
            </w:r>
          </w:p>
        </w:tc>
        <w:tc>
          <w:tcPr>
            <w:tcW w:w="30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59</w:t>
            </w:r>
          </w:p>
        </w:tc>
        <w:tc>
          <w:tcPr>
            <w:tcW w:w="3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6"/>
                <w:szCs w:val="16"/>
                <w:color w:val="auto"/>
              </w:rPr>
              <w:t>(1,468 )</w:t>
            </w:r>
          </w:p>
        </w:tc>
        <w:tc>
          <w:tcPr>
            <w:tcW w:w="30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CFF"/>
          </w:tcPr>
          <w:p>
            <w:pPr>
              <w:spacing w:after="0"/>
              <w:rPr>
                <w:sz w:val="19"/>
                <w:szCs w:val="19"/>
                <w:color w:val="auto"/>
              </w:rPr>
            </w:pPr>
          </w:p>
        </w:tc>
      </w:tr>
      <w:tr>
        <w:trPr>
          <w:trHeight w:val="20"/>
        </w:trPr>
        <w:tc>
          <w:tcPr>
            <w:tcW w:w="48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16"/>
        </w:trPr>
        <w:tc>
          <w:tcPr>
            <w:tcW w:w="4860" w:type="dxa"/>
            <w:vAlign w:val="bottom"/>
          </w:tcPr>
          <w:p>
            <w:pPr>
              <w:ind w:left="60"/>
              <w:spacing w:after="0"/>
              <w:rPr>
                <w:sz w:val="20"/>
                <w:szCs w:val="20"/>
                <w:color w:val="auto"/>
              </w:rPr>
            </w:pPr>
            <w:r>
              <w:rPr>
                <w:rFonts w:ascii="Arial" w:cs="Arial" w:eastAsia="Arial" w:hAnsi="Arial"/>
                <w:sz w:val="16"/>
                <w:szCs w:val="16"/>
                <w:color w:val="auto"/>
              </w:rPr>
              <w:t>(Loss) income before taxes</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(18,808 )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59,292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(37,425 )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12,574</w:t>
            </w:r>
          </w:p>
        </w:tc>
        <w:tc>
          <w:tcPr>
            <w:tcW w:w="100" w:type="dxa"/>
            <w:vAlign w:val="bottom"/>
          </w:tcPr>
          <w:p>
            <w:pPr>
              <w:spacing w:after="0"/>
              <w:rPr>
                <w:sz w:val="18"/>
                <w:szCs w:val="18"/>
                <w:color w:val="auto"/>
              </w:rPr>
            </w:pPr>
          </w:p>
        </w:tc>
      </w:tr>
      <w:tr>
        <w:trPr>
          <w:trHeight w:val="239"/>
        </w:trPr>
        <w:tc>
          <w:tcPr>
            <w:tcW w:w="4860" w:type="dxa"/>
            <w:vAlign w:val="bottom"/>
            <w:shd w:val="clear" w:color="auto" w:fill="CCECFF"/>
          </w:tcPr>
          <w:p>
            <w:pPr>
              <w:ind w:left="60"/>
              <w:spacing w:after="0"/>
              <w:rPr>
                <w:sz w:val="20"/>
                <w:szCs w:val="20"/>
                <w:color w:val="auto"/>
              </w:rPr>
            </w:pPr>
            <w:r>
              <w:rPr>
                <w:rFonts w:ascii="Arial" w:cs="Arial" w:eastAsia="Arial" w:hAnsi="Arial"/>
                <w:sz w:val="16"/>
                <w:szCs w:val="16"/>
                <w:color w:val="auto"/>
              </w:rPr>
              <w:t>Current income tax expense</w:t>
            </w:r>
          </w:p>
        </w:tc>
        <w:tc>
          <w:tcPr>
            <w:tcW w:w="180" w:type="dxa"/>
            <w:vAlign w:val="bottom"/>
            <w:shd w:val="clear" w:color="auto" w:fill="CCECFF"/>
          </w:tcPr>
          <w:p>
            <w:pPr>
              <w:spacing w:after="0"/>
              <w:rPr>
                <w:sz w:val="20"/>
                <w:szCs w:val="20"/>
                <w:color w:val="auto"/>
              </w:rPr>
            </w:pPr>
          </w:p>
        </w:tc>
        <w:tc>
          <w:tcPr>
            <w:tcW w:w="1520" w:type="dxa"/>
            <w:vAlign w:val="bottom"/>
            <w:gridSpan w:val="2"/>
            <w:shd w:val="clear" w:color="auto" w:fill="CCECFF"/>
          </w:tcPr>
          <w:p>
            <w:pPr>
              <w:jc w:val="right"/>
              <w:ind w:right="280"/>
              <w:spacing w:after="0"/>
              <w:rPr>
                <w:sz w:val="20"/>
                <w:szCs w:val="20"/>
                <w:color w:val="auto"/>
              </w:rPr>
            </w:pPr>
            <w:r>
              <w:rPr>
                <w:rFonts w:ascii="Arial" w:cs="Arial" w:eastAsia="Arial" w:hAnsi="Arial"/>
                <w:sz w:val="16"/>
                <w:szCs w:val="16"/>
                <w:color w:val="auto"/>
              </w:rPr>
              <w:t>(95 )</w:t>
            </w: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6"/>
                <w:szCs w:val="16"/>
                <w:color w:val="auto"/>
              </w:rPr>
              <w:t>(143 )</w:t>
            </w: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CFF"/>
          </w:tcPr>
          <w:p>
            <w:pPr>
              <w:spacing w:after="0"/>
              <w:rPr>
                <w:sz w:val="20"/>
                <w:szCs w:val="20"/>
                <w:color w:val="auto"/>
              </w:rPr>
            </w:pPr>
          </w:p>
        </w:tc>
      </w:tr>
      <w:tr>
        <w:trPr>
          <w:trHeight w:val="227"/>
        </w:trPr>
        <w:tc>
          <w:tcPr>
            <w:tcW w:w="4860" w:type="dxa"/>
            <w:vAlign w:val="bottom"/>
          </w:tcPr>
          <w:p>
            <w:pPr>
              <w:ind w:left="60"/>
              <w:spacing w:after="0"/>
              <w:rPr>
                <w:sz w:val="20"/>
                <w:szCs w:val="20"/>
                <w:color w:val="auto"/>
              </w:rPr>
            </w:pPr>
            <w:r>
              <w:rPr>
                <w:rFonts w:ascii="Arial" w:cs="Arial" w:eastAsia="Arial" w:hAnsi="Arial"/>
                <w:sz w:val="16"/>
                <w:szCs w:val="16"/>
                <w:color w:val="auto"/>
              </w:rPr>
              <w:t>Deferred income tax benefit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3"/>
        </w:trPr>
        <w:tc>
          <w:tcPr>
            <w:tcW w:w="4860" w:type="dxa"/>
            <w:vAlign w:val="bottom"/>
            <w:tcBorders>
              <w:bottom w:val="single" w:sz="8" w:color="CCECFF"/>
            </w:tcBorders>
            <w:shd w:val="clear" w:color="auto" w:fill="CCECFF"/>
          </w:tcPr>
          <w:p>
            <w:pPr>
              <w:ind w:left="60"/>
              <w:spacing w:after="0"/>
              <w:rPr>
                <w:sz w:val="20"/>
                <w:szCs w:val="20"/>
                <w:color w:val="auto"/>
              </w:rPr>
            </w:pPr>
            <w:r>
              <w:rPr>
                <w:rFonts w:ascii="Arial" w:cs="Arial" w:eastAsia="Arial" w:hAnsi="Arial"/>
                <w:sz w:val="16"/>
                <w:szCs w:val="16"/>
                <w:color w:val="auto"/>
              </w:rPr>
              <w:t>Total income tax benefit</w:t>
            </w:r>
          </w:p>
        </w:tc>
        <w:tc>
          <w:tcPr>
            <w:tcW w:w="180" w:type="dxa"/>
            <w:vAlign w:val="bottom"/>
            <w:tcBorders>
              <w:bottom w:val="single" w:sz="8" w:color="auto"/>
            </w:tcBorders>
            <w:shd w:val="clear" w:color="auto" w:fill="CCECFF"/>
          </w:tcPr>
          <w:p>
            <w:pPr>
              <w:spacing w:after="0"/>
              <w:rPr>
                <w:sz w:val="19"/>
                <w:szCs w:val="19"/>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1,097</w:t>
            </w:r>
          </w:p>
        </w:tc>
        <w:tc>
          <w:tcPr>
            <w:tcW w:w="3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spacing w:after="0"/>
              <w:rPr>
                <w:sz w:val="19"/>
                <w:szCs w:val="19"/>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412</w:t>
            </w:r>
          </w:p>
        </w:tc>
        <w:tc>
          <w:tcPr>
            <w:tcW w:w="32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26"/>
        </w:trPr>
        <w:tc>
          <w:tcPr>
            <w:tcW w:w="4860" w:type="dxa"/>
            <w:vAlign w:val="bottom"/>
          </w:tcPr>
          <w:p>
            <w:pPr>
              <w:ind w:left="60"/>
              <w:spacing w:after="0"/>
              <w:rPr>
                <w:sz w:val="20"/>
                <w:szCs w:val="20"/>
                <w:color w:val="auto"/>
              </w:rPr>
            </w:pPr>
            <w:r>
              <w:rPr>
                <w:rFonts w:ascii="Arial" w:cs="Arial" w:eastAsia="Arial" w:hAnsi="Arial"/>
                <w:sz w:val="16"/>
                <w:szCs w:val="16"/>
                <w:color w:val="auto"/>
              </w:rPr>
              <w:t>Net (loss)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(17,711 )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59,292</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(37,013 )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12,574</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-3496945</wp:posOffset>
            </wp:positionV>
            <wp:extent cx="76835"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-3496945</wp:posOffset>
            </wp:positionV>
            <wp:extent cx="6858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-3496945</wp:posOffset>
            </wp:positionV>
            <wp:extent cx="6858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-1996440</wp:posOffset>
            </wp:positionV>
            <wp:extent cx="76835"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-1996440</wp:posOffset>
            </wp:positionV>
            <wp:extent cx="6858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-1996440</wp:posOffset>
            </wp:positionV>
            <wp:extent cx="6858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-1687830</wp:posOffset>
            </wp:positionV>
            <wp:extent cx="76835"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-1687830</wp:posOffset>
            </wp:positionV>
            <wp:extent cx="6858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-1687830</wp:posOffset>
            </wp:positionV>
            <wp:extent cx="6858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-779145</wp:posOffset>
            </wp:positionV>
            <wp:extent cx="7683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-779145</wp:posOffset>
            </wp:positionV>
            <wp:extent cx="6858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-779145</wp:posOffset>
            </wp:positionV>
            <wp:extent cx="6858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-179070</wp:posOffset>
            </wp:positionV>
            <wp:extent cx="76835"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-179070</wp:posOffset>
            </wp:positionV>
            <wp:extent cx="6858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-179070</wp:posOffset>
            </wp:positionV>
            <wp:extent cx="6858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Comparative Results for the Three Months Ended September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Bitcoin mining operations at our Odessa Facility mined 1,078 bitcoin and generated revenue of $30.3 million for the three months ended September 30, 2023, at an average price per bitcoin of $28,129. The Odessa Facility began mining operations in mid-November 2022, therefore, we did not earn revenue from bitcoin mining during the three months ended September 30,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Cost of revenue for the three months ended September 30, 2023 was $13.0 million and consisted primarily of power costs at the Odessa Facility as delivered under our power purchase agreement with Luminant ET Services Company LLC (the “Luminant Power Agreement”), as well as maintenance expenses for mining equipment. We incurred no costs of revenue during the three months ended September 30, 2022 because the Odessa Facility did not begin its bitcoin mining operations until mid-November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General and administrative expenses were $23.9 million for the three months ended September 30, 2023, compared to $17.8 million for the three months ended September 30, 2022. The increase was primarily driven by increases of $4.9 million for payroll and payroll-related benefits due to increasing headcount, $0.8 million in property taxes, and a $0.8 million increase in office supplies and software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Depreciation for the three months ended September 30, 2023 was $16.2 million, primarily related to miners, mining equipment and leasehold improvements at the Odessa Facility being placed into service beginning in November 2022, with additional miners and mining-related assets placed into service during the three months ended September 30, 2023 as we continued to expand capacity at the Odessa Facility. Also included in depreciation is the amortization of our finance lease right-of-use asset for our Interconnection Electrical Facilities (as defined below) that provides power to the Odessa Facility, amortization of our finance lease right-of-use assets representing mining equipment from the Canaan Agreement (as defined below), and accretion of our estimated asset retirement obligation related to the Odessa Facility and depreciation of the associated capitalized costs. Depreciation for the three months ended September 30, 2022 was immaterial.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Change in fair value of derivative asset</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change in the fair value of our derivative asset related to the Luminant Power Agreement resulted in a gain of $4.7 million during the three months ended September 30, 2023. The gain was primarily due to the change in the power market forward curve as compared to the curve as of June 30, 2023. The Luminant Power Agreement was not in effect during the three months ended September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sales</w:t>
      </w:r>
    </w:p>
    <w:p>
      <w:pPr>
        <w:spacing w:after="0" w:line="18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accordance with the Luminant Power Agreement, we sold excess electricity that is available under the Luminant Power Agreement, but not needed in our mining operations at the Odessa Facility, back to the ERCOT market through Luminant for which we received proceeds of $2.7 million for three months ended September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of equity investees</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Equity in losses of equity investees totaled approximately $2.0 million for the three months ended September 30, 2023, a decrease of $6.3 million from approximately $8.3 million for the three months ended September 30, 2022. Equity in losses of equity investees consists of our 49% share in the earnings (losses) generated by our three partially-owned mining sites and also includes accretion of the basis differences in our investments in the equity investees that resulted from contributions of miners during the year ended December 31, 2022 with values at the time of the contributions that were less than the costs we paid to obtain the miners. We are accreting these basis differences over the five-year useful life of the miners. Our share of the losses in the mining operations of Alborz LLC, Bear LLC and Chief LLC increased to approximately $3.7 million for the three months ended September 30, 2023 from approximately $0.5 million for the three months ended September 30, 2022. During the current three month period, all three sites were fully operational, whereas in the prior year period, only Alborz LLC had begun mining operations with a limited number of miners prior to September 30, 2022. We recognized approximately $1.7 million and nil for the three months ended September 30, 2023 and 2022, respectively, for the accretion of basis differences.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gain on sale of bitcoin</w:t>
      </w:r>
    </w:p>
    <w:p>
      <w:pPr>
        <w:spacing w:after="0" w:line="19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Realized gain on sale of bitcoin was $2.5 million during the three months ended September 30, 2023. Bitcoin sales during the three months ended September 30, 2022 were not 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bitcoin</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recognized a total of approximately $3.4 million of impairment on our bitcoin holdings during the three months ended September 30, 2023, compared to $0.3 million for the three months ended September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Other expense totaled $0.6 million for the three months ended September 30, 2023, consisting primarily of $0.6 million of interest expense recognized related to our finance leases for the Interconnection Electrical Facilities and the Canaan Agreement. Other income and expense for the three months ended September 30, 2022 was not 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9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Income tax benefit totaled $1.1 million, or 5.8% of loss before taxes, and nil for the three months ended September 30, 2023 and 2022, respectively, and was determined using the estimated effective tax rate for the year, adjusted for the impact of any discrete items which are accounted for in the period in which they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Comparative Results for the Nine Months Ended September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Bitcoin mining operations at our Odessa Facility mined 3,138 bitcoin and generated revenue of $83.4 million for the nine months ended September 30, 2023, at an average price per bitcoin of $26,313. The Odessa Facility began mining operations in mid-November 2022, therefore, we did not earn revenue from bitcoin mining during the nine months ended September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revenue for the nine months ended September 30, 2023 was $37.0 million and consisted primarily of power costs at the Odessa Facility as delivered under our power purchase agreement with Luminant ET Services Company LLC (the “Luminant Power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t>Agreement”), as well as maintenance expenses for mining equipment. Power costs for the nine months ended September 30, 2023 included $2.1 million of power costs related to the year ended December 31, 2022 that were recorded as an out-of-period adjustment during the current reporting period. We incurred no costs of revenue during the nine months ended September 30, 2022 because the Odessa Facility did not begin its bitcoin mining operations until mid-November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were $62.7 million for the nine months ended September 30, 2023 compared to $51.8 million for the nine months ended September 30, 2022. The increase was primarily driven by an increase of $9.9 million of payroll and payroll-related costs driven by increased headcount and bonus expense, as well as a $2.0 million accrual for the cost of resolving legal claims recorded during the nine months ended September 30,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Depreciation for the nine months ended September 30, 2023 was $42.3 million, primarily related to miners, mining equipment and leasehold improvements at the Odessa Facility being placed into service beginning in November 2022, with additional miners and mining-related assets placed into service during the nine months ended September 30, 2023 as we continued to expand capacity at the Odessa Facility. Also included in depreciation is the amortization of our finance lease right-of-use asset for our Interconnection Electrical Facilities (as defined below) that provides power to the Odessa Facility, amortization of our finance lease right-of-use assets representing mining equipment from the Canaan Agreement, and accretion of our estimated asset retirement obligation related to the Odessa Facility and depreciation of the associated capitalized costs. Depreciation for the nine months ended September 30, 2022 was immaterial.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asset</w:t>
      </w:r>
    </w:p>
    <w:p>
      <w:pPr>
        <w:spacing w:after="0" w:line="18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change in the fair value of our derivative asset related to the Luminant Power Agreement resulted in a gain of $13.3 million during the nine months ended September 30, 2023. The gain was primarily due to the change in the power market forward curve as compared to the curve as of December 31, 2022. The Luminant Power Agreement was not effective during the nine months ended September 30,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sales</w:t>
      </w:r>
    </w:p>
    <w:p>
      <w:pPr>
        <w:spacing w:after="0" w:line="18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In accordance with the Luminant Power Agreement, we sold excess electricity that is available under the Luminant Power Agreement, but not needed in our mining operations at the Odessa Facility, back to the ERCOT market through Luminant for which we received proceeds of $8.5 million for the nine months ended September 30, 2023. Power sales for the nine months ended September 30, 2023 included $1.6 million for sales of power that occurred during the year ended December 31, 2022 that were recorded as an out-of-period adjustment during the current reporting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of equity investees</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Equity in losses of equity investees totaled approximately $4.2 million for the nine months ended September 30, 2023, a decrease of $16.4 million from approximately $20.6 million for the nine months ended September 30, 2022. Equity in losses of equity investees consists of our 49% share in the earnings (losses) generated by our three partially-owned mining sites and also includes accretion of the basis differences in our investments in the equity investees that resulted from contributions of miners during the year ended December 31, 2022 with values at the time of the contributions that were less than the costs we paid to obtain the miners. We are accreting these basis differences over the five-year useful life of the miners. Our share of the losses in the mining operations of Alborz LLC, Bear LLC and Chief LLC increased to approximately $9.2 million for the nine months ended September 30, 2023 from approximately $0.6 million for the nine months ended September 30, 2022. During the current nine month period, all three sites were fully operational, whereas in the prior year period, only Alborz LLC had begun mining operations with a limited number of miners prior to September 30, 2022. We recognized approximately $5.0 million and nil for the nine months ended September 30, 2023 and 2022, respectively, for the accretion of basis differences.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gain on sale of bitcoin</w:t>
      </w:r>
    </w:p>
    <w:p>
      <w:pPr>
        <w:spacing w:after="0" w:line="18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Realized gain on sale of bitcoin was $10.7 million during the nine months ended September 30, 2023. Bitcoin sales during the nine months ended September 30, 2022 were not 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bitcoin</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recognized a total of approximately $8.1 million of impairment on our bitcoin holdings during the nine months ended September 30, 2023, compared to $0.9 million for the nine months ended September 30,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Other gains</w:t>
      </w:r>
    </w:p>
    <w:p>
      <w:pPr>
        <w:spacing w:after="0" w:line="19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recognized proceeds of approximately $2.4 million during the nine months ended September 30, 2023 related to the sale of transferable coupons received from Bitmain Technologies Limited (“Bitmain”) during fiscal year 2022. These coupons could be redeemed by us only through the purchase of additional miners from Bitmain prior to the April 2023 expiration date; however, we did not expect to use them and instead sold the coupons to a third party that approached us with interest to purchase them.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8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Other expense totaled $1.5 million for the nine months ended September 30, 2023, consisting mainly of $1.5 million of interest expense recognized related to our finance lease for the Interconnection Electrical Facilities. Other income for the nine months ended September 30, 2023 was not significant.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8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Income tax benefit totaled $0.4 million, or 1.1% of loss before taxes, and nil for the nine months ended September 30, 2023 and 2022, respectively, and was determined using the estimated effective tax rate for the year, adjusted for the impact of any discrete items which are accounted for in the period in which they occur.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We generated cash flows from operations of $32.4 million for the nine months ended September 30, 2023. As of September 30, 2023, we had cash and cash equivalents of $3.3 million, total stockholders’ equity of $342.7 million and an accumulated deficit of $148.2 million. For our fiscal years ended December 31, 2022 and 2021, in large part, we relied on proceeds from the consummation of our business combination with Good Works Acquisition Corp.</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(“GWAC”) to fund our operations; however, during the nine months ended September 30, 2023, we utilized proceeds from sales of bitcoin earned by or received from our bitcoin mining data centers to support operating expenses. During the nine months ended September 30, 2023, we sold 3,005 bitcoin for proceeds of approximately $78.7 million. On May 4, 2023, we entered into an agreement with Canaan Creative Global Pte. Ltd. (“Canaan”) to purchase 11,000 new A1346 model miners (the “Canaan Agreement”), all of which were delivered prior to June 30, 2023 and have been installed at the Odessa Facility. Because we are paying for the Canaan miners over time, we do not yet hold title to the miners. We paid an initial 10% deposit plus 18% of the total purchase price prior to delivery, and are required to pay monthly installment payments for the Canaan miners through November 2023, at which time title to the miners will transfer to us. We expect to fund our ongoing payment obligations for the purchase through our ongoing operations, including by selling bitcoin generated at our data centers.</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14, 2023, we entered into a master loan agreement with Coinbase Credit, Inc., as lender, and Coinbase, Inc., as lending service provider. Pursuant to the master loan agreement, we established a secured line of credit up to $10.0 million (the “Credit Facility”). We will not incur commitment fees for unused portions of the Credit Facility. The borrowing rate on amounts drawn against the Credit Facility is determined on the basis of the Federal Funds Target Rate - Upper Bound, plus 2.5%, calculated daily based on a 365-day year and payable monthly for the duration of the loan. Borrowings under the Credit Facility are available on demand, open term, and collateralized by bitcoin transferred to the lending service provider’s platform. As of September 30, 2023 we have not drawn upon the Credit Facility.</w:t>
      </w:r>
    </w:p>
    <w:p>
      <w:pPr>
        <w:spacing w:after="0" w:line="1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Management believes that our existing financial resources, combined with projected cash and bitcoin inflows from our data centers and our intent and ability to sell bitcoin received or earned, will be sufficient to enable us to meet our operating and capital requirements for at least 12 months from the date these unaudited condensed consolidated financial statements are issued.</w:t>
      </w:r>
    </w:p>
    <w:p>
      <w:pPr>
        <w:spacing w:after="0" w:line="1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21, 2022, we filed the Registration Statement with the SEC. In connection with the filing of the Registration Statement, we also entered into an at-the market offering agreement (the “Prior Sales Agreement”) with H.C. Wainwright &amp; Co., LLC (the “Prior Agent”), under which we may, from time to time, sell shares of our Common Stock having an aggregate offering price of up to $250.0 million in “at-the-market” offerings through the Agent, which is included in the $500.0 million of securities that may be offered pursuant to the Registration Statement. Effective August 1, 2023, the Company terminated the Prior Sales Agreement.</w:t>
      </w:r>
    </w:p>
    <w:p>
      <w:pPr>
        <w:spacing w:after="0" w:line="152"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On August 3, 2023, the Company entered into a Controlled Equity Offering</w:t>
      </w:r>
      <w:r>
        <w:rPr>
          <w:rFonts w:ascii="Arial" w:cs="Arial" w:eastAsia="Arial" w:hAnsi="Arial"/>
          <w:sz w:val="21"/>
          <w:szCs w:val="21"/>
          <w:color w:val="auto"/>
          <w:vertAlign w:val="superscript"/>
        </w:rPr>
        <w:t>SM</w:t>
      </w:r>
      <w:r>
        <w:rPr>
          <w:rFonts w:ascii="Arial" w:cs="Arial" w:eastAsia="Arial" w:hAnsi="Arial"/>
          <w:sz w:val="16"/>
          <w:szCs w:val="16"/>
          <w:color w:val="auto"/>
        </w:rPr>
        <w:t xml:space="preserve"> Sales Agreement (the “Sales Agreement”) with Cantor Fitzgerald &amp; Co., Canaccord Genuity LLC, Needham &amp; Company, LLC and Compass Point Research &amp; Trading, LLC (each, an “Agent” and, together, the “Agents”), pursuant to which the Company may offer and sell, from time to time through or to the Agents, shares of its Common Stock, for aggregate gross proceeds of up to $250.0 million. As of September 30, 2023, we received net proceeds on sales of 3.8 million shares of common stock under the Prior Sales Agreement and the Sales Agreement of approximately $11.3 million (net of commissions and expenses) at a weighted average price of $3.02.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45020" cy="3473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5020" cy="347345"/>
                    </a:xfrm>
                    <a:prstGeom prst="rect">
                      <a:avLst/>
                    </a:prstGeom>
                    <a:noFill/>
                  </pic:spPr>
                </pic:pic>
              </a:graphicData>
            </a:graphic>
          </wp:anchor>
        </w:drawing>
      </w:r>
    </w:p>
    <w:p>
      <w:pPr>
        <w:spacing w:after="0" w:line="260"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r>
      <w:tr>
        <w:trPr>
          <w:trHeight w:val="243"/>
        </w:trPr>
        <w:tc>
          <w:tcPr>
            <w:tcW w:w="6900" w:type="dxa"/>
            <w:vAlign w:val="bottom"/>
            <w:shd w:val="clear" w:color="auto" w:fill="CCECFF"/>
          </w:tcPr>
          <w:p>
            <w:pPr>
              <w:ind w:left="60"/>
              <w:spacing w:after="0"/>
              <w:rPr>
                <w:sz w:val="20"/>
                <w:szCs w:val="20"/>
                <w:color w:val="auto"/>
              </w:rPr>
            </w:pPr>
            <w:r>
              <w:rPr>
                <w:rFonts w:ascii="Arial" w:cs="Arial" w:eastAsia="Arial" w:hAnsi="Arial"/>
                <w:sz w:val="18"/>
                <w:szCs w:val="18"/>
                <w:color w:val="auto"/>
              </w:rPr>
              <w:t>Net cash provided by (used in) operating activities</w:t>
            </w:r>
          </w:p>
        </w:tc>
        <w:tc>
          <w:tcPr>
            <w:tcW w:w="1240" w:type="dxa"/>
            <w:vAlign w:val="bottom"/>
            <w:shd w:val="clear" w:color="auto" w:fill="CCECFF"/>
          </w:tcPr>
          <w:p>
            <w:pPr>
              <w:jc w:val="right"/>
              <w:ind w:right="103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32,404</w:t>
            </w:r>
          </w:p>
        </w:tc>
        <w:tc>
          <w:tcPr>
            <w:tcW w:w="440" w:type="dxa"/>
            <w:vAlign w:val="bottom"/>
            <w:shd w:val="clear" w:color="auto" w:fill="CCECFF"/>
          </w:tcPr>
          <w:p>
            <w:pPr>
              <w:spacing w:after="0"/>
              <w:rPr>
                <w:sz w:val="21"/>
                <w:szCs w:val="21"/>
                <w:color w:val="auto"/>
              </w:rPr>
            </w:pPr>
          </w:p>
        </w:tc>
        <w:tc>
          <w:tcPr>
            <w:tcW w:w="440" w:type="dxa"/>
            <w:vAlign w:val="bottom"/>
            <w:shd w:val="clear" w:color="auto" w:fill="CCEC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(8,891</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900" w:type="dxa"/>
            <w:vAlign w:val="bottom"/>
          </w:tcPr>
          <w:p>
            <w:pPr>
              <w:ind w:left="6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(40,927 )</w:t>
            </w:r>
          </w:p>
        </w:tc>
        <w:tc>
          <w:tcPr>
            <w:tcW w:w="4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(169,762 )</w:t>
            </w:r>
          </w:p>
        </w:tc>
      </w:tr>
      <w:tr>
        <w:trPr>
          <w:trHeight w:val="243"/>
        </w:trPr>
        <w:tc>
          <w:tcPr>
            <w:tcW w:w="6900" w:type="dxa"/>
            <w:vAlign w:val="bottom"/>
            <w:shd w:val="clear" w:color="auto" w:fill="CCECFF"/>
          </w:tcPr>
          <w:p>
            <w:pPr>
              <w:ind w:left="60"/>
              <w:spacing w:after="0"/>
              <w:rPr>
                <w:sz w:val="20"/>
                <w:szCs w:val="20"/>
                <w:color w:val="auto"/>
              </w:rPr>
            </w:pPr>
            <w:r>
              <w:rPr>
                <w:rFonts w:ascii="Arial" w:cs="Arial" w:eastAsia="Arial" w:hAnsi="Arial"/>
                <w:sz w:val="18"/>
                <w:szCs w:val="18"/>
                <w:color w:val="auto"/>
              </w:rPr>
              <w:t>Net cash used in financing activities</w:t>
            </w:r>
          </w:p>
        </w:tc>
        <w:tc>
          <w:tcPr>
            <w:tcW w:w="124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360"/>
              <w:spacing w:after="0"/>
              <w:rPr>
                <w:sz w:val="20"/>
                <w:szCs w:val="20"/>
                <w:color w:val="auto"/>
              </w:rPr>
            </w:pPr>
            <w:r>
              <w:rPr>
                <w:rFonts w:ascii="Arial" w:cs="Arial" w:eastAsia="Arial" w:hAnsi="Arial"/>
                <w:sz w:val="18"/>
                <w:szCs w:val="18"/>
                <w:color w:val="auto"/>
              </w:rPr>
              <w:t>(62 )</w:t>
            </w:r>
          </w:p>
        </w:tc>
        <w:tc>
          <w:tcPr>
            <w:tcW w:w="440" w:type="dxa"/>
            <w:vAlign w:val="bottom"/>
            <w:shd w:val="clear" w:color="auto" w:fill="CCECFF"/>
          </w:tcPr>
          <w:p>
            <w:pPr>
              <w:spacing w:after="0"/>
              <w:rPr>
                <w:sz w:val="21"/>
                <w:szCs w:val="21"/>
                <w:color w:val="auto"/>
              </w:rPr>
            </w:pPr>
          </w:p>
        </w:tc>
        <w:tc>
          <w:tcPr>
            <w:tcW w:w="15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(3,077 )</w:t>
            </w:r>
          </w:p>
        </w:tc>
      </w:tr>
      <w:tr>
        <w:trPr>
          <w:trHeight w:val="20"/>
        </w:trPr>
        <w:tc>
          <w:tcPr>
            <w:tcW w:w="6900" w:type="dxa"/>
            <w:vAlign w:val="bottom"/>
            <w:shd w:val="clear" w:color="auto" w:fill="CCEC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Net decrease in cash and cash equivalents</w:t>
            </w:r>
          </w:p>
        </w:tc>
        <w:tc>
          <w:tcPr>
            <w:tcW w:w="1240" w:type="dxa"/>
            <w:vAlign w:val="bottom"/>
          </w:tcPr>
          <w:p>
            <w:pPr>
              <w:jc w:val="right"/>
              <w:ind w:right="1033"/>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(8,585 )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(181,730 )</w:t>
            </w:r>
          </w:p>
        </w:tc>
      </w:tr>
      <w:tr>
        <w:trPr>
          <w:trHeight w:val="20"/>
        </w:trPr>
        <w:tc>
          <w:tcPr>
            <w:tcW w:w="69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-187960</wp:posOffset>
            </wp:positionV>
            <wp:extent cx="6858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Net cash provided by operating activities increased by $41.3 million to $32.4 million for the nine months ended September 30, 2023 from net cash used of $8.9 million for the nine months ended September 30, 2022. We incurred a net loss of $37.0 million for the nine months ended September 30, 2023, compared to net income of $12.6 million for the nine months ended September 30, 2022, representing a decrease of $49.6 million. Net loss impact to cash flows was impacted by a $11.4 million increase in non-cash items, primarily driven by $72.4 million change in fair value of the Luminant Power Agreement derivative asset, an increase of $42.3 million of depreciation, and $7.2 million increase in the impairment of bitcoin, partially offset by $83.2 million for bitcoin received as payment from our mining pool operator (with no comparable activity in the prior year period), a $16.4 million decrease in equity in losses of equity investees, and $10.7 million change in the realized gain on the sale of bitcoin. Additionally, changes in assets and liabilities resulted in an increase in cash provided of $79.5 million between the nine months ended September 30, 2023 and 2022. This increase in cash provided was due primarily to proceeds of $78.7 million from the sale of bitcoin.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cash used in investing activities decreased by $128.8 million to $40.9 million for the nine months ended September 30, 2023 from $169.8 million for the nine months ended September 30, 2022, primarily related to a $179.6 million decrease of deposits for miners and mining equipment, partially offset by a $39.5 million decrease in capital distributions from equity investees.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9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Net cash used in financing activities decreased by $3.0 million to $0.1 million for the nine months ended September 30, 2023 from $3.1 million for the nine months ended September 30, 2022, primarily driven by $11.6 million of proceeds from the issuance of common stock (with no comparable activity in the prior year period), partially offset by $8.2 million in principal payments on finance leases (with no comparable activity in the prior year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Business History; Need for Additional Capital</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There is limited historical financial information about us upon which to base an evaluation of our performance. Our business is subject to risks inherent in the establishment of a new business enterprise, including limited capital resources, possible delays in exploration and/or development, and possible cost overruns due to price and cost increases in services. We have no current intention of entering into a merger or acquisition within the next 12 months. We may require additional capital to pursue certain business opportunities or respond to technological advancements, competitive dynamics or technologies, customer demands, challenges, acquisitions or unforeseen circumstances. Additionally, we have incurred and expect to continue to incur significant costs related to becoming a public company. Accordingly, we may engage in equity or debt financings or enter into credit facilities for the above-mentioned or other reasons; however, we may not be able to timely secure additional debt or equity financings on favorable terms, if at all. If we raise additional funds through equity financing, our existing stockholders could experience significant dilution. Furthermore, any debt financing obtained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on terms that are satisfactory to us, when we require it, our ability to continue to grow or support the business and to respond to business challenges could be significantly limited, which may adversely affect our business plan. For risks associated with this, see “Risks Factors—Risks Related to Our Business, Industry and Operations—We may need to raise additional capital, which may not be available on terms acceptable to us, or at all” in our 2022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9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On December 17, 2021, we entered into a lease agreement for executive office space, with an effective term that commenced on February 1, 2022 and monthly rent payments of approximately $0.1 million. The initial lease term is for a period of five years and four months.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ind w:right="20"/>
        <w:spacing w:after="0" w:line="291" w:lineRule="auto"/>
        <w:rPr>
          <w:sz w:val="20"/>
          <w:szCs w:val="20"/>
          <w:color w:val="auto"/>
        </w:rPr>
      </w:pPr>
      <w:r>
        <w:rPr>
          <w:rFonts w:ascii="Arial" w:cs="Arial" w:eastAsia="Arial" w:hAnsi="Arial"/>
          <w:sz w:val="16"/>
          <w:szCs w:val="16"/>
          <w:color w:val="auto"/>
        </w:rPr>
        <w:t>We also entered into a series of agreements with affiliates of Luminant ET Services Company LLC ( “Luminant”), including the Lease Agreement dated June 29, 2021, with amendment and restatement on July 9, 2021 (as amended and 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3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 Despite lease commencement in November 2022, we had not been required by Luminant to make any lease payments for the substation prior to July 2023, therefore we accrued amounts due under the Combined Luminant Lease Agreement in accrued expenses and other current liabilities on its unaudited condensed consolidated balance sheet.</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23, 2023, we entered into a second amendment of the Luminant Lease Agreement, the terms of which included an amended payment schedule, reflecting monthly installments of principal and interest totaling $19.7 million on an undiscounted basis, due over the remaining four-year period starting in July 2023. This amendment did not have a material impact on our unaudited condensed consolidated financial statements.</w:t>
      </w:r>
    </w:p>
    <w:p>
      <w:pPr>
        <w:spacing w:after="0" w:line="13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and Mining Equipment</w:t>
      </w:r>
    </w:p>
    <w:p>
      <w:pPr>
        <w:spacing w:after="0" w:line="18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 November and December 2022, we agreed to purchase 5,000 and 2,200, respectively, Antminer S19j Pro (100 TH/s) (“S19j Pro”) miners from Bitmain. For these miners, we paid an average price of $2.35 per terahash, covering the majority of the purchase price by using accumulated Bitmain coupons from previous orders. We have no further payments due in respect of those orders. As of April 2023, all of those miners have been delivered to us in Texas.</w:t>
      </w:r>
    </w:p>
    <w:p>
      <w:pPr>
        <w:spacing w:after="0" w:line="12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May 4, 2023, we entered into the Canaan Agreement with Canaan to purchase 11,000 new A1346 model miners, all of which were delivered prior to June 30, 2023 and have been installed at the Odessa Facility. Because the Company is paying for the Canaan miners over time, the Company does not yet hold title to the miners. We paid an initial 10% deposit plus 18% of the total purchase price prior to delivery, and we are required to pay monthly installment payments for the Canaan miners through November 2023, at which time title to the miners will transfer to us.</w:t>
      </w:r>
    </w:p>
    <w:p>
      <w:pPr>
        <w:spacing w:after="0" w:line="13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October 4, 2023, we entered into an agreement with Bitmain to purchase 1.2 EH/s worth of HASH Super Computing Servers (Antminer S21-200.0T model), for a total commitment of $24.0 million, or $16.8 million in cash after applying coupons. We expect the miners purchased under this agreement to be shipped in batches between January and June 2024.</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expect to fund our ongoing payment obligations for these purchases through our ongoing operations, including by selling bitcoin generated at our data centers.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providing supplemental financial measures for (i) non-GAAP loss from operations that excludes the impact of depreciation and amortization, the non-cash change in the fair value of our derivative asset, share-based compensation expense and nonrecurring gains, which in the nine months ended September 30, 2023 were associated with the sale of Bitmain coupons and (ii) non-GAAP net income (loss) and non-GAAP basic and diluted income (loss) per share that exclude the impact of depreciation and amortization, the non-cash change in the fair value of our derivative asset, share-based compensation expense, nonrecurring gains, the change in the fair value of the warrant liability and deferred income tax expense. These supplemental financial measures are not measurements of financial performance under accounting principles generally accepted in the United States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4" w:name="page35"/>
    <w:bookmarkEnd w:id="34"/>
    <w:p>
      <w:pPr>
        <w:ind w:right="60"/>
        <w:spacing w:after="0" w:line="259" w:lineRule="auto"/>
        <w:rPr>
          <w:sz w:val="20"/>
          <w:szCs w:val="20"/>
          <w:color w:val="auto"/>
        </w:rPr>
      </w:pPr>
      <w:r>
        <w:rPr>
          <w:rFonts w:ascii="Arial" w:cs="Arial" w:eastAsia="Arial" w:hAnsi="Arial"/>
          <w:sz w:val="18"/>
          <w:szCs w:val="18"/>
          <w:color w:val="auto"/>
        </w:rPr>
        <w:t>We believe that these non-GAAP financial measures are also useful to investors in comparing our performance across reporting periods on a consistent basis. Non-GAAP loss from operations excludes non-cash operational expenses that we believe are not reflective of our general business performance such as (i) depreciation and amortization, (ii) the non-cash change in the fair value of our derivative asset (iii) share-based compensation expense and (iv) nonrecurring gains, which could vary significantly in comparison to other companies.</w:t>
      </w:r>
    </w:p>
    <w:p>
      <w:pPr>
        <w:spacing w:after="0" w:line="16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Non-GAAP net income (loss) and non-GAAP basic and diluted income (loss) per share exclude the impact of (i) depreciation and amortization, (ii) the non-cash change in the fair value of our derivative asset, (iii) share-based compensation expense, (iv) nonrecurring gains, (v) the non-cash change in the fair value of our warrant liability and (vi) deferred income tax expense. We believe the use of these non-GAAP financial measures can also facilitate comparison of our operating results to those of our competitors.</w:t>
      </w:r>
    </w:p>
    <w:p>
      <w:pPr>
        <w:spacing w:after="0" w:line="1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measures, will continue to be a significant recurring expense over the coming years and is an important part of the compensation provided to certain employees, officers and directors. Similarly, we expect that depreciation and amortization will continue to be a recurring expense over the useful lives of the related assets. Our non-GAAP financial measures are not meant to be considered in isolation and should be read only in conjunction with our unaudited condensed consolidated financial statements included elsewhere in this Quarterly Report, which have been prepared in accordance with GAAP. We rely primarily on such unaudited condensed consolidated financial statements to understand, manage and evaluate our business performance and use the non-GAAP financial measures only supplementally.</w:t>
      </w:r>
    </w:p>
    <w:p>
      <w:pPr>
        <w:spacing w:after="0" w:line="1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is a reconciliation of our non-GAAP income (loss) from operations, which excludes the impact of (i) depreciation and amortization, (ii) the non-cash change in the fair value of our derivative asset (iii) share-based compensation expense and (iv) nonrecurring gains, to its most directly comparable GAAP measure for the periods indicated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gridSpan w:val="5"/>
          </w:tcPr>
          <w:p>
            <w:pPr>
              <w:jc w:val="right"/>
              <w:ind w:right="470"/>
              <w:spacing w:after="0"/>
              <w:rPr>
                <w:sz w:val="20"/>
                <w:szCs w:val="20"/>
                <w:color w:val="auto"/>
              </w:rPr>
            </w:pPr>
            <w:r>
              <w:rPr>
                <w:rFonts w:ascii="Arial" w:cs="Arial" w:eastAsia="Arial" w:hAnsi="Arial"/>
                <w:sz w:val="16"/>
                <w:szCs w:val="16"/>
                <w:b w:val="1"/>
                <w:bCs w:val="1"/>
                <w:color w:val="auto"/>
                <w:w w:val="94"/>
              </w:rPr>
              <w:t>Three Months Ended September 30,</w:t>
            </w:r>
          </w:p>
        </w:tc>
        <w:tc>
          <w:tcPr>
            <w:tcW w:w="200" w:type="dxa"/>
            <w:vAlign w:val="bottom"/>
          </w:tcPr>
          <w:p>
            <w:pPr>
              <w:spacing w:after="0"/>
              <w:rPr>
                <w:sz w:val="19"/>
                <w:szCs w:val="19"/>
                <w:color w:val="auto"/>
              </w:rPr>
            </w:pPr>
          </w:p>
        </w:tc>
        <w:tc>
          <w:tcPr>
            <w:tcW w:w="2860" w:type="dxa"/>
            <w:vAlign w:val="bottom"/>
            <w:gridSpan w:val="5"/>
          </w:tcPr>
          <w:p>
            <w:pPr>
              <w:jc w:val="right"/>
              <w:ind w:right="301"/>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23"/>
        </w:trPr>
        <w:tc>
          <w:tcPr>
            <w:tcW w:w="4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11"/>
        </w:trPr>
        <w:tc>
          <w:tcPr>
            <w:tcW w:w="4860" w:type="dxa"/>
            <w:vAlign w:val="bottom"/>
            <w:shd w:val="clear" w:color="auto" w:fill="CCECFF"/>
          </w:tcPr>
          <w:p>
            <w:pPr>
              <w:ind w:left="60"/>
              <w:spacing w:after="0"/>
              <w:rPr>
                <w:sz w:val="20"/>
                <w:szCs w:val="20"/>
                <w:color w:val="auto"/>
              </w:rPr>
            </w:pPr>
            <w:r>
              <w:rPr>
                <w:rFonts w:ascii="Arial" w:cs="Arial" w:eastAsia="Arial" w:hAnsi="Arial"/>
                <w:sz w:val="18"/>
                <w:szCs w:val="18"/>
                <w:b w:val="1"/>
                <w:bCs w:val="1"/>
                <w:color w:val="auto"/>
              </w:rPr>
              <w:t>Reconciliation of non-GAAP income (loss) from</w:t>
            </w:r>
          </w:p>
        </w:tc>
        <w:tc>
          <w:tcPr>
            <w:tcW w:w="180" w:type="dxa"/>
            <w:vAlign w:val="bottom"/>
            <w:shd w:val="clear" w:color="auto" w:fill="CCECFF"/>
          </w:tcPr>
          <w:p>
            <w:pPr>
              <w:spacing w:after="0"/>
              <w:rPr>
                <w:sz w:val="18"/>
                <w:szCs w:val="18"/>
                <w:color w:val="auto"/>
              </w:rPr>
            </w:pPr>
          </w:p>
        </w:tc>
        <w:tc>
          <w:tcPr>
            <w:tcW w:w="11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10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48"/>
        </w:trPr>
        <w:tc>
          <w:tcPr>
            <w:tcW w:w="486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operations:</w:t>
            </w:r>
          </w:p>
        </w:tc>
        <w:tc>
          <w:tcPr>
            <w:tcW w:w="180" w:type="dxa"/>
            <w:vAlign w:val="bottom"/>
            <w:shd w:val="clear" w:color="auto" w:fill="CCECFF"/>
          </w:tcPr>
          <w:p>
            <w:pPr>
              <w:spacing w:after="0"/>
              <w:rPr>
                <w:sz w:val="21"/>
                <w:szCs w:val="21"/>
                <w:color w:val="auto"/>
              </w:rPr>
            </w:pPr>
          </w:p>
        </w:tc>
        <w:tc>
          <w:tcPr>
            <w:tcW w:w="11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1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7"/>
        </w:trPr>
        <w:tc>
          <w:tcPr>
            <w:tcW w:w="4860" w:type="dxa"/>
            <w:vAlign w:val="bottom"/>
          </w:tcPr>
          <w:p>
            <w:pPr>
              <w:ind w:left="60"/>
              <w:spacing w:after="0"/>
              <w:rPr>
                <w:sz w:val="20"/>
                <w:szCs w:val="20"/>
                <w:color w:val="auto"/>
              </w:rPr>
            </w:pPr>
            <w:r>
              <w:rPr>
                <w:rFonts w:ascii="Arial" w:cs="Arial" w:eastAsia="Arial" w:hAnsi="Arial"/>
                <w:sz w:val="18"/>
                <w:szCs w:val="18"/>
                <w:color w:val="auto"/>
              </w:rPr>
              <w:t>Operating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(18,196 )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59,233</w:t>
            </w:r>
          </w:p>
        </w:tc>
        <w:tc>
          <w:tcPr>
            <w:tcW w:w="3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(35,957 )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12,353</w:t>
            </w:r>
          </w:p>
        </w:tc>
        <w:tc>
          <w:tcPr>
            <w:tcW w:w="100" w:type="dxa"/>
            <w:vAlign w:val="bottom"/>
          </w:tcPr>
          <w:p>
            <w:pPr>
              <w:spacing w:after="0"/>
              <w:rPr>
                <w:sz w:val="20"/>
                <w:szCs w:val="20"/>
                <w:color w:val="auto"/>
              </w:rPr>
            </w:pPr>
          </w:p>
        </w:tc>
      </w:tr>
      <w:tr>
        <w:trPr>
          <w:trHeight w:val="249"/>
        </w:trPr>
        <w:tc>
          <w:tcPr>
            <w:tcW w:w="4860" w:type="dxa"/>
            <w:vAlign w:val="bottom"/>
            <w:shd w:val="clear" w:color="auto" w:fill="CCECFF"/>
          </w:tcPr>
          <w:p>
            <w:pPr>
              <w:ind w:left="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16,453</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42,972</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CFF"/>
          </w:tcPr>
          <w:p>
            <w:pPr>
              <w:spacing w:after="0"/>
              <w:rPr>
                <w:sz w:val="21"/>
                <w:szCs w:val="21"/>
                <w:color w:val="auto"/>
              </w:rPr>
            </w:pPr>
          </w:p>
        </w:tc>
      </w:tr>
      <w:tr>
        <w:trPr>
          <w:trHeight w:val="237"/>
        </w:trPr>
        <w:tc>
          <w:tcPr>
            <w:tcW w:w="4860" w:type="dxa"/>
            <w:vAlign w:val="bottom"/>
          </w:tcPr>
          <w:p>
            <w:pPr>
              <w:ind w:left="60"/>
              <w:spacing w:after="0"/>
              <w:rPr>
                <w:sz w:val="20"/>
                <w:szCs w:val="20"/>
                <w:color w:val="auto"/>
              </w:rPr>
            </w:pPr>
            <w:r>
              <w:rPr>
                <w:rFonts w:ascii="Arial" w:cs="Arial" w:eastAsia="Arial" w:hAnsi="Arial"/>
                <w:sz w:val="18"/>
                <w:szCs w:val="18"/>
                <w:color w:val="auto"/>
              </w:rPr>
              <w:t>Change in fair value of derivative asset</w:t>
            </w:r>
          </w:p>
        </w:tc>
        <w:tc>
          <w:tcPr>
            <w:tcW w:w="18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(4,744 )</w:t>
            </w:r>
          </w:p>
        </w:tc>
        <w:tc>
          <w:tcPr>
            <w:tcW w:w="300" w:type="dxa"/>
            <w:vAlign w:val="bottom"/>
          </w:tcPr>
          <w:p>
            <w:pPr>
              <w:spacing w:after="0"/>
              <w:rPr>
                <w:sz w:val="20"/>
                <w:szCs w:val="20"/>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(85,658 )</w:t>
            </w: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(13,294 )</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(85,658 )</w:t>
            </w:r>
          </w:p>
        </w:tc>
      </w:tr>
      <w:tr>
        <w:trPr>
          <w:trHeight w:val="249"/>
        </w:trPr>
        <w:tc>
          <w:tcPr>
            <w:tcW w:w="4860" w:type="dxa"/>
            <w:vAlign w:val="bottom"/>
            <w:shd w:val="clear" w:color="auto" w:fill="CCECFF"/>
          </w:tcPr>
          <w:p>
            <w:pPr>
              <w:ind w:left="6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10,699</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10,494</w:t>
            </w:r>
          </w:p>
        </w:tc>
        <w:tc>
          <w:tcPr>
            <w:tcW w:w="3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28,687</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30,072</w:t>
            </w:r>
          </w:p>
        </w:tc>
        <w:tc>
          <w:tcPr>
            <w:tcW w:w="100" w:type="dxa"/>
            <w:vAlign w:val="bottom"/>
            <w:shd w:val="clear" w:color="auto" w:fill="CCECFF"/>
          </w:tcPr>
          <w:p>
            <w:pPr>
              <w:spacing w:after="0"/>
              <w:rPr>
                <w:sz w:val="21"/>
                <w:szCs w:val="21"/>
                <w:color w:val="auto"/>
              </w:rPr>
            </w:pPr>
          </w:p>
        </w:tc>
      </w:tr>
      <w:tr>
        <w:trPr>
          <w:trHeight w:val="237"/>
        </w:trPr>
        <w:tc>
          <w:tcPr>
            <w:tcW w:w="4860" w:type="dxa"/>
            <w:vAlign w:val="bottom"/>
          </w:tcPr>
          <w:p>
            <w:pPr>
              <w:ind w:left="60"/>
              <w:spacing w:after="0"/>
              <w:rPr>
                <w:sz w:val="20"/>
                <w:szCs w:val="20"/>
                <w:color w:val="auto"/>
              </w:rPr>
            </w:pPr>
            <w:r>
              <w:rPr>
                <w:rFonts w:ascii="Arial" w:cs="Arial" w:eastAsia="Arial" w:hAnsi="Arial"/>
                <w:sz w:val="18"/>
                <w:szCs w:val="18"/>
                <w:color w:val="auto"/>
              </w:rPr>
              <w:t>Other gains - nonrecurring</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(2,349 )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83"/>
        </w:trPr>
        <w:tc>
          <w:tcPr>
            <w:tcW w:w="4860" w:type="dxa"/>
            <w:vAlign w:val="bottom"/>
            <w:tcBorders>
              <w:bottom w:val="single" w:sz="8" w:color="CCECFF"/>
            </w:tcBorders>
            <w:shd w:val="clear" w:color="auto" w:fill="CCECFF"/>
          </w:tcPr>
          <w:p>
            <w:pPr>
              <w:ind w:left="160"/>
              <w:spacing w:after="0"/>
              <w:rPr>
                <w:sz w:val="20"/>
                <w:szCs w:val="20"/>
                <w:color w:val="auto"/>
              </w:rPr>
            </w:pPr>
            <w:r>
              <w:rPr>
                <w:rFonts w:ascii="Arial" w:cs="Arial" w:eastAsia="Arial" w:hAnsi="Arial"/>
                <w:sz w:val="18"/>
                <w:szCs w:val="18"/>
                <w:color w:val="auto"/>
              </w:rPr>
              <w:t>Non-GAAP income (loss) from operations</w:t>
            </w: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4,212</w:t>
            </w:r>
          </w:p>
        </w:tc>
        <w:tc>
          <w:tcPr>
            <w:tcW w:w="36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(15,920</w:t>
            </w:r>
          </w:p>
        </w:tc>
        <w:tc>
          <w:tcPr>
            <w:tcW w:w="320" w:type="dxa"/>
            <w:vAlign w:val="bottom"/>
            <w:tcBorders>
              <w:bottom w:val="single" w:sz="8" w:color="CCECFF"/>
            </w:tcBorders>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20,059</w:t>
            </w:r>
          </w:p>
        </w:tc>
        <w:tc>
          <w:tcPr>
            <w:tcW w:w="36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(43,207</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629"/>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-521970</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-504825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-521970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-504825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t>The following are reconciliations of our non-GAAP net income (loss) and non-GAAP basic and diluted net income (loss) per share, in each case excluding the impact of (i) depreciation and amortization (ii) the non-cash change in the fair value of our derivative asset, (iii) share-based compensation expense, (iv) nonrecurring gains, (v) the non-cash change in the fair value of our warrant liability and (vi) deferred income tax expense, to the most directly comparable GAAP measures for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40" w:type="dxa"/>
            <w:vAlign w:val="bottom"/>
            <w:gridSpan w:val="5"/>
          </w:tcPr>
          <w:p>
            <w:pPr>
              <w:jc w:val="right"/>
              <w:ind w:right="470"/>
              <w:spacing w:after="0"/>
              <w:rPr>
                <w:sz w:val="20"/>
                <w:szCs w:val="20"/>
                <w:color w:val="auto"/>
              </w:rPr>
            </w:pPr>
            <w:r>
              <w:rPr>
                <w:rFonts w:ascii="Arial" w:cs="Arial" w:eastAsia="Arial" w:hAnsi="Arial"/>
                <w:sz w:val="16"/>
                <w:szCs w:val="16"/>
                <w:b w:val="1"/>
                <w:bCs w:val="1"/>
                <w:color w:val="auto"/>
                <w:w w:val="94"/>
              </w:rPr>
              <w:t>Three Months Ended September 30,</w:t>
            </w:r>
          </w:p>
        </w:tc>
        <w:tc>
          <w:tcPr>
            <w:tcW w:w="180" w:type="dxa"/>
            <w:vAlign w:val="bottom"/>
          </w:tcPr>
          <w:p>
            <w:pPr>
              <w:spacing w:after="0"/>
              <w:rPr>
                <w:sz w:val="19"/>
                <w:szCs w:val="19"/>
                <w:color w:val="auto"/>
              </w:rPr>
            </w:pPr>
          </w:p>
        </w:tc>
        <w:tc>
          <w:tcPr>
            <w:tcW w:w="2860" w:type="dxa"/>
            <w:vAlign w:val="bottom"/>
            <w:gridSpan w:val="5"/>
          </w:tcPr>
          <w:p>
            <w:pPr>
              <w:jc w:val="right"/>
              <w:ind w:right="281"/>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23"/>
        </w:trPr>
        <w:tc>
          <w:tcPr>
            <w:tcW w:w="49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4900" w:type="dxa"/>
            <w:vAlign w:val="bottom"/>
            <w:shd w:val="clear" w:color="auto" w:fill="CCECFF"/>
          </w:tcPr>
          <w:p>
            <w:pPr>
              <w:ind w:left="60"/>
              <w:spacing w:after="0"/>
              <w:rPr>
                <w:sz w:val="20"/>
                <w:szCs w:val="20"/>
                <w:color w:val="auto"/>
              </w:rPr>
            </w:pPr>
            <w:r>
              <w:rPr>
                <w:rFonts w:ascii="Arial" w:cs="Arial" w:eastAsia="Arial" w:hAnsi="Arial"/>
                <w:sz w:val="18"/>
                <w:szCs w:val="18"/>
                <w:b w:val="1"/>
                <w:bCs w:val="1"/>
                <w:color w:val="auto"/>
              </w:rPr>
              <w:t>Reconciliation of non-GAAP net income (loss):</w:t>
            </w:r>
          </w:p>
        </w:tc>
        <w:tc>
          <w:tcPr>
            <w:tcW w:w="160" w:type="dxa"/>
            <w:vAlign w:val="bottom"/>
            <w:shd w:val="clear" w:color="auto" w:fill="CCECFF"/>
          </w:tcPr>
          <w:p>
            <w:pPr>
              <w:spacing w:after="0"/>
              <w:rPr>
                <w:sz w:val="21"/>
                <w:szCs w:val="21"/>
                <w:color w:val="auto"/>
              </w:rPr>
            </w:pPr>
          </w:p>
        </w:tc>
        <w:tc>
          <w:tcPr>
            <w:tcW w:w="11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1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7"/>
        </w:trPr>
        <w:tc>
          <w:tcPr>
            <w:tcW w:w="4900" w:type="dxa"/>
            <w:vAlign w:val="bottom"/>
          </w:tcPr>
          <w:p>
            <w:pPr>
              <w:ind w:left="60"/>
              <w:spacing w:after="0"/>
              <w:rPr>
                <w:sz w:val="20"/>
                <w:szCs w:val="20"/>
                <w:color w:val="auto"/>
              </w:rPr>
            </w:pPr>
            <w:r>
              <w:rPr>
                <w:rFonts w:ascii="Arial" w:cs="Arial" w:eastAsia="Arial" w:hAnsi="Arial"/>
                <w:sz w:val="18"/>
                <w:szCs w:val="18"/>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(17,711 )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59,292</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(37,013 )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12,574</w:t>
            </w:r>
          </w:p>
        </w:tc>
        <w:tc>
          <w:tcPr>
            <w:tcW w:w="100" w:type="dxa"/>
            <w:vAlign w:val="bottom"/>
          </w:tcPr>
          <w:p>
            <w:pPr>
              <w:spacing w:after="0"/>
              <w:rPr>
                <w:sz w:val="20"/>
                <w:szCs w:val="20"/>
                <w:color w:val="auto"/>
              </w:rPr>
            </w:pPr>
          </w:p>
        </w:tc>
      </w:tr>
      <w:tr>
        <w:trPr>
          <w:trHeight w:val="249"/>
        </w:trPr>
        <w:tc>
          <w:tcPr>
            <w:tcW w:w="4900" w:type="dxa"/>
            <w:vAlign w:val="bottom"/>
            <w:shd w:val="clear" w:color="auto" w:fill="CCECFF"/>
          </w:tcPr>
          <w:p>
            <w:pPr>
              <w:ind w:left="60"/>
              <w:spacing w:after="0"/>
              <w:rPr>
                <w:sz w:val="20"/>
                <w:szCs w:val="20"/>
                <w:color w:val="auto"/>
              </w:rPr>
            </w:pPr>
            <w:r>
              <w:rPr>
                <w:rFonts w:ascii="Arial" w:cs="Arial" w:eastAsia="Arial" w:hAnsi="Arial"/>
                <w:sz w:val="18"/>
                <w:szCs w:val="18"/>
                <w:color w:val="auto"/>
              </w:rPr>
              <w:t>Non-cash adjustments to net (loss) income:</w:t>
            </w:r>
          </w:p>
        </w:tc>
        <w:tc>
          <w:tcPr>
            <w:tcW w:w="160" w:type="dxa"/>
            <w:vAlign w:val="bottom"/>
            <w:shd w:val="clear" w:color="auto" w:fill="CCECFF"/>
          </w:tcPr>
          <w:p>
            <w:pPr>
              <w:spacing w:after="0"/>
              <w:rPr>
                <w:sz w:val="21"/>
                <w:szCs w:val="21"/>
                <w:color w:val="auto"/>
              </w:rPr>
            </w:pPr>
          </w:p>
        </w:tc>
        <w:tc>
          <w:tcPr>
            <w:tcW w:w="11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1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7"/>
        </w:trPr>
        <w:tc>
          <w:tcPr>
            <w:tcW w:w="49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16,453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42,972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r>
      <w:tr>
        <w:trPr>
          <w:trHeight w:val="249"/>
        </w:trPr>
        <w:tc>
          <w:tcPr>
            <w:tcW w:w="4900" w:type="dxa"/>
            <w:vAlign w:val="bottom"/>
            <w:shd w:val="clear" w:color="auto" w:fill="CCECFF"/>
          </w:tcPr>
          <w:p>
            <w:pPr>
              <w:ind w:left="160"/>
              <w:spacing w:after="0"/>
              <w:rPr>
                <w:sz w:val="20"/>
                <w:szCs w:val="20"/>
                <w:color w:val="auto"/>
              </w:rPr>
            </w:pPr>
            <w:r>
              <w:rPr>
                <w:rFonts w:ascii="Arial" w:cs="Arial" w:eastAsia="Arial" w:hAnsi="Arial"/>
                <w:sz w:val="18"/>
                <w:szCs w:val="18"/>
                <w:color w:val="auto"/>
              </w:rPr>
              <w:t>Change in fair value of derivative asset</w:t>
            </w:r>
          </w:p>
        </w:tc>
        <w:tc>
          <w:tcPr>
            <w:tcW w:w="160" w:type="dxa"/>
            <w:vAlign w:val="bottom"/>
            <w:shd w:val="clear" w:color="auto" w:fill="CCECFF"/>
          </w:tcPr>
          <w:p>
            <w:pPr>
              <w:spacing w:after="0"/>
              <w:rPr>
                <w:sz w:val="21"/>
                <w:szCs w:val="21"/>
                <w:color w:val="auto"/>
              </w:rPr>
            </w:pPr>
          </w:p>
        </w:tc>
        <w:tc>
          <w:tcPr>
            <w:tcW w:w="15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(4,744 )</w:t>
            </w:r>
          </w:p>
        </w:tc>
        <w:tc>
          <w:tcPr>
            <w:tcW w:w="300" w:type="dxa"/>
            <w:vAlign w:val="bottom"/>
            <w:shd w:val="clear" w:color="auto" w:fill="CCECFF"/>
          </w:tcPr>
          <w:p>
            <w:pPr>
              <w:spacing w:after="0"/>
              <w:rPr>
                <w:sz w:val="21"/>
                <w:szCs w:val="21"/>
                <w:color w:val="auto"/>
              </w:rPr>
            </w:pPr>
          </w:p>
        </w:tc>
        <w:tc>
          <w:tcPr>
            <w:tcW w:w="1320" w:type="dxa"/>
            <w:vAlign w:val="bottom"/>
            <w:gridSpan w:val="2"/>
            <w:shd w:val="clear" w:color="auto" w:fill="CCECFF"/>
          </w:tcPr>
          <w:p>
            <w:pPr>
              <w:jc w:val="right"/>
              <w:ind w:right="150"/>
              <w:spacing w:after="0"/>
              <w:rPr>
                <w:sz w:val="20"/>
                <w:szCs w:val="20"/>
                <w:color w:val="auto"/>
              </w:rPr>
            </w:pPr>
            <w:r>
              <w:rPr>
                <w:rFonts w:ascii="Arial" w:cs="Arial" w:eastAsia="Arial" w:hAnsi="Arial"/>
                <w:sz w:val="18"/>
                <w:szCs w:val="18"/>
                <w:color w:val="auto"/>
              </w:rPr>
              <w:t>(85,658 )</w:t>
            </w:r>
          </w:p>
        </w:tc>
        <w:tc>
          <w:tcPr>
            <w:tcW w:w="180" w:type="dxa"/>
            <w:vAlign w:val="bottom"/>
            <w:shd w:val="clear" w:color="auto" w:fill="CCECFF"/>
          </w:tcPr>
          <w:p>
            <w:pPr>
              <w:spacing w:after="0"/>
              <w:rPr>
                <w:sz w:val="21"/>
                <w:szCs w:val="21"/>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(13,294 )</w:t>
            </w:r>
          </w:p>
        </w:tc>
        <w:tc>
          <w:tcPr>
            <w:tcW w:w="30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(85,658 )</w:t>
            </w:r>
          </w:p>
        </w:tc>
      </w:tr>
      <w:tr>
        <w:trPr>
          <w:trHeight w:val="237"/>
        </w:trPr>
        <w:tc>
          <w:tcPr>
            <w:tcW w:w="490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10,699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10,494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28,687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30,072</w:t>
            </w:r>
          </w:p>
        </w:tc>
        <w:tc>
          <w:tcPr>
            <w:tcW w:w="100" w:type="dxa"/>
            <w:vAlign w:val="bottom"/>
          </w:tcPr>
          <w:p>
            <w:pPr>
              <w:spacing w:after="0"/>
              <w:rPr>
                <w:sz w:val="20"/>
                <w:szCs w:val="20"/>
                <w:color w:val="auto"/>
              </w:rPr>
            </w:pPr>
          </w:p>
        </w:tc>
      </w:tr>
      <w:tr>
        <w:trPr>
          <w:trHeight w:val="249"/>
        </w:trPr>
        <w:tc>
          <w:tcPr>
            <w:tcW w:w="4900" w:type="dxa"/>
            <w:vAlign w:val="bottom"/>
            <w:shd w:val="clear" w:color="auto" w:fill="CCECFF"/>
          </w:tcPr>
          <w:p>
            <w:pPr>
              <w:ind w:left="160"/>
              <w:spacing w:after="0"/>
              <w:rPr>
                <w:sz w:val="20"/>
                <w:szCs w:val="20"/>
                <w:color w:val="auto"/>
              </w:rPr>
            </w:pPr>
            <w:r>
              <w:rPr>
                <w:rFonts w:ascii="Arial" w:cs="Arial" w:eastAsia="Arial" w:hAnsi="Arial"/>
                <w:sz w:val="18"/>
                <w:szCs w:val="18"/>
                <w:color w:val="auto"/>
              </w:rPr>
              <w:t>Other gains - nonrecurring</w:t>
            </w:r>
          </w:p>
        </w:tc>
        <w:tc>
          <w:tcPr>
            <w:tcW w:w="16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(2,349 )</w:t>
            </w: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1"/>
                <w:szCs w:val="21"/>
                <w:color w:val="auto"/>
              </w:rPr>
            </w:pPr>
          </w:p>
        </w:tc>
      </w:tr>
      <w:tr>
        <w:trPr>
          <w:trHeight w:val="237"/>
        </w:trPr>
        <w:tc>
          <w:tcPr>
            <w:tcW w:w="490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(49 )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r>
      <w:tr>
        <w:trPr>
          <w:trHeight w:val="243"/>
        </w:trPr>
        <w:tc>
          <w:tcPr>
            <w:tcW w:w="4900" w:type="dxa"/>
            <w:vAlign w:val="bottom"/>
            <w:tcBorders>
              <w:bottom w:val="single" w:sz="8" w:color="CCECFF"/>
            </w:tcBorders>
            <w:shd w:val="clear" w:color="auto" w:fill="CCECFF"/>
          </w:tcPr>
          <w:p>
            <w:pPr>
              <w:ind w:left="160"/>
              <w:spacing w:after="0"/>
              <w:rPr>
                <w:sz w:val="20"/>
                <w:szCs w:val="20"/>
                <w:color w:val="auto"/>
              </w:rPr>
            </w:pPr>
            <w:r>
              <w:rPr>
                <w:rFonts w:ascii="Arial" w:cs="Arial" w:eastAsia="Arial" w:hAnsi="Arial"/>
                <w:sz w:val="18"/>
                <w:szCs w:val="18"/>
                <w:color w:val="auto"/>
              </w:rPr>
              <w:t>Deferred income tax expense</w:t>
            </w:r>
          </w:p>
        </w:tc>
        <w:tc>
          <w:tcPr>
            <w:tcW w:w="160" w:type="dxa"/>
            <w:vAlign w:val="bottom"/>
            <w:tcBorders>
              <w:bottom w:val="single" w:sz="8" w:color="auto"/>
            </w:tcBorders>
            <w:shd w:val="clear" w:color="auto" w:fill="CCECFF"/>
          </w:tcPr>
          <w:p>
            <w:pPr>
              <w:spacing w:after="0"/>
              <w:rPr>
                <w:sz w:val="21"/>
                <w:szCs w:val="21"/>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1,192</w:t>
            </w:r>
          </w:p>
        </w:tc>
        <w:tc>
          <w:tcPr>
            <w:tcW w:w="36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555</w:t>
            </w:r>
          </w:p>
        </w:tc>
        <w:tc>
          <w:tcPr>
            <w:tcW w:w="34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7"/>
        </w:trPr>
        <w:tc>
          <w:tcPr>
            <w:tcW w:w="4900" w:type="dxa"/>
            <w:vAlign w:val="bottom"/>
          </w:tcPr>
          <w:p>
            <w:pPr>
              <w:ind w:left="160"/>
              <w:spacing w:after="0"/>
              <w:rPr>
                <w:sz w:val="20"/>
                <w:szCs w:val="20"/>
                <w:color w:val="auto"/>
              </w:rPr>
            </w:pPr>
            <w:r>
              <w:rPr>
                <w:rFonts w:ascii="Arial" w:cs="Arial" w:eastAsia="Arial" w:hAnsi="Arial"/>
                <w:sz w:val="18"/>
                <w:szCs w:val="18"/>
                <w:color w:val="auto"/>
              </w:rPr>
              <w:t>Total non-cash adjustments to net (loss) income</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23,610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(75,149 )</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56,522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(55,445 )</w:t>
            </w:r>
          </w:p>
        </w:tc>
      </w:tr>
      <w:tr>
        <w:trPr>
          <w:trHeight w:val="283"/>
        </w:trPr>
        <w:tc>
          <w:tcPr>
            <w:tcW w:w="4900" w:type="dxa"/>
            <w:vAlign w:val="bottom"/>
            <w:tcBorders>
              <w:bottom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Non-GAAP net income (loss)</w:t>
            </w: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5,899</w:t>
            </w:r>
          </w:p>
        </w:tc>
        <w:tc>
          <w:tcPr>
            <w:tcW w:w="36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(15,857</w:t>
            </w:r>
          </w:p>
        </w:tc>
        <w:tc>
          <w:tcPr>
            <w:tcW w:w="320" w:type="dxa"/>
            <w:vAlign w:val="bottom"/>
            <w:tcBorders>
              <w:bottom w:val="single" w:sz="8" w:color="CCECFF"/>
            </w:tcBorders>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19,509</w:t>
            </w:r>
          </w:p>
        </w:tc>
        <w:tc>
          <w:tcPr>
            <w:tcW w:w="34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(42,871</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900" w:type="dxa"/>
            <w:vAlign w:val="bottom"/>
            <w:shd w:val="clear" w:color="auto" w:fill="CCECFF"/>
          </w:tcPr>
          <w:p>
            <w:pPr>
              <w:ind w:left="60"/>
              <w:spacing w:after="0"/>
              <w:rPr>
                <w:sz w:val="20"/>
                <w:szCs w:val="20"/>
                <w:color w:val="auto"/>
              </w:rPr>
            </w:pPr>
            <w:r>
              <w:rPr>
                <w:rFonts w:ascii="Arial" w:cs="Arial" w:eastAsia="Arial" w:hAnsi="Arial"/>
                <w:sz w:val="18"/>
                <w:szCs w:val="18"/>
                <w:b w:val="1"/>
                <w:bCs w:val="1"/>
                <w:color w:val="auto"/>
                <w:w w:val="97"/>
              </w:rPr>
              <w:t>Reconciliation of non-GAAP basic and diluted net income</w:t>
            </w:r>
          </w:p>
        </w:tc>
        <w:tc>
          <w:tcPr>
            <w:tcW w:w="160" w:type="dxa"/>
            <w:vAlign w:val="bottom"/>
            <w:shd w:val="clear" w:color="auto" w:fill="CCECFF"/>
          </w:tcPr>
          <w:p>
            <w:pPr>
              <w:spacing w:after="0"/>
              <w:rPr>
                <w:sz w:val="18"/>
                <w:szCs w:val="18"/>
                <w:color w:val="auto"/>
              </w:rPr>
            </w:pPr>
          </w:p>
        </w:tc>
        <w:tc>
          <w:tcPr>
            <w:tcW w:w="11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48"/>
        </w:trPr>
        <w:tc>
          <w:tcPr>
            <w:tcW w:w="49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(loss) per share:</w:t>
            </w:r>
          </w:p>
        </w:tc>
        <w:tc>
          <w:tcPr>
            <w:tcW w:w="160" w:type="dxa"/>
            <w:vAlign w:val="bottom"/>
            <w:shd w:val="clear" w:color="auto" w:fill="CCECFF"/>
          </w:tcPr>
          <w:p>
            <w:pPr>
              <w:spacing w:after="0"/>
              <w:rPr>
                <w:sz w:val="21"/>
                <w:szCs w:val="21"/>
                <w:color w:val="auto"/>
              </w:rPr>
            </w:pPr>
          </w:p>
        </w:tc>
        <w:tc>
          <w:tcPr>
            <w:tcW w:w="11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1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7"/>
        </w:trPr>
        <w:tc>
          <w:tcPr>
            <w:tcW w:w="4900" w:type="dxa"/>
            <w:vAlign w:val="bottom"/>
          </w:tcPr>
          <w:p>
            <w:pPr>
              <w:ind w:left="60"/>
              <w:spacing w:after="0"/>
              <w:rPr>
                <w:sz w:val="20"/>
                <w:szCs w:val="20"/>
                <w:color w:val="auto"/>
              </w:rPr>
            </w:pPr>
            <w:r>
              <w:rPr>
                <w:rFonts w:ascii="Arial" w:cs="Arial" w:eastAsia="Arial" w:hAnsi="Arial"/>
                <w:sz w:val="18"/>
                <w:szCs w:val="18"/>
                <w:color w:val="auto"/>
              </w:rPr>
              <w:t>Basic and diluted net (loss) income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(0.07 )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(0.15 )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r>
      <w:tr>
        <w:trPr>
          <w:trHeight w:val="249"/>
        </w:trPr>
        <w:tc>
          <w:tcPr>
            <w:tcW w:w="4900" w:type="dxa"/>
            <w:vAlign w:val="bottom"/>
            <w:shd w:val="clear" w:color="auto" w:fill="CCECFF"/>
          </w:tcPr>
          <w:p>
            <w:pPr>
              <w:ind w:left="60"/>
              <w:spacing w:after="0"/>
              <w:rPr>
                <w:sz w:val="20"/>
                <w:szCs w:val="20"/>
                <w:color w:val="auto"/>
              </w:rPr>
            </w:pPr>
            <w:r>
              <w:rPr>
                <w:rFonts w:ascii="Arial" w:cs="Arial" w:eastAsia="Arial" w:hAnsi="Arial"/>
                <w:sz w:val="18"/>
                <w:szCs w:val="18"/>
                <w:color w:val="auto"/>
              </w:rPr>
              <w:t>Depreciation and amortization (per share)</w:t>
            </w:r>
          </w:p>
        </w:tc>
        <w:tc>
          <w:tcPr>
            <w:tcW w:w="16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0.07</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0.17</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1"/>
                <w:szCs w:val="21"/>
                <w:color w:val="auto"/>
              </w:rPr>
            </w:pPr>
          </w:p>
        </w:tc>
      </w:tr>
      <w:tr>
        <w:trPr>
          <w:trHeight w:val="237"/>
        </w:trPr>
        <w:tc>
          <w:tcPr>
            <w:tcW w:w="4900" w:type="dxa"/>
            <w:vAlign w:val="bottom"/>
          </w:tcPr>
          <w:p>
            <w:pPr>
              <w:ind w:left="60"/>
              <w:spacing w:after="0"/>
              <w:rPr>
                <w:sz w:val="20"/>
                <w:szCs w:val="20"/>
                <w:color w:val="auto"/>
              </w:rPr>
            </w:pPr>
            <w:r>
              <w:rPr>
                <w:rFonts w:ascii="Arial" w:cs="Arial" w:eastAsia="Arial" w:hAnsi="Arial"/>
                <w:sz w:val="18"/>
                <w:szCs w:val="18"/>
                <w:color w:val="auto"/>
              </w:rPr>
              <w:t>Change in fair value of derivative asset (per share)</w:t>
            </w:r>
          </w:p>
        </w:tc>
        <w:tc>
          <w:tcPr>
            <w:tcW w:w="16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(0.02 )</w:t>
            </w:r>
          </w:p>
        </w:tc>
        <w:tc>
          <w:tcPr>
            <w:tcW w:w="300" w:type="dxa"/>
            <w:vAlign w:val="bottom"/>
          </w:tcPr>
          <w:p>
            <w:pPr>
              <w:spacing w:after="0"/>
              <w:rPr>
                <w:sz w:val="20"/>
                <w:szCs w:val="20"/>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(0.35 )</w:t>
            </w:r>
          </w:p>
        </w:tc>
        <w:tc>
          <w:tcPr>
            <w:tcW w:w="18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(0.05 )</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(0.35 )</w:t>
            </w:r>
          </w:p>
        </w:tc>
      </w:tr>
      <w:tr>
        <w:trPr>
          <w:trHeight w:val="249"/>
        </w:trPr>
        <w:tc>
          <w:tcPr>
            <w:tcW w:w="4900" w:type="dxa"/>
            <w:vAlign w:val="bottom"/>
            <w:shd w:val="clear" w:color="auto" w:fill="CCECFF"/>
          </w:tcPr>
          <w:p>
            <w:pPr>
              <w:ind w:left="60"/>
              <w:spacing w:after="0"/>
              <w:rPr>
                <w:sz w:val="20"/>
                <w:szCs w:val="20"/>
                <w:color w:val="auto"/>
              </w:rPr>
            </w:pPr>
            <w:r>
              <w:rPr>
                <w:rFonts w:ascii="Arial" w:cs="Arial" w:eastAsia="Arial" w:hAnsi="Arial"/>
                <w:sz w:val="18"/>
                <w:szCs w:val="18"/>
                <w:color w:val="auto"/>
              </w:rPr>
              <w:t>Share-based compensation expense (per share)</w:t>
            </w:r>
          </w:p>
        </w:tc>
        <w:tc>
          <w:tcPr>
            <w:tcW w:w="16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0.04</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0.11</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CFF"/>
          </w:tcPr>
          <w:p>
            <w:pPr>
              <w:spacing w:after="0"/>
              <w:rPr>
                <w:sz w:val="21"/>
                <w:szCs w:val="21"/>
                <w:color w:val="auto"/>
              </w:rPr>
            </w:pPr>
          </w:p>
        </w:tc>
      </w:tr>
      <w:tr>
        <w:trPr>
          <w:trHeight w:val="237"/>
        </w:trPr>
        <w:tc>
          <w:tcPr>
            <w:tcW w:w="4900" w:type="dxa"/>
            <w:vAlign w:val="bottom"/>
          </w:tcPr>
          <w:p>
            <w:pPr>
              <w:ind w:left="60"/>
              <w:spacing w:after="0"/>
              <w:rPr>
                <w:sz w:val="20"/>
                <w:szCs w:val="20"/>
                <w:color w:val="auto"/>
              </w:rPr>
            </w:pPr>
            <w:r>
              <w:rPr>
                <w:rFonts w:ascii="Arial" w:cs="Arial" w:eastAsia="Arial" w:hAnsi="Arial"/>
                <w:sz w:val="18"/>
                <w:szCs w:val="18"/>
                <w:color w:val="auto"/>
              </w:rPr>
              <w:t>Other gains - nonrecurring (per share)</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(0.01 )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900" w:type="dxa"/>
            <w:vAlign w:val="bottom"/>
            <w:shd w:val="clear" w:color="auto" w:fill="CCECFF"/>
          </w:tcPr>
          <w:p>
            <w:pPr>
              <w:ind w:left="60"/>
              <w:spacing w:after="0"/>
              <w:rPr>
                <w:sz w:val="20"/>
                <w:szCs w:val="20"/>
                <w:color w:val="auto"/>
              </w:rPr>
            </w:pPr>
            <w:r>
              <w:rPr>
                <w:rFonts w:ascii="Arial" w:cs="Arial" w:eastAsia="Arial" w:hAnsi="Arial"/>
                <w:sz w:val="18"/>
                <w:szCs w:val="18"/>
                <w:color w:val="auto"/>
              </w:rPr>
              <w:t>Change in fair value of warrant liability (per share)</w:t>
            </w:r>
          </w:p>
        </w:tc>
        <w:tc>
          <w:tcPr>
            <w:tcW w:w="16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1"/>
                <w:szCs w:val="21"/>
                <w:color w:val="auto"/>
              </w:rPr>
            </w:pPr>
          </w:p>
        </w:tc>
      </w:tr>
      <w:tr>
        <w:trPr>
          <w:trHeight w:val="237"/>
        </w:trPr>
        <w:tc>
          <w:tcPr>
            <w:tcW w:w="4900" w:type="dxa"/>
            <w:vAlign w:val="bottom"/>
          </w:tcPr>
          <w:p>
            <w:pPr>
              <w:ind w:left="60"/>
              <w:spacing w:after="0"/>
              <w:rPr>
                <w:sz w:val="20"/>
                <w:szCs w:val="20"/>
                <w:color w:val="auto"/>
              </w:rPr>
            </w:pPr>
            <w:r>
              <w:rPr>
                <w:rFonts w:ascii="Arial" w:cs="Arial" w:eastAsia="Arial" w:hAnsi="Arial"/>
                <w:sz w:val="18"/>
                <w:szCs w:val="18"/>
                <w:color w:val="auto"/>
              </w:rPr>
              <w:t>Deferred income tax expense (per share)</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83"/>
        </w:trPr>
        <w:tc>
          <w:tcPr>
            <w:tcW w:w="4900" w:type="dxa"/>
            <w:vAlign w:val="bottom"/>
            <w:tcBorders>
              <w:bottom w:val="single" w:sz="8" w:color="CCECFF"/>
            </w:tcBorders>
            <w:shd w:val="clear" w:color="auto" w:fill="CCECFF"/>
          </w:tcPr>
          <w:p>
            <w:pPr>
              <w:ind w:left="160"/>
              <w:spacing w:after="0"/>
              <w:rPr>
                <w:sz w:val="20"/>
                <w:szCs w:val="20"/>
                <w:color w:val="auto"/>
              </w:rPr>
            </w:pPr>
            <w:r>
              <w:rPr>
                <w:rFonts w:ascii="Arial" w:cs="Arial" w:eastAsia="Arial" w:hAnsi="Arial"/>
                <w:sz w:val="18"/>
                <w:szCs w:val="18"/>
                <w:color w:val="auto"/>
              </w:rPr>
              <w:t>Non-GAAP basic and diluted net income (loss) per share</w:t>
            </w: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0.02</w:t>
            </w:r>
          </w:p>
        </w:tc>
        <w:tc>
          <w:tcPr>
            <w:tcW w:w="36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(0.07</w:t>
            </w:r>
          </w:p>
        </w:tc>
        <w:tc>
          <w:tcPr>
            <w:tcW w:w="320" w:type="dxa"/>
            <w:vAlign w:val="bottom"/>
            <w:tcBorders>
              <w:bottom w:val="single" w:sz="8" w:color="CCECFF"/>
            </w:tcBorders>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0.07</w:t>
            </w:r>
          </w:p>
        </w:tc>
        <w:tc>
          <w:tcPr>
            <w:tcW w:w="34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-2065020</wp:posOffset>
            </wp:positionV>
            <wp:extent cx="7747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-2065020</wp:posOffset>
            </wp:positionV>
            <wp:extent cx="685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-2065020</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-1739265</wp:posOffset>
            </wp:positionV>
            <wp:extent cx="3188970"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188970" cy="17970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0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in included in our 2022 Form 10-K. You should read the accompanying unaudited condensed consolidated financial statements in conjunction with our audited consolidated financial statements and accompanying notes in our 2022 Form 10-K. There have been no material changes in the information disclosed in the notes to our audited consolidated financial statements included in our 2022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Information regarding recent accounting pronouncements applicable to us, adopted and not yet adopted as of the date of this report, is included in Note 2 to our unaudited condensed consolidated financial statements located in “Part I - Financial Information, Item 1. Financial Statements” in this Quarterly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the information under this item.</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conducted an evaluation of the effectiveness of our “disclosure controls and procedures” (“Disclosure Controls”), as defined by Rules 13a-15(e) and 15d-15(e) of the Exchange Act, as of September 30, 2023, the end of the period covered by this Quarterly Report. The Disclosure Controls evaluation was done under the supervision and with the participation of management, including our Chief Executive Officer and Chief Financial Officer, with the goal being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disclosure.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not effective at the reasonable assurance level as of September 30, 2023.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noted in the 2022 Form 10-K, during management’s assessment of internal controls over financial reporting, a material weakness was identified related to certain Information Technology General Controls over user access, segregation of duties and change management controls.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management is responsible for maintaining effective internal control over financial reporting, and for its assessment of the effectiveness of internal control over financial reporting, we understand the importance of developing a resolution plan aligned with management and overseen by the Audit Committee of our Board of Directors. Our plan includes the following:</w:t>
      </w:r>
    </w:p>
    <w:p>
      <w:pPr>
        <w:spacing w:after="0" w:line="292"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Enhance our remediation efforts by continuing to devote resources in 2023 in key financial reporting and information technology areas.</w:t>
      </w:r>
    </w:p>
    <w:p>
      <w:pPr>
        <w:spacing w:after="0" w:line="128" w:lineRule="exact"/>
        <w:rPr>
          <w:rFonts w:ascii="Arial" w:cs="Arial" w:eastAsia="Arial" w:hAnsi="Arial"/>
          <w:sz w:val="17"/>
          <w:szCs w:val="17"/>
          <w:color w:val="auto"/>
        </w:rPr>
      </w:pPr>
    </w:p>
    <w:p>
      <w:pPr>
        <w:ind w:left="1020" w:right="180" w:hanging="503"/>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utilize an external third-party internal audit and SOX 404 implementation firm to work to improve the Company’s controls related to our material weaknesses, specifically relating to user access and change management surrounding the Company’s IT systems and applications.</w:t>
      </w:r>
    </w:p>
    <w:p>
      <w:pPr>
        <w:spacing w:after="0" w:line="75"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implement new processes and controls and engage external resources when required in connection with remediating this material weakness, such that these controls are designed, implemented, and operating effectively.</w:t>
      </w:r>
    </w:p>
    <w:p>
      <w:pPr>
        <w:spacing w:after="0" w:line="62" w:lineRule="exact"/>
        <w:rPr>
          <w:rFonts w:ascii="Arial" w:cs="Arial" w:eastAsia="Arial" w:hAnsi="Arial"/>
          <w:sz w:val="18"/>
          <w:szCs w:val="18"/>
          <w:color w:val="auto"/>
        </w:rPr>
      </w:pPr>
    </w:p>
    <w:p>
      <w:pPr>
        <w:ind w:left="1020" w:right="200" w:hanging="503"/>
        <w:spacing w:after="0" w:line="279"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Continue to formalize our policies and processes over including those over outside service providers with a specific focus on enhancing design and documentation related to (i) developing and communicating additional policies and procedures to govern the areas of IT change management and user access processes and related control activities and (ii) develop robust processes to validate data received from third-parties and relied upon to generate financial statements is complete and accurate.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that the material weaknesses in our internal control over financial reporting will not be considered remediated until the remediated controls operate for a sufficient period of time and can be tested and concluded by management to be designed and operating effectively. Because our remediation efforts involve our outsourced service providers, we cannot provide any assurance that these remediation efforts will be successful or that our internal control over financial reporting will be effective as a result of these efforts.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We continue to evaluate and work to improve our internal control over financial reporting related to the identified material weaknesses and management may determine to take additional measures to address control deficiencies or determine to modify the remediation plan described above. In addition, we report the progress and status of the above remediation efforts to the Audit Committee on a periodic basis.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September 30, 2023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 There have been no material changes to such proceedings previously disclosed in our 2022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Our business, financial condition and operating results can be affected by a number of factors, whether currently known or unknown, including but not limited to the risk factors as previously disclosed in Part I, Item 1A, “Risk Factors” of our 2022 Form 10-K, which is incorporated herein by reference. There have been no material changes to the risk factors previously disclosed in our 2022 Form 10-K.</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We are reporting the following information in lieu of reporting on a Current Report on Form 8-K under Item 1.01 – Entry into a Material Definitive Agreement.</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November 6, 2023, the Company and its wholly-owned subsidiary, Cipher Black Pearl LLC, entered into a Purchase and Sale Agreement (the “PSA”) with Trinity Mining Group, Inc. (“Trinity”) to purchase a data center lease (the “Lease”) related to certain tracts or parcels of land containing at least 50 acres of land located in Winkler County, Texas (the “Leased Property”) and certain other agreements (the “Assumed Agreements”) providing for the construction of a new data center the Company expects to build and call “Black Pearl” or the “Black Pearl Facility”. The Lease has an initial term of ten years, and the Company has four consecutive options to renew for periods of ten years each. In addition to the Lease and the Assumed Agreements, the purchased assets under the PSA include certain books, records, reports, studies and governmental approvals related to the Leased Property, and an approval from the Electric Reliability Council of Texas (“ERCOT”) conditionally approving up to 300 MW of energy consumption at the interconnection point of the Leased Property (the “Purchased Assets”).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consideration for the Purchased Assets will be $7.0 million (the “Purchase Price”). The Purchase Price will be paid by delivery of a number of whole shares of the Company’s common stock. The amount of the Company’s stock to be delivered under the PSA will be calculated by dividing the Purchase Price by the volume weighted average price of the Company’s common stock traded on the Nasdaq Global Select Market for the thirty (30) trading days immediately preceding the signing of the Purchase and Sale Agreement, determined without regard to after-hours trading or any other trading outside of the regular trading session trading hours.</w:t>
      </w:r>
    </w:p>
    <w:p>
      <w:pPr>
        <w:spacing w:after="0" w:line="18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shares of the Company’s common stock to be issued to Trinity will be issued pursuant to the Registration Statement, including all information, documents and exhibits filed with or incorporated by reference into the Registration Statement, providing for the offering, issuance and sale by the Company from time to time of up to $500.0 million in aggregate of the Company’s common stock, preferred stock, warrants and units. The Company’s obligations to consummate the transactions contemplated by the PSA are subject to the satisfaction of certain conditions precedent. To the extent those conditions are satisfied, or waived by the Company, the Company expects the closing date to occur before the end of December 2023. If the closing date occurs before the end of December 2023, the Company expects to deliver to Oncor Electric Delivery Company LLC (“Oncor”) up to $6.3 million as collateral that Oncor will be obligated to return to the Company, provided that the Company energizes at least 135MW at the Black Pearl Facility by May 15, 2026.</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ind w:left="252" w:hanging="252"/>
        <w:spacing w:after="0"/>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8" w:firstLine="8"/>
        <w:spacing w:after="0" w:line="263" w:lineRule="auto"/>
        <w:tabs>
          <w:tab w:leader="none" w:pos="237"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three months ended September 30, 2023, no director or “officer” (as defined in Rule 16a-1(f) under the Exchange Act) of the Company adopted or terminated a “Rule 10b5-1 trading arrangement” or “non-Rule 10b5-1 trading arrangement,” as each term is defined in Item 408(a) of Regulation S-K.</w:t>
      </w:r>
    </w:p>
    <w:p>
      <w:pPr>
        <w:spacing w:after="0" w:line="184" w:lineRule="exact"/>
        <w:rPr>
          <w:sz w:val="20"/>
          <w:szCs w:val="20"/>
          <w:color w:val="auto"/>
        </w:rPr>
      </w:pPr>
    </w:p>
    <w:p>
      <w:pPr>
        <w:jc w:val="center"/>
        <w:ind w:right="-43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2"/>
          </w:cols>
          <w:pgMar w:left="328" w:top="449" w:right="7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2"/>
              </w:rPr>
              <w:t>Incorporated by Reference</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87"/>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12"/>
          </w:tcPr>
          <w:p>
            <w:pPr>
              <w:ind w:left="120"/>
              <w:spacing w:after="0"/>
              <w:rPr>
                <w:sz w:val="20"/>
                <w:szCs w:val="20"/>
                <w:color w:val="auto"/>
              </w:rPr>
            </w:pPr>
            <w:r>
              <w:rPr>
                <w:rFonts w:ascii="Arial" w:cs="Arial" w:eastAsia="Arial" w:hAnsi="Arial"/>
                <w:sz w:val="14"/>
                <w:szCs w:val="14"/>
                <w:b w:val="1"/>
                <w:bCs w:val="1"/>
                <w:color w:val="auto"/>
              </w:rPr>
              <w:t>Exhibit</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From</w:t>
            </w:r>
          </w:p>
        </w:tc>
        <w:tc>
          <w:tcPr>
            <w:tcW w:w="140" w:type="dxa"/>
            <w:vAlign w:val="bottom"/>
          </w:tcPr>
          <w:p>
            <w:pPr>
              <w:spacing w:after="0"/>
              <w:rPr>
                <w:sz w:val="16"/>
                <w:szCs w:val="16"/>
                <w:color w:val="auto"/>
              </w:rPr>
            </w:pPr>
          </w:p>
        </w:tc>
        <w:tc>
          <w:tcPr>
            <w:tcW w:w="12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140" w:type="dxa"/>
            <w:vAlign w:val="bottom"/>
          </w:tcPr>
          <w:p>
            <w:pPr>
              <w:spacing w:after="0"/>
              <w:rPr>
                <w:sz w:val="16"/>
                <w:szCs w:val="16"/>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6"/>
                <w:szCs w:val="16"/>
                <w:color w:val="auto"/>
              </w:rPr>
            </w:pP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17"/>
          </w:tcPr>
          <w:p>
            <w:pPr>
              <w:ind w:left="4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Arial" w:cs="Arial" w:eastAsia="Arial" w:hAnsi="Arial"/>
                <w:sz w:val="16"/>
                <w:szCs w:val="16"/>
                <w:color w:val="auto"/>
              </w:rPr>
              <w:t>2.1†</w:t>
            </w:r>
          </w:p>
        </w:tc>
        <w:tc>
          <w:tcPr>
            <w:tcW w:w="140" w:type="dxa"/>
            <w:vAlign w:val="bottom"/>
          </w:tcPr>
          <w:p>
            <w:pPr>
              <w:spacing w:after="0"/>
              <w:rPr>
                <w:sz w:val="15"/>
                <w:szCs w:val="15"/>
                <w:color w:val="auto"/>
              </w:rPr>
            </w:pPr>
          </w:p>
        </w:tc>
        <w:tc>
          <w:tcPr>
            <w:tcW w:w="4820" w:type="dxa"/>
            <w:vAlign w:val="bottom"/>
            <w:tcBorders>
              <w:bottom w:val="single" w:sz="8" w:color="0000FF"/>
            </w:tcBorders>
            <w:gridSpan w:val="19"/>
          </w:tcPr>
          <w:p>
            <w:pPr>
              <w:spacing w:after="0" w:line="183" w:lineRule="exact"/>
              <w:rPr>
                <w:rFonts w:ascii="Arial" w:cs="Arial" w:eastAsia="Arial" w:hAnsi="Arial"/>
                <w:sz w:val="16"/>
                <w:szCs w:val="16"/>
                <w:color w:val="0000FF"/>
                <w:w w:val="91"/>
              </w:rPr>
            </w:pPr>
            <w:hyperlink r:id="rId259">
              <w:r>
                <w:rPr>
                  <w:rFonts w:ascii="Arial" w:cs="Arial" w:eastAsia="Arial" w:hAnsi="Arial"/>
                  <w:sz w:val="16"/>
                  <w:szCs w:val="16"/>
                  <w:color w:val="0000FF"/>
                  <w:w w:val="91"/>
                </w:rPr>
                <w:t>Agreement and Plan of Merger, dated as of March 4, 2021, by and among</w:t>
              </w:r>
            </w:hyperlink>
          </w:p>
        </w:tc>
        <w:tc>
          <w:tcPr>
            <w:tcW w:w="300" w:type="dxa"/>
            <w:vAlign w:val="bottom"/>
            <w:gridSpan w:val="5"/>
          </w:tcPr>
          <w:p>
            <w:pPr>
              <w:spacing w:after="0"/>
              <w:rPr>
                <w:sz w:val="15"/>
                <w:szCs w:val="15"/>
                <w:color w:val="auto"/>
              </w:rPr>
            </w:pP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Arial" w:cs="Arial" w:eastAsia="Arial" w:hAnsi="Arial"/>
                <w:sz w:val="16"/>
                <w:szCs w:val="16"/>
                <w:color w:val="auto"/>
                <w:w w:val="91"/>
              </w:rPr>
              <w:t>001-39625</w:t>
            </w:r>
          </w:p>
        </w:tc>
        <w:tc>
          <w:tcPr>
            <w:tcW w:w="780" w:type="dxa"/>
            <w:vAlign w:val="bottom"/>
            <w:gridSpan w:val="2"/>
          </w:tcPr>
          <w:p>
            <w:pPr>
              <w:jc w:val="center"/>
              <w:ind w:left="59"/>
              <w:spacing w:after="0" w:line="183" w:lineRule="exact"/>
              <w:rPr>
                <w:sz w:val="20"/>
                <w:szCs w:val="20"/>
                <w:color w:val="auto"/>
              </w:rPr>
            </w:pPr>
            <w:r>
              <w:rPr>
                <w:rFonts w:ascii="Arial" w:cs="Arial" w:eastAsia="Arial" w:hAnsi="Arial"/>
                <w:sz w:val="16"/>
                <w:szCs w:val="16"/>
                <w:color w:val="auto"/>
                <w:w w:val="89"/>
              </w:rPr>
              <w:t>2.1</w:t>
            </w:r>
          </w:p>
        </w:tc>
        <w:tc>
          <w:tcPr>
            <w:tcW w:w="1120" w:type="dxa"/>
            <w:vAlign w:val="bottom"/>
            <w:gridSpan w:val="2"/>
          </w:tcPr>
          <w:p>
            <w:pPr>
              <w:jc w:val="center"/>
              <w:ind w:left="59"/>
              <w:spacing w:after="0" w:line="183" w:lineRule="exact"/>
              <w:rPr>
                <w:sz w:val="20"/>
                <w:szCs w:val="20"/>
                <w:color w:val="auto"/>
              </w:rPr>
            </w:pPr>
            <w:r>
              <w:rPr>
                <w:rFonts w:ascii="Arial" w:cs="Arial" w:eastAsia="Arial" w:hAnsi="Arial"/>
                <w:sz w:val="16"/>
                <w:szCs w:val="16"/>
                <w:color w:val="auto"/>
                <w:w w:val="93"/>
              </w:rPr>
              <w:t>3/5/2021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40" w:type="dxa"/>
            <w:vAlign w:val="bottom"/>
            <w:tcBorders>
              <w:bottom w:val="single" w:sz="8" w:color="0000FF"/>
            </w:tcBorders>
            <w:gridSpan w:val="16"/>
          </w:tcPr>
          <w:p>
            <w:pPr>
              <w:spacing w:after="0" w:line="183" w:lineRule="exact"/>
              <w:rPr>
                <w:rFonts w:ascii="Arial" w:cs="Arial" w:eastAsia="Arial" w:hAnsi="Arial"/>
                <w:sz w:val="16"/>
                <w:szCs w:val="16"/>
                <w:color w:val="0000FF"/>
                <w:w w:val="93"/>
              </w:rPr>
            </w:pPr>
            <w:hyperlink r:id="rId259">
              <w:r>
                <w:rPr>
                  <w:rFonts w:ascii="Arial" w:cs="Arial" w:eastAsia="Arial" w:hAnsi="Arial"/>
                  <w:sz w:val="16"/>
                  <w:szCs w:val="16"/>
                  <w:color w:val="0000FF"/>
                  <w:w w:val="93"/>
                </w:rPr>
                <w:t>Good Works Acquisition Corp., Currency Merger Sub, Inc. and Cipher</w:t>
              </w:r>
            </w:hyperlink>
          </w:p>
        </w:tc>
        <w:tc>
          <w:tcPr>
            <w:tcW w:w="48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Borders>
              <w:bottom w:val="single" w:sz="8" w:color="0000EE"/>
            </w:tcBorders>
            <w:gridSpan w:val="6"/>
          </w:tcPr>
          <w:p>
            <w:pPr>
              <w:spacing w:after="0" w:line="183" w:lineRule="exact"/>
              <w:rPr>
                <w:rFonts w:ascii="Arial" w:cs="Arial" w:eastAsia="Arial" w:hAnsi="Arial"/>
                <w:sz w:val="16"/>
                <w:szCs w:val="16"/>
                <w:color w:val="0000FF"/>
                <w:w w:val="94"/>
              </w:rPr>
            </w:pPr>
            <w:hyperlink r:id="rId259">
              <w:r>
                <w:rPr>
                  <w:rFonts w:ascii="Arial" w:cs="Arial" w:eastAsia="Arial" w:hAnsi="Arial"/>
                  <w:sz w:val="16"/>
                  <w:szCs w:val="16"/>
                  <w:color w:val="0000FF"/>
                  <w:w w:val="94"/>
                </w:rPr>
                <w:t>Mining Technologies Inc.</w:t>
              </w:r>
            </w:hyperlink>
          </w:p>
        </w:tc>
        <w:tc>
          <w:tcPr>
            <w:tcW w:w="3420" w:type="dxa"/>
            <w:vAlign w:val="bottom"/>
            <w:gridSpan w:val="18"/>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900" w:type="dxa"/>
            <w:vAlign w:val="bottom"/>
          </w:tcPr>
          <w:p>
            <w:pPr>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24"/>
                <w:szCs w:val="24"/>
                <w:color w:val="auto"/>
              </w:rPr>
            </w:pPr>
          </w:p>
        </w:tc>
        <w:tc>
          <w:tcPr>
            <w:tcW w:w="4540" w:type="dxa"/>
            <w:vAlign w:val="bottom"/>
            <w:tcBorders>
              <w:bottom w:val="single" w:sz="8" w:color="0000FF"/>
            </w:tcBorders>
            <w:gridSpan w:val="14"/>
          </w:tcPr>
          <w:p>
            <w:pPr>
              <w:spacing w:after="0"/>
              <w:rPr>
                <w:rFonts w:ascii="Arial" w:cs="Arial" w:eastAsia="Arial" w:hAnsi="Arial"/>
                <w:sz w:val="16"/>
                <w:szCs w:val="16"/>
                <w:color w:val="0000FF"/>
                <w:w w:val="92"/>
              </w:rPr>
            </w:pPr>
            <w:hyperlink r:id="rId260">
              <w:r>
                <w:rPr>
                  <w:rFonts w:ascii="Arial" w:cs="Arial" w:eastAsia="Arial" w:hAnsi="Arial"/>
                  <w:sz w:val="16"/>
                  <w:szCs w:val="16"/>
                  <w:color w:val="0000FF"/>
                  <w:w w:val="92"/>
                </w:rPr>
                <w:t>Second Amended and Restated Certificate of Incorporation of Cipher</w:t>
              </w:r>
            </w:hyperlink>
          </w:p>
        </w:tc>
        <w:tc>
          <w:tcPr>
            <w:tcW w:w="580" w:type="dxa"/>
            <w:vAlign w:val="bottom"/>
            <w:gridSpan w:val="10"/>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360" w:type="dxa"/>
            <w:vAlign w:val="bottom"/>
            <w:gridSpan w:val="2"/>
          </w:tcPr>
          <w:p>
            <w:pPr>
              <w:jc w:val="center"/>
              <w:ind w:left="59"/>
              <w:spacing w:after="0"/>
              <w:rPr>
                <w:sz w:val="20"/>
                <w:szCs w:val="20"/>
                <w:color w:val="auto"/>
              </w:rPr>
            </w:pPr>
            <w:r>
              <w:rPr>
                <w:rFonts w:ascii="Arial" w:cs="Arial" w:eastAsia="Arial" w:hAnsi="Arial"/>
                <w:sz w:val="16"/>
                <w:szCs w:val="16"/>
                <w:color w:val="auto"/>
                <w:w w:val="91"/>
              </w:rPr>
              <w:t>001-39625</w:t>
            </w: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3.1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8/31/2021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gridSpan w:val="24"/>
          </w:tcPr>
          <w:p>
            <w:pPr>
              <w:spacing w:after="0" w:line="183" w:lineRule="exact"/>
              <w:rPr>
                <w:rFonts w:ascii="Arial" w:cs="Arial" w:eastAsia="Arial" w:hAnsi="Arial"/>
                <w:sz w:val="16"/>
                <w:szCs w:val="16"/>
                <w:color w:val="0000FF"/>
              </w:rPr>
            </w:pPr>
            <w:hyperlink r:id="rId260">
              <w:r>
                <w:rPr>
                  <w:rFonts w:ascii="Arial" w:cs="Arial" w:eastAsia="Arial" w:hAnsi="Arial"/>
                  <w:sz w:val="16"/>
                  <w:szCs w:val="16"/>
                  <w:color w:val="0000FF"/>
                </w:rPr>
                <w:t>Mining Inc.</w:t>
              </w:r>
            </w:hyperlink>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3500" w:type="dxa"/>
            <w:vAlign w:val="bottom"/>
            <w:tcBorders>
              <w:bottom w:val="single" w:sz="8" w:color="0000FF"/>
            </w:tcBorders>
            <w:gridSpan w:val="7"/>
          </w:tcPr>
          <w:p>
            <w:pPr>
              <w:spacing w:after="0"/>
              <w:rPr>
                <w:rFonts w:ascii="Arial" w:cs="Arial" w:eastAsia="Arial" w:hAnsi="Arial"/>
                <w:sz w:val="16"/>
                <w:szCs w:val="16"/>
                <w:color w:val="0000FF"/>
                <w:w w:val="92"/>
              </w:rPr>
            </w:pPr>
            <w:hyperlink r:id="rId261">
              <w:r>
                <w:rPr>
                  <w:rFonts w:ascii="Arial" w:cs="Arial" w:eastAsia="Arial" w:hAnsi="Arial"/>
                  <w:sz w:val="16"/>
                  <w:szCs w:val="16"/>
                  <w:color w:val="0000FF"/>
                  <w:w w:val="92"/>
                </w:rPr>
                <w:t>Amended and Restated Bylaws of Cipher Mining Inc.</w:t>
              </w:r>
            </w:hyperlink>
          </w:p>
        </w:tc>
        <w:tc>
          <w:tcPr>
            <w:tcW w:w="20" w:type="dxa"/>
            <w:vAlign w:val="bottom"/>
            <w:tcBorders>
              <w:bottom w:val="single" w:sz="8" w:color="0000EE"/>
            </w:tcBorders>
          </w:tcPr>
          <w:p>
            <w:pPr>
              <w:spacing w:after="0"/>
              <w:rPr>
                <w:sz w:val="18"/>
                <w:szCs w:val="18"/>
                <w:color w:val="auto"/>
              </w:rPr>
            </w:pPr>
          </w:p>
        </w:tc>
        <w:tc>
          <w:tcPr>
            <w:tcW w:w="1600" w:type="dxa"/>
            <w:vAlign w:val="bottom"/>
            <w:gridSpan w:val="16"/>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360" w:type="dxa"/>
            <w:vAlign w:val="bottom"/>
            <w:gridSpan w:val="2"/>
          </w:tcPr>
          <w:p>
            <w:pPr>
              <w:jc w:val="center"/>
              <w:ind w:left="59"/>
              <w:spacing w:after="0"/>
              <w:rPr>
                <w:sz w:val="20"/>
                <w:szCs w:val="20"/>
                <w:color w:val="auto"/>
              </w:rPr>
            </w:pPr>
            <w:r>
              <w:rPr>
                <w:rFonts w:ascii="Arial" w:cs="Arial" w:eastAsia="Arial" w:hAnsi="Arial"/>
                <w:sz w:val="16"/>
                <w:szCs w:val="16"/>
                <w:color w:val="auto"/>
                <w:w w:val="91"/>
              </w:rPr>
              <w:t>001-39625</w:t>
            </w: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3.2</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8/31/2021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8"/>
                <w:szCs w:val="18"/>
                <w:color w:val="auto"/>
              </w:rPr>
            </w:pPr>
          </w:p>
        </w:tc>
        <w:tc>
          <w:tcPr>
            <w:tcW w:w="4160" w:type="dxa"/>
            <w:vAlign w:val="bottom"/>
            <w:tcBorders>
              <w:bottom w:val="single" w:sz="8" w:color="0000FF"/>
            </w:tcBorders>
            <w:gridSpan w:val="11"/>
          </w:tcPr>
          <w:p>
            <w:pPr>
              <w:spacing w:after="0"/>
              <w:rPr>
                <w:rFonts w:ascii="Arial" w:cs="Arial" w:eastAsia="Arial" w:hAnsi="Arial"/>
                <w:sz w:val="16"/>
                <w:szCs w:val="16"/>
                <w:color w:val="0000FF"/>
                <w:w w:val="92"/>
              </w:rPr>
            </w:pPr>
            <w:hyperlink r:id="rId262">
              <w:r>
                <w:rPr>
                  <w:rFonts w:ascii="Arial" w:cs="Arial" w:eastAsia="Arial" w:hAnsi="Arial"/>
                  <w:sz w:val="16"/>
                  <w:szCs w:val="16"/>
                  <w:color w:val="0000FF"/>
                  <w:w w:val="92"/>
                </w:rPr>
                <w:t>Specimen Warrant Certificate of Good Works Acquisition Corp.</w:t>
              </w:r>
            </w:hyperlink>
          </w:p>
        </w:tc>
        <w:tc>
          <w:tcPr>
            <w:tcW w:w="20" w:type="dxa"/>
            <w:vAlign w:val="bottom"/>
            <w:tcBorders>
              <w:bottom w:val="single" w:sz="8" w:color="0000EE"/>
            </w:tcBorders>
          </w:tcPr>
          <w:p>
            <w:pPr>
              <w:spacing w:after="0"/>
              <w:rPr>
                <w:sz w:val="18"/>
                <w:szCs w:val="18"/>
                <w:color w:val="auto"/>
              </w:rPr>
            </w:pPr>
          </w:p>
        </w:tc>
        <w:tc>
          <w:tcPr>
            <w:tcW w:w="940" w:type="dxa"/>
            <w:vAlign w:val="bottom"/>
            <w:gridSpan w:val="12"/>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60" w:type="dxa"/>
            <w:vAlign w:val="bottom"/>
            <w:gridSpan w:val="2"/>
          </w:tcPr>
          <w:p>
            <w:pPr>
              <w:jc w:val="center"/>
              <w:ind w:left="59"/>
              <w:spacing w:after="0"/>
              <w:rPr>
                <w:sz w:val="20"/>
                <w:szCs w:val="20"/>
                <w:color w:val="auto"/>
              </w:rPr>
            </w:pPr>
            <w:r>
              <w:rPr>
                <w:rFonts w:ascii="Arial" w:cs="Arial" w:eastAsia="Arial" w:hAnsi="Arial"/>
                <w:sz w:val="16"/>
                <w:szCs w:val="16"/>
                <w:color w:val="auto"/>
                <w:w w:val="91"/>
              </w:rPr>
              <w:t>333-248333</w:t>
            </w: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4.3</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10/9/2020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8"/>
                <w:szCs w:val="18"/>
                <w:color w:val="auto"/>
              </w:rPr>
            </w:pPr>
          </w:p>
        </w:tc>
        <w:tc>
          <w:tcPr>
            <w:tcW w:w="4360" w:type="dxa"/>
            <w:vAlign w:val="bottom"/>
            <w:tcBorders>
              <w:bottom w:val="single" w:sz="8" w:color="0000FF"/>
            </w:tcBorders>
            <w:gridSpan w:val="13"/>
          </w:tcPr>
          <w:p>
            <w:pPr>
              <w:spacing w:after="0"/>
              <w:rPr>
                <w:rFonts w:ascii="Arial" w:cs="Arial" w:eastAsia="Arial" w:hAnsi="Arial"/>
                <w:sz w:val="16"/>
                <w:szCs w:val="16"/>
                <w:color w:val="0000FF"/>
                <w:w w:val="90"/>
              </w:rPr>
            </w:pPr>
            <w:hyperlink r:id="rId263">
              <w:r>
                <w:rPr>
                  <w:rFonts w:ascii="Arial" w:cs="Arial" w:eastAsia="Arial" w:hAnsi="Arial"/>
                  <w:sz w:val="16"/>
                  <w:szCs w:val="16"/>
                  <w:color w:val="0000FF"/>
                  <w:w w:val="90"/>
                </w:rPr>
                <w:t>Warrant Agreement, dated as of October 19, 2020, by and between</w:t>
              </w:r>
            </w:hyperlink>
          </w:p>
        </w:tc>
        <w:tc>
          <w:tcPr>
            <w:tcW w:w="760" w:type="dxa"/>
            <w:vAlign w:val="bottom"/>
            <w:gridSpan w:val="11"/>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360" w:type="dxa"/>
            <w:vAlign w:val="bottom"/>
            <w:gridSpan w:val="2"/>
          </w:tcPr>
          <w:p>
            <w:pPr>
              <w:jc w:val="center"/>
              <w:ind w:left="59"/>
              <w:spacing w:after="0"/>
              <w:rPr>
                <w:sz w:val="20"/>
                <w:szCs w:val="20"/>
                <w:color w:val="auto"/>
              </w:rPr>
            </w:pPr>
            <w:r>
              <w:rPr>
                <w:rFonts w:ascii="Arial" w:cs="Arial" w:eastAsia="Arial" w:hAnsi="Arial"/>
                <w:sz w:val="16"/>
                <w:szCs w:val="16"/>
                <w:color w:val="auto"/>
                <w:w w:val="91"/>
              </w:rPr>
              <w:t>001-39625</w:t>
            </w: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4.1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10/28/2020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40" w:type="dxa"/>
            <w:vAlign w:val="bottom"/>
            <w:tcBorders>
              <w:bottom w:val="single" w:sz="8" w:color="0000FF"/>
            </w:tcBorders>
            <w:gridSpan w:val="21"/>
          </w:tcPr>
          <w:p>
            <w:pPr>
              <w:spacing w:after="0" w:line="183" w:lineRule="exact"/>
              <w:rPr>
                <w:rFonts w:ascii="Arial" w:cs="Arial" w:eastAsia="Arial" w:hAnsi="Arial"/>
                <w:sz w:val="16"/>
                <w:szCs w:val="16"/>
                <w:color w:val="0000FF"/>
                <w:w w:val="93"/>
              </w:rPr>
            </w:pPr>
            <w:hyperlink r:id="rId263">
              <w:r>
                <w:rPr>
                  <w:rFonts w:ascii="Arial" w:cs="Arial" w:eastAsia="Arial" w:hAnsi="Arial"/>
                  <w:sz w:val="16"/>
                  <w:szCs w:val="16"/>
                  <w:color w:val="0000FF"/>
                  <w:w w:val="93"/>
                </w:rPr>
                <w:t>Continental Stock Transfer &amp; Trust Company and Good Works Acquisition</w:t>
              </w:r>
            </w:hyperlink>
          </w:p>
        </w:tc>
        <w:tc>
          <w:tcPr>
            <w:tcW w:w="18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bottom w:val="single" w:sz="8" w:color="0000EE"/>
            </w:tcBorders>
          </w:tcPr>
          <w:p>
            <w:pPr>
              <w:spacing w:after="0" w:line="183" w:lineRule="exact"/>
              <w:rPr>
                <w:rFonts w:ascii="Arial" w:cs="Arial" w:eastAsia="Arial" w:hAnsi="Arial"/>
                <w:sz w:val="16"/>
                <w:szCs w:val="16"/>
                <w:color w:val="0000FF"/>
                <w:w w:val="97"/>
              </w:rPr>
            </w:pPr>
            <w:hyperlink r:id="rId263">
              <w:r>
                <w:rPr>
                  <w:rFonts w:ascii="Arial" w:cs="Arial" w:eastAsia="Arial" w:hAnsi="Arial"/>
                  <w:sz w:val="16"/>
                  <w:szCs w:val="16"/>
                  <w:color w:val="0000FF"/>
                  <w:w w:val="97"/>
                </w:rPr>
                <w:t>Corp.</w:t>
              </w:r>
            </w:hyperlink>
          </w:p>
        </w:tc>
        <w:tc>
          <w:tcPr>
            <w:tcW w:w="4720" w:type="dxa"/>
            <w:vAlign w:val="bottom"/>
            <w:gridSpan w:val="23"/>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18"/>
                <w:szCs w:val="18"/>
                <w:color w:val="auto"/>
              </w:rPr>
            </w:pPr>
          </w:p>
        </w:tc>
        <w:tc>
          <w:tcPr>
            <w:tcW w:w="4760" w:type="dxa"/>
            <w:vAlign w:val="bottom"/>
            <w:tcBorders>
              <w:bottom w:val="single" w:sz="8" w:color="0000FF"/>
            </w:tcBorders>
            <w:gridSpan w:val="18"/>
          </w:tcPr>
          <w:p>
            <w:pPr>
              <w:spacing w:after="0"/>
              <w:rPr>
                <w:rFonts w:ascii="Arial" w:cs="Arial" w:eastAsia="Arial" w:hAnsi="Arial"/>
                <w:sz w:val="16"/>
                <w:szCs w:val="16"/>
                <w:color w:val="0000FF"/>
                <w:w w:val="91"/>
              </w:rPr>
            </w:pPr>
            <w:hyperlink r:id="rId264">
              <w:r>
                <w:rPr>
                  <w:rFonts w:ascii="Arial" w:cs="Arial" w:eastAsia="Arial" w:hAnsi="Arial"/>
                  <w:sz w:val="16"/>
                  <w:szCs w:val="16"/>
                  <w:color w:val="0000FF"/>
                  <w:w w:val="91"/>
                </w:rPr>
                <w:t>Fourth Amendment to the Power Purchase Agreement, dated August 23,</w:t>
              </w:r>
            </w:hyperlink>
          </w:p>
        </w:tc>
        <w:tc>
          <w:tcPr>
            <w:tcW w:w="360" w:type="dxa"/>
            <w:vAlign w:val="bottom"/>
            <w:gridSpan w:val="6"/>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360" w:type="dxa"/>
            <w:vAlign w:val="bottom"/>
            <w:gridSpan w:val="2"/>
          </w:tcPr>
          <w:p>
            <w:pPr>
              <w:jc w:val="center"/>
              <w:ind w:left="59"/>
              <w:spacing w:after="0"/>
              <w:rPr>
                <w:sz w:val="20"/>
                <w:szCs w:val="20"/>
                <w:color w:val="auto"/>
              </w:rPr>
            </w:pPr>
            <w:r>
              <w:rPr>
                <w:rFonts w:ascii="Arial" w:cs="Arial" w:eastAsia="Arial" w:hAnsi="Arial"/>
                <w:sz w:val="16"/>
                <w:szCs w:val="16"/>
                <w:color w:val="auto"/>
                <w:w w:val="91"/>
              </w:rPr>
              <w:t>001-39625</w:t>
            </w: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10.1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8/29/2023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40" w:type="dxa"/>
            <w:vAlign w:val="bottom"/>
            <w:tcBorders>
              <w:bottom w:val="single" w:sz="8" w:color="0000FF"/>
            </w:tcBorders>
            <w:gridSpan w:val="17"/>
          </w:tcPr>
          <w:p>
            <w:pPr>
              <w:spacing w:after="0" w:line="183" w:lineRule="exact"/>
              <w:rPr>
                <w:rFonts w:ascii="Arial" w:cs="Arial" w:eastAsia="Arial" w:hAnsi="Arial"/>
                <w:sz w:val="16"/>
                <w:szCs w:val="16"/>
                <w:color w:val="0000FF"/>
                <w:w w:val="92"/>
              </w:rPr>
            </w:pPr>
            <w:hyperlink r:id="rId264">
              <w:r>
                <w:rPr>
                  <w:rFonts w:ascii="Arial" w:cs="Arial" w:eastAsia="Arial" w:hAnsi="Arial"/>
                  <w:sz w:val="16"/>
                  <w:szCs w:val="16"/>
                  <w:color w:val="0000FF"/>
                  <w:w w:val="92"/>
                </w:rPr>
                <w:t>2023, by and between Luminant ET Services Company LLC and Cipher</w:t>
              </w:r>
            </w:hyperlink>
          </w:p>
        </w:tc>
        <w:tc>
          <w:tcPr>
            <w:tcW w:w="380" w:type="dxa"/>
            <w:vAlign w:val="bottom"/>
            <w:gridSpan w:val="7"/>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gridSpan w:val="24"/>
          </w:tcPr>
          <w:p>
            <w:pPr>
              <w:spacing w:after="0" w:line="183" w:lineRule="exact"/>
              <w:rPr>
                <w:rFonts w:ascii="Arial" w:cs="Arial" w:eastAsia="Arial" w:hAnsi="Arial"/>
                <w:sz w:val="16"/>
                <w:szCs w:val="16"/>
                <w:color w:val="0000FF"/>
              </w:rPr>
            </w:pPr>
            <w:hyperlink r:id="rId264">
              <w:r>
                <w:rPr>
                  <w:rFonts w:ascii="Arial" w:cs="Arial" w:eastAsia="Arial" w:hAnsi="Arial"/>
                  <w:sz w:val="16"/>
                  <w:szCs w:val="16"/>
                  <w:color w:val="0000FF"/>
                </w:rPr>
                <w:t>Mining Technologies Inc.</w:t>
              </w:r>
            </w:hyperlink>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8"/>
                <w:szCs w:val="18"/>
                <w:color w:val="auto"/>
              </w:rPr>
            </w:pPr>
          </w:p>
        </w:tc>
        <w:tc>
          <w:tcPr>
            <w:tcW w:w="4980" w:type="dxa"/>
            <w:vAlign w:val="bottom"/>
            <w:tcBorders>
              <w:bottom w:val="single" w:sz="8" w:color="0000FF"/>
            </w:tcBorders>
            <w:gridSpan w:val="23"/>
          </w:tcPr>
          <w:p>
            <w:pPr>
              <w:spacing w:after="0"/>
              <w:rPr>
                <w:rFonts w:ascii="Arial" w:cs="Arial" w:eastAsia="Arial" w:hAnsi="Arial"/>
                <w:sz w:val="16"/>
                <w:szCs w:val="16"/>
                <w:color w:val="0000FF"/>
                <w:w w:val="90"/>
              </w:rPr>
            </w:pPr>
            <w:hyperlink r:id="rId265">
              <w:r>
                <w:rPr>
                  <w:rFonts w:ascii="Arial" w:cs="Arial" w:eastAsia="Arial" w:hAnsi="Arial"/>
                  <w:sz w:val="16"/>
                  <w:szCs w:val="16"/>
                  <w:color w:val="0000FF"/>
                  <w:w w:val="90"/>
                </w:rPr>
                <w:t>Second Amendment to the Lease Agreement, dated August 23, 2023, by and</w:t>
              </w:r>
            </w:hyperlink>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360" w:type="dxa"/>
            <w:vAlign w:val="bottom"/>
            <w:gridSpan w:val="2"/>
          </w:tcPr>
          <w:p>
            <w:pPr>
              <w:jc w:val="center"/>
              <w:ind w:left="59"/>
              <w:spacing w:after="0"/>
              <w:rPr>
                <w:sz w:val="20"/>
                <w:szCs w:val="20"/>
                <w:color w:val="auto"/>
              </w:rPr>
            </w:pPr>
            <w:r>
              <w:rPr>
                <w:rFonts w:ascii="Arial" w:cs="Arial" w:eastAsia="Arial" w:hAnsi="Arial"/>
                <w:sz w:val="16"/>
                <w:szCs w:val="16"/>
                <w:color w:val="auto"/>
                <w:w w:val="91"/>
              </w:rPr>
              <w:t>001-39625</w:t>
            </w: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10.2</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8/29/2023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20" w:type="dxa"/>
            <w:vAlign w:val="bottom"/>
            <w:tcBorders>
              <w:bottom w:val="single" w:sz="8" w:color="0000EE"/>
            </w:tcBorders>
            <w:gridSpan w:val="15"/>
          </w:tcPr>
          <w:p>
            <w:pPr>
              <w:spacing w:after="0" w:line="183" w:lineRule="exact"/>
              <w:rPr>
                <w:rFonts w:ascii="Arial" w:cs="Arial" w:eastAsia="Arial" w:hAnsi="Arial"/>
                <w:sz w:val="16"/>
                <w:szCs w:val="16"/>
                <w:color w:val="0000FF"/>
                <w:w w:val="93"/>
              </w:rPr>
            </w:pPr>
            <w:hyperlink r:id="rId265">
              <w:r>
                <w:rPr>
                  <w:rFonts w:ascii="Arial" w:cs="Arial" w:eastAsia="Arial" w:hAnsi="Arial"/>
                  <w:sz w:val="16"/>
                  <w:szCs w:val="16"/>
                  <w:color w:val="0000FF"/>
                  <w:w w:val="93"/>
                </w:rPr>
                <w:t>between an affiliate of Luminant and Cipher Mining Technologies Inc.</w:t>
              </w:r>
            </w:hyperlink>
          </w:p>
        </w:tc>
        <w:tc>
          <w:tcPr>
            <w:tcW w:w="50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18"/>
                <w:szCs w:val="18"/>
                <w:color w:val="auto"/>
              </w:rPr>
            </w:pPr>
          </w:p>
        </w:tc>
        <w:tc>
          <w:tcPr>
            <w:tcW w:w="374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5"/>
              </w:rPr>
              <w:t>Certification of Chief Executive Officer pursuant to Rule</w:t>
            </w:r>
          </w:p>
        </w:tc>
        <w:tc>
          <w:tcPr>
            <w:tcW w:w="1380" w:type="dxa"/>
            <w:vAlign w:val="bottom"/>
            <w:gridSpan w:val="14"/>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bottom w:val="single" w:sz="8" w:color="0000FF"/>
            </w:tcBorders>
            <w:gridSpan w:val="3"/>
          </w:tcPr>
          <w:p>
            <w:pPr>
              <w:spacing w:after="0" w:line="183" w:lineRule="exact"/>
              <w:rPr>
                <w:sz w:val="20"/>
                <w:szCs w:val="20"/>
                <w:color w:val="auto"/>
              </w:rPr>
            </w:pPr>
            <w:r>
              <w:rPr>
                <w:rFonts w:ascii="Arial" w:cs="Arial" w:eastAsia="Arial" w:hAnsi="Arial"/>
                <w:sz w:val="16"/>
                <w:szCs w:val="16"/>
                <w:color w:val="0000FF"/>
                <w:w w:val="91"/>
              </w:rPr>
              <w:t>13a</w:t>
            </w:r>
            <w:r>
              <w:rPr>
                <w:rFonts w:ascii="MS PGothic" w:cs="MS PGothic" w:eastAsia="MS PGothic" w:hAnsi="MS PGothic"/>
                <w:sz w:val="16"/>
                <w:szCs w:val="16"/>
                <w:color w:val="0000FF"/>
                <w:w w:val="91"/>
              </w:rPr>
              <w:t>‑</w:t>
            </w:r>
            <w:r>
              <w:rPr>
                <w:rFonts w:ascii="Arial" w:cs="Arial" w:eastAsia="Arial" w:hAnsi="Arial"/>
                <w:sz w:val="16"/>
                <w:szCs w:val="16"/>
                <w:color w:val="0000FF"/>
                <w:w w:val="91"/>
              </w:rPr>
              <w:t>14(a)/15d</w:t>
            </w:r>
            <w:r>
              <w:rPr>
                <w:rFonts w:ascii="MS PGothic" w:cs="MS PGothic" w:eastAsia="MS PGothic" w:hAnsi="MS PGothic"/>
                <w:sz w:val="16"/>
                <w:szCs w:val="16"/>
                <w:color w:val="0000FF"/>
                <w:w w:val="91"/>
              </w:rPr>
              <w:t>‑</w:t>
            </w:r>
            <w:r>
              <w:rPr>
                <w:rFonts w:ascii="Arial" w:cs="Arial" w:eastAsia="Arial" w:hAnsi="Arial"/>
                <w:sz w:val="16"/>
                <w:szCs w:val="16"/>
                <w:color w:val="0000FF"/>
                <w:w w:val="91"/>
              </w:rPr>
              <w:t>14(a).</w:t>
            </w:r>
          </w:p>
        </w:tc>
        <w:tc>
          <w:tcPr>
            <w:tcW w:w="20" w:type="dxa"/>
            <w:vAlign w:val="bottom"/>
            <w:tcBorders>
              <w:bottom w:val="single" w:sz="8" w:color="0000EE"/>
            </w:tcBorders>
          </w:tcPr>
          <w:p>
            <w:pPr>
              <w:spacing w:after="0"/>
              <w:rPr>
                <w:sz w:val="15"/>
                <w:szCs w:val="15"/>
                <w:color w:val="auto"/>
              </w:rPr>
            </w:pPr>
          </w:p>
        </w:tc>
        <w:tc>
          <w:tcPr>
            <w:tcW w:w="3740" w:type="dxa"/>
            <w:vAlign w:val="bottom"/>
            <w:gridSpan w:val="20"/>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18"/>
                <w:szCs w:val="18"/>
                <w:color w:val="auto"/>
              </w:rPr>
            </w:pPr>
          </w:p>
        </w:tc>
        <w:tc>
          <w:tcPr>
            <w:tcW w:w="37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5"/>
              </w:rPr>
              <w:t>Certification of Chief Financial Officer pursuant to Rule</w:t>
            </w:r>
          </w:p>
        </w:tc>
        <w:tc>
          <w:tcPr>
            <w:tcW w:w="1420" w:type="dxa"/>
            <w:vAlign w:val="bottom"/>
            <w:gridSpan w:val="15"/>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bottom w:val="single" w:sz="8" w:color="0000FF"/>
            </w:tcBorders>
            <w:gridSpan w:val="3"/>
          </w:tcPr>
          <w:p>
            <w:pPr>
              <w:spacing w:after="0" w:line="183" w:lineRule="exact"/>
              <w:rPr>
                <w:sz w:val="20"/>
                <w:szCs w:val="20"/>
                <w:color w:val="auto"/>
              </w:rPr>
            </w:pPr>
            <w:r>
              <w:rPr>
                <w:rFonts w:ascii="Arial" w:cs="Arial" w:eastAsia="Arial" w:hAnsi="Arial"/>
                <w:sz w:val="16"/>
                <w:szCs w:val="16"/>
                <w:color w:val="0000FF"/>
                <w:w w:val="91"/>
              </w:rPr>
              <w:t>13a</w:t>
            </w:r>
            <w:r>
              <w:rPr>
                <w:rFonts w:ascii="MS PGothic" w:cs="MS PGothic" w:eastAsia="MS PGothic" w:hAnsi="MS PGothic"/>
                <w:sz w:val="16"/>
                <w:szCs w:val="16"/>
                <w:color w:val="0000FF"/>
                <w:w w:val="91"/>
              </w:rPr>
              <w:t>‑</w:t>
            </w:r>
            <w:r>
              <w:rPr>
                <w:rFonts w:ascii="Arial" w:cs="Arial" w:eastAsia="Arial" w:hAnsi="Arial"/>
                <w:sz w:val="16"/>
                <w:szCs w:val="16"/>
                <w:color w:val="0000FF"/>
                <w:w w:val="91"/>
              </w:rPr>
              <w:t>14(a)/15d</w:t>
            </w:r>
            <w:r>
              <w:rPr>
                <w:rFonts w:ascii="MS PGothic" w:cs="MS PGothic" w:eastAsia="MS PGothic" w:hAnsi="MS PGothic"/>
                <w:sz w:val="16"/>
                <w:szCs w:val="16"/>
                <w:color w:val="0000FF"/>
                <w:w w:val="91"/>
              </w:rPr>
              <w:t>‑</w:t>
            </w:r>
            <w:r>
              <w:rPr>
                <w:rFonts w:ascii="Arial" w:cs="Arial" w:eastAsia="Arial" w:hAnsi="Arial"/>
                <w:sz w:val="16"/>
                <w:szCs w:val="16"/>
                <w:color w:val="0000FF"/>
                <w:w w:val="91"/>
              </w:rPr>
              <w:t>14(a).</w:t>
            </w:r>
          </w:p>
        </w:tc>
        <w:tc>
          <w:tcPr>
            <w:tcW w:w="20" w:type="dxa"/>
            <w:vAlign w:val="bottom"/>
            <w:tcBorders>
              <w:bottom w:val="single" w:sz="8" w:color="0000EE"/>
            </w:tcBorders>
          </w:tcPr>
          <w:p>
            <w:pPr>
              <w:spacing w:after="0"/>
              <w:rPr>
                <w:sz w:val="15"/>
                <w:szCs w:val="15"/>
                <w:color w:val="auto"/>
              </w:rPr>
            </w:pPr>
          </w:p>
        </w:tc>
        <w:tc>
          <w:tcPr>
            <w:tcW w:w="3740" w:type="dxa"/>
            <w:vAlign w:val="bottom"/>
            <w:gridSpan w:val="20"/>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18"/>
                <w:szCs w:val="18"/>
                <w:color w:val="auto"/>
              </w:rPr>
            </w:pPr>
          </w:p>
        </w:tc>
        <w:tc>
          <w:tcPr>
            <w:tcW w:w="5120" w:type="dxa"/>
            <w:vAlign w:val="bottom"/>
            <w:gridSpan w:val="24"/>
          </w:tcPr>
          <w:p>
            <w:pPr>
              <w:spacing w:after="0"/>
              <w:rPr>
                <w:sz w:val="20"/>
                <w:szCs w:val="20"/>
                <w:color w:val="auto"/>
              </w:rPr>
            </w:pPr>
            <w:r>
              <w:rPr>
                <w:rFonts w:ascii="Arial" w:cs="Arial" w:eastAsia="Arial" w:hAnsi="Arial"/>
                <w:sz w:val="16"/>
                <w:szCs w:val="16"/>
                <w:color w:val="0000FF"/>
                <w:w w:val="96"/>
              </w:rPr>
              <w:t>Certification of Chief Executive Officer pursuant to 18 U.S.C. Section 1350.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18"/>
                <w:szCs w:val="18"/>
                <w:color w:val="auto"/>
              </w:rPr>
            </w:pPr>
          </w:p>
        </w:tc>
        <w:tc>
          <w:tcPr>
            <w:tcW w:w="4960" w:type="dxa"/>
            <w:vAlign w:val="bottom"/>
            <w:tcBorders>
              <w:top w:val="single" w:sz="8" w:color="0000FF"/>
            </w:tcBorders>
            <w:gridSpan w:val="22"/>
          </w:tcPr>
          <w:p>
            <w:pPr>
              <w:spacing w:after="0"/>
              <w:rPr>
                <w:sz w:val="20"/>
                <w:szCs w:val="20"/>
                <w:color w:val="auto"/>
              </w:rPr>
            </w:pPr>
            <w:r>
              <w:rPr>
                <w:rFonts w:ascii="Arial" w:cs="Arial" w:eastAsia="Arial" w:hAnsi="Arial"/>
                <w:sz w:val="16"/>
                <w:szCs w:val="16"/>
                <w:color w:val="0000FF"/>
                <w:w w:val="94"/>
              </w:rPr>
              <w:t>Certification of Chief Financial Officer pursuant to 18 U.S.C. Section 1350.</w:t>
            </w:r>
          </w:p>
        </w:tc>
        <w:tc>
          <w:tcPr>
            <w:tcW w:w="16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900" w:type="dxa"/>
            <w:vAlign w:val="bottom"/>
          </w:tcPr>
          <w:p>
            <w:pPr>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0"/>
                <w:szCs w:val="20"/>
                <w:color w:val="auto"/>
              </w:rPr>
            </w:pPr>
          </w:p>
        </w:tc>
        <w:tc>
          <w:tcPr>
            <w:tcW w:w="4920" w:type="dxa"/>
            <w:vAlign w:val="bottom"/>
            <w:tcBorders>
              <w:top w:val="single" w:sz="8" w:color="0000FF"/>
            </w:tcBorders>
            <w:gridSpan w:val="20"/>
          </w:tcPr>
          <w:p>
            <w:pPr>
              <w:spacing w:after="0"/>
              <w:rPr>
                <w:sz w:val="20"/>
                <w:szCs w:val="20"/>
                <w:color w:val="auto"/>
              </w:rPr>
            </w:pPr>
            <w:r>
              <w:rPr>
                <w:rFonts w:ascii="Arial" w:cs="Arial" w:eastAsia="Arial" w:hAnsi="Arial"/>
                <w:sz w:val="16"/>
                <w:szCs w:val="16"/>
                <w:color w:val="auto"/>
                <w:w w:val="93"/>
              </w:rPr>
              <w:t>Inline XBRL Instance Document – the instance document does not appear</w:t>
            </w:r>
          </w:p>
        </w:tc>
        <w:tc>
          <w:tcPr>
            <w:tcW w:w="200" w:type="dxa"/>
            <w:vAlign w:val="bottom"/>
            <w:gridSpan w:val="4"/>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gridSpan w:val="2"/>
          </w:tcPr>
          <w:p>
            <w:pPr>
              <w:jc w:val="center"/>
              <w:ind w:lef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24"/>
          </w:tcPr>
          <w:p>
            <w:pPr>
              <w:spacing w:after="0"/>
              <w:rPr>
                <w:sz w:val="20"/>
                <w:szCs w:val="20"/>
                <w:color w:val="auto"/>
              </w:rPr>
            </w:pPr>
            <w:r>
              <w:rPr>
                <w:rFonts w:ascii="Arial" w:cs="Arial" w:eastAsia="Arial" w:hAnsi="Arial"/>
                <w:sz w:val="16"/>
                <w:szCs w:val="16"/>
                <w:color w:val="auto"/>
                <w:w w:val="95"/>
              </w:rPr>
              <w:t>in the Interactive Data File because its XBRL tags are embedded within the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24"/>
          </w:tcPr>
          <w:p>
            <w:pPr>
              <w:spacing w:after="0"/>
              <w:rPr>
                <w:sz w:val="20"/>
                <w:szCs w:val="20"/>
                <w:color w:val="auto"/>
              </w:rPr>
            </w:pPr>
            <w:r>
              <w:rPr>
                <w:rFonts w:ascii="Arial" w:cs="Arial" w:eastAsia="Arial" w:hAnsi="Arial"/>
                <w:sz w:val="16"/>
                <w:szCs w:val="16"/>
                <w:color w:val="auto"/>
              </w:rPr>
              <w:t>Inline XBRL document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19"/>
                <w:szCs w:val="19"/>
                <w:color w:val="auto"/>
              </w:rPr>
            </w:pPr>
          </w:p>
        </w:tc>
        <w:tc>
          <w:tcPr>
            <w:tcW w:w="5120" w:type="dxa"/>
            <w:vAlign w:val="bottom"/>
            <w:gridSpan w:val="24"/>
          </w:tcPr>
          <w:p>
            <w:pPr>
              <w:spacing w:after="0"/>
              <w:rPr>
                <w:sz w:val="20"/>
                <w:szCs w:val="20"/>
                <w:color w:val="auto"/>
              </w:rPr>
            </w:pPr>
            <w:r>
              <w:rPr>
                <w:rFonts w:ascii="Arial" w:cs="Arial" w:eastAsia="Arial" w:hAnsi="Arial"/>
                <w:sz w:val="16"/>
                <w:szCs w:val="16"/>
                <w:color w:val="auto"/>
              </w:rPr>
              <w:t>Inline XBRL Taxonomy Extension Schema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6"/>
                <w:szCs w:val="16"/>
                <w:color w:val="auto"/>
              </w:rPr>
              <w:t>101.CAL</w:t>
            </w:r>
          </w:p>
        </w:tc>
        <w:tc>
          <w:tcPr>
            <w:tcW w:w="140" w:type="dxa"/>
            <w:vAlign w:val="bottom"/>
          </w:tcPr>
          <w:p>
            <w:pPr>
              <w:spacing w:after="0"/>
              <w:rPr>
                <w:sz w:val="19"/>
                <w:szCs w:val="19"/>
                <w:color w:val="auto"/>
              </w:rPr>
            </w:pPr>
          </w:p>
        </w:tc>
        <w:tc>
          <w:tcPr>
            <w:tcW w:w="5120" w:type="dxa"/>
            <w:vAlign w:val="bottom"/>
            <w:gridSpan w:val="24"/>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6"/>
                <w:szCs w:val="16"/>
                <w:color w:val="auto"/>
              </w:rPr>
              <w:t>101.DEF</w:t>
            </w:r>
          </w:p>
        </w:tc>
        <w:tc>
          <w:tcPr>
            <w:tcW w:w="140" w:type="dxa"/>
            <w:vAlign w:val="bottom"/>
          </w:tcPr>
          <w:p>
            <w:pPr>
              <w:spacing w:after="0"/>
              <w:rPr>
                <w:sz w:val="19"/>
                <w:szCs w:val="19"/>
                <w:color w:val="auto"/>
              </w:rPr>
            </w:pPr>
          </w:p>
        </w:tc>
        <w:tc>
          <w:tcPr>
            <w:tcW w:w="5120" w:type="dxa"/>
            <w:vAlign w:val="bottom"/>
            <w:gridSpan w:val="24"/>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6"/>
                <w:szCs w:val="16"/>
                <w:color w:val="auto"/>
              </w:rPr>
              <w:t>101.LAB</w:t>
            </w:r>
          </w:p>
        </w:tc>
        <w:tc>
          <w:tcPr>
            <w:tcW w:w="140" w:type="dxa"/>
            <w:vAlign w:val="bottom"/>
          </w:tcPr>
          <w:p>
            <w:pPr>
              <w:spacing w:after="0"/>
              <w:rPr>
                <w:sz w:val="19"/>
                <w:szCs w:val="19"/>
                <w:color w:val="auto"/>
              </w:rPr>
            </w:pPr>
          </w:p>
        </w:tc>
        <w:tc>
          <w:tcPr>
            <w:tcW w:w="5120" w:type="dxa"/>
            <w:vAlign w:val="bottom"/>
            <w:gridSpan w:val="24"/>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6"/>
                <w:szCs w:val="16"/>
                <w:color w:val="auto"/>
              </w:rPr>
              <w:t>101.PRE</w:t>
            </w:r>
          </w:p>
        </w:tc>
        <w:tc>
          <w:tcPr>
            <w:tcW w:w="140" w:type="dxa"/>
            <w:vAlign w:val="bottom"/>
          </w:tcPr>
          <w:p>
            <w:pPr>
              <w:spacing w:after="0"/>
              <w:rPr>
                <w:sz w:val="19"/>
                <w:szCs w:val="19"/>
                <w:color w:val="auto"/>
              </w:rPr>
            </w:pPr>
          </w:p>
        </w:tc>
        <w:tc>
          <w:tcPr>
            <w:tcW w:w="5120" w:type="dxa"/>
            <w:vAlign w:val="bottom"/>
            <w:gridSpan w:val="24"/>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9"/>
                <w:szCs w:val="19"/>
                <w:color w:val="auto"/>
              </w:rPr>
            </w:pPr>
          </w:p>
        </w:tc>
        <w:tc>
          <w:tcPr>
            <w:tcW w:w="5120" w:type="dxa"/>
            <w:vAlign w:val="bottom"/>
            <w:gridSpan w:val="24"/>
          </w:tcPr>
          <w:p>
            <w:pPr>
              <w:spacing w:after="0"/>
              <w:rPr>
                <w:sz w:val="20"/>
                <w:szCs w:val="20"/>
                <w:color w:val="auto"/>
              </w:rPr>
            </w:pPr>
            <w:r>
              <w:rPr>
                <w:rFonts w:ascii="Arial" w:cs="Arial" w:eastAsia="Arial" w:hAnsi="Arial"/>
                <w:sz w:val="16"/>
                <w:szCs w:val="16"/>
                <w:color w:val="auto"/>
                <w:w w:val="97"/>
              </w:rPr>
              <w:t>Cover Page Interactive Data File (formatted as Inline XBRL and contained</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24"/>
          </w:tcPr>
          <w:p>
            <w:pPr>
              <w:spacing w:after="0"/>
              <w:rPr>
                <w:sz w:val="20"/>
                <w:szCs w:val="20"/>
                <w:color w:val="auto"/>
              </w:rPr>
            </w:pPr>
            <w:r>
              <w:rPr>
                <w:rFonts w:ascii="Arial" w:cs="Arial" w:eastAsia="Arial" w:hAnsi="Arial"/>
                <w:sz w:val="16"/>
                <w:szCs w:val="16"/>
                <w:color w:val="auto"/>
              </w:rPr>
              <w:t>in Exhibit 101)</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9512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4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right="160" w:firstLine="8"/>
        <w:spacing w:after="0" w:line="260" w:lineRule="auto"/>
        <w:tabs>
          <w:tab w:leader="none" w:pos="4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1" w:name="page42"/>
    <w:bookmarkEnd w:id="41"/>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CIPHER MINING INC.</w:t>
      </w:r>
    </w:p>
    <w:p>
      <w:pPr>
        <w:spacing w:after="0" w:line="252" w:lineRule="exact"/>
        <w:rPr>
          <w:sz w:val="20"/>
          <w:szCs w:val="20"/>
          <w:color w:val="auto"/>
        </w:rPr>
      </w:pPr>
    </w:p>
    <w:p>
      <w:pPr>
        <w:ind w:left="20"/>
        <w:spacing w:after="0"/>
        <w:tabs>
          <w:tab w:leader="none" w:pos="4920" w:val="left"/>
          <w:tab w:leader="none" w:pos="778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23495</wp:posOffset>
            </wp:positionV>
            <wp:extent cx="37376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Tyler Page</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96" w:lineRule="exact"/>
        <w:rPr>
          <w:sz w:val="20"/>
          <w:szCs w:val="20"/>
          <w:color w:val="auto"/>
        </w:rPr>
      </w:pPr>
    </w:p>
    <w:p>
      <w:pPr>
        <w:ind w:left="20"/>
        <w:spacing w:after="0"/>
        <w:tabs>
          <w:tab w:leader="none" w:pos="4920" w:val="left"/>
          <w:tab w:leader="none" w:pos="762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6"/>
          <w:szCs w:val="16"/>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-8890</wp:posOffset>
            </wp:positionV>
            <wp:extent cx="373761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jc w:val="center"/>
        <w:ind w:left="5340"/>
        <w:spacing w:after="0"/>
        <w:rPr>
          <w:sz w:val="20"/>
          <w:szCs w:val="20"/>
          <w:color w:val="auto"/>
        </w:rPr>
      </w:pPr>
      <w:r>
        <w:rPr>
          <w:rFonts w:ascii="Arial" w:cs="Arial" w:eastAsia="Arial" w:hAnsi="Arial"/>
          <w:sz w:val="18"/>
          <w:szCs w:val="18"/>
          <w:b w:val="1"/>
          <w:bCs w:val="1"/>
          <w:color w:val="auto"/>
        </w:rPr>
        <w:t>Edward Farrell</w:t>
      </w:r>
    </w:p>
    <w:p>
      <w:pPr>
        <w:spacing w:after="0" w:line="7"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53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7" w:right="7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Tyler Page, certify that:</w:t>
      </w:r>
    </w:p>
    <w:p>
      <w:pPr>
        <w:spacing w:after="0" w:line="22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Cipher Mining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80" w:val="left"/>
          <w:tab w:leader="none" w:pos="812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Tyler Page</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Edward Farrell,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Cipher Mining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80" w:val="left"/>
          <w:tab w:leader="none" w:pos="796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Edward Farrell</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of Cipher Mining Inc. (the “Company”) on Form 10-Q for the period ended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5680" w:val="left"/>
          <w:tab w:leader="none" w:pos="812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Tyler Page</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of Cipher Mining Inc. (the “Company”) on Form 10-Q for the period ended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5680" w:val="left"/>
          <w:tab w:leader="none" w:pos="796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Edward Farrell</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
      <w:numFmt w:val="bullet"/>
      <w:start w:val="1"/>
    </w:lvl>
    <w:lvl w:ilvl="1">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59" Type="http://schemas.openxmlformats.org/officeDocument/2006/relationships/hyperlink" Target="https://www.sec.gov/Archives/edgar/data/0001819989/000121390021013594/ea136931ex2-1_goodworks.htm" TargetMode="External"/><Relationship Id="rId260" Type="http://schemas.openxmlformats.org/officeDocument/2006/relationships/hyperlink" Target="https://www.sec.gov/Archives/edgar/data/0001819989/000119312521260900/d212090dex31.htm" TargetMode="External"/><Relationship Id="rId261" Type="http://schemas.openxmlformats.org/officeDocument/2006/relationships/hyperlink" Target="https://www.sec.gov/Archives/edgar/data/0001819989/000119312521260900/d212090dex32.htm" TargetMode="External"/><Relationship Id="rId262" Type="http://schemas.openxmlformats.org/officeDocument/2006/relationships/hyperlink" Target="https://www.sec.gov/Archives/edgar/data/0001819989/000121390020030737/ea128022ex4-3_goodworks.htm" TargetMode="External"/><Relationship Id="rId263" Type="http://schemas.openxmlformats.org/officeDocument/2006/relationships/hyperlink" Target="https://www.sec.gov/Archives/edgar/data/0001819989/000121390020033703/ea128955ex4-1_goodworksacq.htm" TargetMode="External"/><Relationship Id="rId264" Type="http://schemas.openxmlformats.org/officeDocument/2006/relationships/hyperlink" Target="https://www.sec.gov/Archives/edgar/data/1819989/000095017023045092/cifr-ex10_1.htm" TargetMode="External"/><Relationship Id="rId265" Type="http://schemas.openxmlformats.org/officeDocument/2006/relationships/hyperlink" Target="https://www.sec.gov/Archives/edgar/data/1819989/000095017023045092/cifr-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2023-11-08T08:33:24Z</dcterms:created>
  <dcterms:modified xsi:type="dcterms:W3CDTF">2023-11-08T08:33:24Z</dcterms:modified>
</cp:coreProperties>
</file>