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color w:val="auto"/>
        </w:rPr>
        <w:t>__________________________________________________</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40"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color w:val="auto"/>
        </w:rPr>
        <w:t>__________________________________________________</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69" w:lineRule="exact"/>
        <w:rPr>
          <w:sz w:val="24"/>
          <w:szCs w:val="24"/>
          <w:color w:val="auto"/>
        </w:rPr>
      </w:pPr>
    </w:p>
    <w:p>
      <w:pPr>
        <w:ind w:left="440" w:hanging="414"/>
        <w:spacing w:after="0"/>
        <w:tabs>
          <w:tab w:leader="none" w:pos="440" w:val="left"/>
        </w:tabs>
        <w:numPr>
          <w:ilvl w:val="0"/>
          <w:numId w:val="1"/>
        </w:numPr>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2025</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55" w:lineRule="exact"/>
        <w:rPr>
          <w:sz w:val="24"/>
          <w:szCs w:val="24"/>
          <w:color w:val="auto"/>
        </w:rPr>
      </w:pPr>
    </w:p>
    <w:p>
      <w:pPr>
        <w:ind w:left="4000" w:right="3480" w:hanging="3974"/>
        <w:spacing w:after="0" w:line="542" w:lineRule="auto"/>
        <w:tabs>
          <w:tab w:leader="none" w:pos="426" w:val="left"/>
        </w:tabs>
        <w:numPr>
          <w:ilvl w:val="0"/>
          <w:numId w:val="2"/>
        </w:numPr>
        <w:rPr>
          <w:rFonts w:ascii="Wingdings" w:cs="Wingdings" w:eastAsia="Wingdings" w:hAnsi="Wingdings"/>
          <w:sz w:val="16"/>
          <w:szCs w:val="16"/>
          <w:b w:val="1"/>
          <w:bCs w:val="1"/>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________to ________.</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001-39625</w:t>
      </w:r>
    </w:p>
    <w:p>
      <w:pPr>
        <w:spacing w:after="0" w:line="28"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color w:val="auto"/>
        </w:rPr>
        <w:t>__________________________________________________</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Cipher Digital Inc.</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1"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color w:val="auto"/>
        </w:rPr>
        <w:t>__________________________________________________</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960" w:type="dxa"/>
            <w:vAlign w:val="bottom"/>
            <w:gridSpan w:val="2"/>
          </w:tcPr>
          <w:p>
            <w:pPr>
              <w:jc w:val="center"/>
              <w:ind w:left="586"/>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360" w:type="dxa"/>
            <w:vAlign w:val="bottom"/>
          </w:tcPr>
          <w:p>
            <w:pPr>
              <w:jc w:val="right"/>
              <w:ind w:right="2349"/>
              <w:spacing w:after="0"/>
              <w:rPr>
                <w:sz w:val="20"/>
                <w:szCs w:val="20"/>
                <w:color w:val="auto"/>
              </w:rPr>
            </w:pPr>
            <w:r>
              <w:rPr>
                <w:rFonts w:ascii="Times New Roman" w:cs="Times New Roman" w:eastAsia="Times New Roman" w:hAnsi="Times New Roman"/>
                <w:sz w:val="16"/>
                <w:szCs w:val="16"/>
                <w:b w:val="1"/>
                <w:bCs w:val="1"/>
                <w:color w:val="auto"/>
              </w:rPr>
              <w:t>85-1614529</w:t>
            </w:r>
          </w:p>
        </w:tc>
      </w:tr>
      <w:tr>
        <w:trPr>
          <w:trHeight w:val="175"/>
        </w:trPr>
        <w:tc>
          <w:tcPr>
            <w:tcW w:w="4960" w:type="dxa"/>
            <w:vAlign w:val="bottom"/>
            <w:gridSpan w:val="2"/>
          </w:tcPr>
          <w:p>
            <w:pPr>
              <w:jc w:val="center"/>
              <w:ind w:left="586"/>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360" w:type="dxa"/>
            <w:vAlign w:val="bottom"/>
          </w:tcPr>
          <w:p>
            <w:pPr>
              <w:jc w:val="center"/>
              <w:ind w:right="2189"/>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4960" w:type="dxa"/>
            <w:vAlign w:val="bottom"/>
            <w:gridSpan w:val="2"/>
          </w:tcPr>
          <w:p>
            <w:pPr>
              <w:jc w:val="center"/>
              <w:ind w:left="606"/>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360" w:type="dxa"/>
            <w:vAlign w:val="bottom"/>
          </w:tcPr>
          <w:p>
            <w:pPr>
              <w:jc w:val="center"/>
              <w:ind w:right="2189"/>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30"/>
        </w:trPr>
        <w:tc>
          <w:tcPr>
            <w:tcW w:w="4960" w:type="dxa"/>
            <w:vAlign w:val="bottom"/>
            <w:gridSpan w:val="2"/>
          </w:tcPr>
          <w:p>
            <w:pPr>
              <w:jc w:val="center"/>
              <w:ind w:left="606"/>
              <w:spacing w:after="0"/>
              <w:rPr>
                <w:sz w:val="20"/>
                <w:szCs w:val="20"/>
                <w:color w:val="auto"/>
              </w:rPr>
            </w:pPr>
            <w:r>
              <w:rPr>
                <w:rFonts w:ascii="Times New Roman" w:cs="Times New Roman" w:eastAsia="Times New Roman" w:hAnsi="Times New Roman"/>
                <w:sz w:val="16"/>
                <w:szCs w:val="16"/>
                <w:b w:val="1"/>
                <w:bCs w:val="1"/>
                <w:color w:val="auto"/>
              </w:rPr>
              <w:t>1 Vanderbilt Avenue, Floor 54</w:t>
            </w: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226"/>
        </w:trPr>
        <w:tc>
          <w:tcPr>
            <w:tcW w:w="4960" w:type="dxa"/>
            <w:vAlign w:val="bottom"/>
            <w:gridSpan w:val="2"/>
          </w:tcPr>
          <w:p>
            <w:pPr>
              <w:jc w:val="center"/>
              <w:ind w:left="586"/>
              <w:spacing w:after="0"/>
              <w:rPr>
                <w:sz w:val="20"/>
                <w:szCs w:val="20"/>
                <w:color w:val="auto"/>
              </w:rPr>
            </w:pPr>
            <w:r>
              <w:rPr>
                <w:rFonts w:ascii="Times New Roman" w:cs="Times New Roman" w:eastAsia="Times New Roman" w:hAnsi="Times New Roman"/>
                <w:sz w:val="16"/>
                <w:szCs w:val="16"/>
                <w:b w:val="1"/>
                <w:bCs w:val="1"/>
                <w:color w:val="auto"/>
                <w:w w:val="98"/>
              </w:rPr>
              <w:t>New York, New York</w:t>
            </w: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360" w:type="dxa"/>
            <w:vAlign w:val="bottom"/>
          </w:tcPr>
          <w:p>
            <w:pPr>
              <w:jc w:val="right"/>
              <w:ind w:right="2529"/>
              <w:spacing w:after="0"/>
              <w:rPr>
                <w:sz w:val="20"/>
                <w:szCs w:val="20"/>
                <w:color w:val="auto"/>
              </w:rPr>
            </w:pPr>
            <w:r>
              <w:rPr>
                <w:rFonts w:ascii="Times New Roman" w:cs="Times New Roman" w:eastAsia="Times New Roman" w:hAnsi="Times New Roman"/>
                <w:sz w:val="16"/>
                <w:szCs w:val="16"/>
                <w:b w:val="1"/>
                <w:bCs w:val="1"/>
                <w:color w:val="auto"/>
              </w:rPr>
              <w:t>10017</w:t>
            </w:r>
          </w:p>
        </w:tc>
      </w:tr>
      <w:tr>
        <w:trPr>
          <w:trHeight w:val="193"/>
        </w:trPr>
        <w:tc>
          <w:tcPr>
            <w:tcW w:w="4960" w:type="dxa"/>
            <w:vAlign w:val="bottom"/>
            <w:gridSpan w:val="2"/>
          </w:tcPr>
          <w:p>
            <w:pPr>
              <w:jc w:val="center"/>
              <w:ind w:left="606"/>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360" w:type="dxa"/>
            <w:vAlign w:val="bottom"/>
          </w:tcPr>
          <w:p>
            <w:pPr>
              <w:jc w:val="center"/>
              <w:ind w:right="2189"/>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308"/>
        </w:trPr>
        <w:tc>
          <w:tcPr>
            <w:tcW w:w="7880" w:type="dxa"/>
            <w:vAlign w:val="bottom"/>
            <w:gridSpan w:val="5"/>
          </w:tcPr>
          <w:p>
            <w:pPr>
              <w:jc w:val="center"/>
              <w:ind w:left="330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(332) 262-2300</w:t>
            </w:r>
          </w:p>
        </w:tc>
        <w:tc>
          <w:tcPr>
            <w:tcW w:w="3360" w:type="dxa"/>
            <w:vAlign w:val="bottom"/>
          </w:tcPr>
          <w:p>
            <w:pPr>
              <w:spacing w:after="0"/>
              <w:rPr>
                <w:sz w:val="24"/>
                <w:szCs w:val="24"/>
                <w:color w:val="auto"/>
              </w:rPr>
            </w:pPr>
          </w:p>
        </w:tc>
      </w:tr>
      <w:tr>
        <w:trPr>
          <w:trHeight w:val="234"/>
        </w:trPr>
        <w:tc>
          <w:tcPr>
            <w:tcW w:w="78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__________________________________________________</w:t>
            </w:r>
          </w:p>
        </w:tc>
        <w:tc>
          <w:tcPr>
            <w:tcW w:w="3360" w:type="dxa"/>
            <w:vAlign w:val="bottom"/>
          </w:tcPr>
          <w:p>
            <w:pPr>
              <w:spacing w:after="0"/>
              <w:rPr>
                <w:sz w:val="20"/>
                <w:szCs w:val="20"/>
                <w:color w:val="auto"/>
              </w:rPr>
            </w:pPr>
          </w:p>
        </w:tc>
      </w:tr>
      <w:tr>
        <w:trPr>
          <w:trHeight w:val="193"/>
        </w:trPr>
        <w:tc>
          <w:tcPr>
            <w:tcW w:w="4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360" w:type="dxa"/>
            <w:vAlign w:val="bottom"/>
          </w:tcPr>
          <w:p>
            <w:pPr>
              <w:spacing w:after="0"/>
              <w:rPr>
                <w:sz w:val="16"/>
                <w:szCs w:val="16"/>
                <w:color w:val="auto"/>
              </w:rPr>
            </w:pPr>
          </w:p>
        </w:tc>
      </w:tr>
      <w:tr>
        <w:trPr>
          <w:trHeight w:val="229"/>
        </w:trPr>
        <w:tc>
          <w:tcPr>
            <w:tcW w:w="4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92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360" w:type="dxa"/>
            <w:vAlign w:val="bottom"/>
          </w:tcPr>
          <w:p>
            <w:pPr>
              <w:jc w:val="center"/>
              <w:ind w:right="58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7"/>
        </w:trPr>
        <w:tc>
          <w:tcPr>
            <w:tcW w:w="4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3360" w:type="dxa"/>
            <w:vAlign w:val="bottom"/>
            <w:tcBorders>
              <w:bottom w:val="single" w:sz="8" w:color="auto"/>
            </w:tcBorders>
          </w:tcPr>
          <w:p>
            <w:pPr>
              <w:spacing w:after="0"/>
              <w:rPr>
                <w:sz w:val="3"/>
                <w:szCs w:val="3"/>
                <w:color w:val="auto"/>
              </w:rPr>
            </w:pPr>
          </w:p>
        </w:tc>
      </w:tr>
      <w:tr>
        <w:trPr>
          <w:trHeight w:val="186"/>
        </w:trPr>
        <w:tc>
          <w:tcPr>
            <w:tcW w:w="4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 Stock, par value $0.001 per share</w:t>
            </w:r>
          </w:p>
        </w:tc>
        <w:tc>
          <w:tcPr>
            <w:tcW w:w="2920" w:type="dxa"/>
            <w:vAlign w:val="bottom"/>
            <w:gridSpan w:val="3"/>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CIFR</w:t>
            </w:r>
          </w:p>
        </w:tc>
        <w:tc>
          <w:tcPr>
            <w:tcW w:w="3360" w:type="dxa"/>
            <w:vAlign w:val="bottom"/>
          </w:tcPr>
          <w:p>
            <w:pPr>
              <w:jc w:val="center"/>
              <w:ind w:right="589"/>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bl>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None</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0" w:lineRule="exact"/>
        <w:rPr>
          <w:sz w:val="24"/>
          <w:szCs w:val="24"/>
          <w:color w:val="auto"/>
        </w:rPr>
      </w:pPr>
    </w:p>
    <w:p>
      <w:pPr>
        <w:ind w:right="4020"/>
        <w:spacing w:after="0" w:line="346" w:lineRule="auto"/>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r>
        <w:rPr>
          <w:rFonts w:ascii="Times New Roman" w:cs="Times New Roman" w:eastAsia="Times New Roman" w:hAnsi="Times New Roman"/>
          <w:sz w:val="13"/>
          <w:szCs w:val="13"/>
          <w:color w:val="auto"/>
        </w:rPr>
        <w:t xml:space="preserve"> Indicate by check mark if the registrant is not required to file reports pursuant to Section 13 or Section 15(d) of the Act. Yes </w:t>
      </w:r>
      <w:r>
        <w:rPr>
          <w:rFonts w:ascii="Wingdings" w:cs="Wingdings" w:eastAsia="Wingdings" w:hAnsi="Wingdings"/>
          <w:sz w:val="13"/>
          <w:szCs w:val="13"/>
          <w:b w:val="1"/>
          <w:bCs w:val="1"/>
          <w:color w:val="auto"/>
        </w:rPr>
        <w:t>o</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x</w:t>
      </w:r>
    </w:p>
    <w:p>
      <w:pPr>
        <w:spacing w:after="0" w:line="1" w:lineRule="exact"/>
        <w:rPr>
          <w:sz w:val="24"/>
          <w:szCs w:val="24"/>
          <w:color w:val="auto"/>
        </w:rPr>
      </w:pPr>
    </w:p>
    <w:p>
      <w:pPr>
        <w:ind w:right="160"/>
        <w:spacing w:after="0" w:line="278"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p>
    <w:p>
      <w:pPr>
        <w:spacing w:after="0" w:line="1" w:lineRule="exact"/>
        <w:rPr>
          <w:sz w:val="24"/>
          <w:szCs w:val="24"/>
          <w:color w:val="auto"/>
        </w:rPr>
      </w:pPr>
    </w:p>
    <w:p>
      <w:pPr>
        <w:ind w:right="180"/>
        <w:spacing w:after="0" w:line="184" w:lineRule="exact"/>
        <w:rPr>
          <w:sz w:val="20"/>
          <w:szCs w:val="20"/>
          <w:color w:val="auto"/>
        </w:rPr>
      </w:pPr>
      <w:r>
        <w:rPr>
          <w:rFonts w:ascii="Times New Roman" w:cs="Times New Roman" w:eastAsia="Times New Roman" w:hAnsi="Times New Roman"/>
          <w:sz w:val="13"/>
          <w:szCs w:val="13"/>
          <w:color w:val="auto"/>
        </w:rPr>
        <w:t>Indicate by check mark whether the registrant has submitted electronically every Interactive Data File required to be submitted pursuant to Rule 405 of Regulation S</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T (§232.405 of this chapter) during the preceding 12 months (or for such shorter period that the registrant was required to submit such files).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p>
    <w:p>
      <w:pPr>
        <w:spacing w:after="0" w:line="43" w:lineRule="exact"/>
        <w:rPr>
          <w:sz w:val="24"/>
          <w:szCs w:val="24"/>
          <w:color w:val="auto"/>
        </w:rPr>
      </w:pPr>
    </w:p>
    <w:p>
      <w:pPr>
        <w:ind w:right="340"/>
        <w:spacing w:after="0" w:line="179" w:lineRule="exact"/>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2 of the Exchange Act.</w:t>
      </w:r>
    </w:p>
    <w:p>
      <w:pPr>
        <w:spacing w:after="0" w:line="88" w:lineRule="exact"/>
        <w:rPr>
          <w:sz w:val="24"/>
          <w:szCs w:val="24"/>
          <w:color w:val="auto"/>
        </w:rPr>
      </w:pPr>
    </w:p>
    <w:tbl>
      <w:tblPr>
        <w:tblLayout w:type="fixed"/>
        <w:tblInd w:w="20" w:type="dxa"/>
        <w:tblCellMar>
          <w:top w:w="0" w:type="dxa"/>
          <w:left w:w="0" w:type="dxa"/>
          <w:bottom w:w="0" w:type="dxa"/>
          <w:right w:w="0" w:type="dxa"/>
        </w:tblCellMar>
      </w:tblPr>
      <w:tr>
        <w:trPr>
          <w:trHeight w:val="174"/>
        </w:trPr>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600" w:type="dxa"/>
            <w:vAlign w:val="bottom"/>
            <w:vMerge w:val="restart"/>
          </w:tcPr>
          <w:p>
            <w:pPr>
              <w:ind w:left="520"/>
              <w:spacing w:after="0"/>
              <w:rPr>
                <w:sz w:val="20"/>
                <w:szCs w:val="20"/>
                <w:color w:val="auto"/>
              </w:rPr>
            </w:pPr>
            <w:r>
              <w:rPr>
                <w:rFonts w:ascii="Wingdings" w:cs="Wingdings" w:eastAsia="Wingdings" w:hAnsi="Wingdings"/>
                <w:sz w:val="13"/>
                <w:szCs w:val="13"/>
                <w:b w:val="1"/>
                <w:bCs w:val="1"/>
                <w:color w:val="auto"/>
              </w:rPr>
              <w:t>x</w:t>
            </w:r>
          </w:p>
        </w:tc>
        <w:tc>
          <w:tcPr>
            <w:tcW w:w="4920" w:type="dxa"/>
            <w:vAlign w:val="bottom"/>
          </w:tcPr>
          <w:p>
            <w:pPr>
              <w:ind w:left="2920"/>
              <w:spacing w:after="0"/>
              <w:rPr>
                <w:sz w:val="20"/>
                <w:szCs w:val="20"/>
                <w:color w:val="auto"/>
              </w:rPr>
            </w:pPr>
            <w:r>
              <w:rPr>
                <w:rFonts w:ascii="Times New Roman" w:cs="Times New Roman" w:eastAsia="Times New Roman" w:hAnsi="Times New Roman"/>
                <w:sz w:val="13"/>
                <w:szCs w:val="13"/>
                <w:color w:val="auto"/>
              </w:rPr>
              <w:t>Accelerated filer</w:t>
            </w:r>
          </w:p>
        </w:tc>
        <w:tc>
          <w:tcPr>
            <w:tcW w:w="640" w:type="dxa"/>
            <w:vAlign w:val="bottom"/>
            <w:vMerge w:val="restart"/>
          </w:tcPr>
          <w:p>
            <w:pPr>
              <w:ind w:left="520"/>
              <w:spacing w:after="0"/>
              <w:rPr>
                <w:sz w:val="20"/>
                <w:szCs w:val="20"/>
                <w:color w:val="auto"/>
              </w:rPr>
            </w:pPr>
            <w:r>
              <w:rPr>
                <w:rFonts w:ascii="Wingdings" w:cs="Wingdings" w:eastAsia="Wingdings" w:hAnsi="Wingdings"/>
                <w:sz w:val="13"/>
                <w:szCs w:val="13"/>
                <w:b w:val="1"/>
                <w:bCs w:val="1"/>
                <w:color w:val="auto"/>
                <w:w w:val="85"/>
              </w:rPr>
              <w:t>o</w:t>
            </w:r>
          </w:p>
        </w:tc>
        <w:tc>
          <w:tcPr>
            <w:tcW w:w="0" w:type="dxa"/>
            <w:vAlign w:val="bottom"/>
          </w:tcPr>
          <w:p>
            <w:pPr>
              <w:spacing w:after="0"/>
              <w:rPr>
                <w:sz w:val="1"/>
                <w:szCs w:val="1"/>
                <w:color w:val="auto"/>
              </w:rPr>
            </w:pPr>
          </w:p>
        </w:tc>
      </w:tr>
      <w:tr>
        <w:trPr>
          <w:trHeight w:val="42"/>
        </w:trPr>
        <w:tc>
          <w:tcPr>
            <w:tcW w:w="1740" w:type="dxa"/>
            <w:vAlign w:val="bottom"/>
          </w:tcPr>
          <w:p>
            <w:pPr>
              <w:spacing w:after="0"/>
              <w:rPr>
                <w:sz w:val="3"/>
                <w:szCs w:val="3"/>
                <w:color w:val="auto"/>
              </w:rPr>
            </w:pPr>
          </w:p>
        </w:tc>
        <w:tc>
          <w:tcPr>
            <w:tcW w:w="3600" w:type="dxa"/>
            <w:vAlign w:val="bottom"/>
            <w:vMerge w:val="continue"/>
          </w:tcPr>
          <w:p>
            <w:pPr>
              <w:spacing w:after="0"/>
              <w:rPr>
                <w:sz w:val="3"/>
                <w:szCs w:val="3"/>
                <w:color w:val="auto"/>
              </w:rPr>
            </w:pPr>
          </w:p>
        </w:tc>
        <w:tc>
          <w:tcPr>
            <w:tcW w:w="49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600" w:type="dxa"/>
            <w:vAlign w:val="bottom"/>
            <w:vMerge w:val="restart"/>
          </w:tcPr>
          <w:p>
            <w:pPr>
              <w:ind w:left="520"/>
              <w:spacing w:after="0"/>
              <w:rPr>
                <w:sz w:val="20"/>
                <w:szCs w:val="20"/>
                <w:color w:val="auto"/>
              </w:rPr>
            </w:pPr>
            <w:r>
              <w:rPr>
                <w:rFonts w:ascii="Wingdings" w:cs="Wingdings" w:eastAsia="Wingdings" w:hAnsi="Wingdings"/>
                <w:sz w:val="13"/>
                <w:szCs w:val="13"/>
                <w:b w:val="1"/>
                <w:bCs w:val="1"/>
                <w:color w:val="auto"/>
              </w:rPr>
              <w:t>o</w:t>
            </w:r>
          </w:p>
        </w:tc>
        <w:tc>
          <w:tcPr>
            <w:tcW w:w="4920" w:type="dxa"/>
            <w:vAlign w:val="bottom"/>
          </w:tcPr>
          <w:p>
            <w:pPr>
              <w:ind w:left="29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640" w:type="dxa"/>
            <w:vAlign w:val="bottom"/>
            <w:vMerge w:val="restart"/>
          </w:tcPr>
          <w:p>
            <w:pPr>
              <w:ind w:left="520"/>
              <w:spacing w:after="0"/>
              <w:rPr>
                <w:sz w:val="20"/>
                <w:szCs w:val="20"/>
                <w:color w:val="auto"/>
              </w:rPr>
            </w:pPr>
            <w:r>
              <w:rPr>
                <w:rFonts w:ascii="Wingdings" w:cs="Wingdings" w:eastAsia="Wingdings" w:hAnsi="Wingdings"/>
                <w:sz w:val="13"/>
                <w:szCs w:val="13"/>
                <w:b w:val="1"/>
                <w:bCs w:val="1"/>
                <w:color w:val="auto"/>
                <w:w w:val="85"/>
              </w:rPr>
              <w:t>o</w:t>
            </w:r>
          </w:p>
        </w:tc>
        <w:tc>
          <w:tcPr>
            <w:tcW w:w="0" w:type="dxa"/>
            <w:vAlign w:val="bottom"/>
          </w:tcPr>
          <w:p>
            <w:pPr>
              <w:spacing w:after="0"/>
              <w:rPr>
                <w:sz w:val="1"/>
                <w:szCs w:val="1"/>
                <w:color w:val="auto"/>
              </w:rPr>
            </w:pPr>
          </w:p>
        </w:tc>
      </w:tr>
      <w:tr>
        <w:trPr>
          <w:trHeight w:val="42"/>
        </w:trPr>
        <w:tc>
          <w:tcPr>
            <w:tcW w:w="1740" w:type="dxa"/>
            <w:vAlign w:val="bottom"/>
          </w:tcPr>
          <w:p>
            <w:pPr>
              <w:spacing w:after="0"/>
              <w:rPr>
                <w:sz w:val="3"/>
                <w:szCs w:val="3"/>
                <w:color w:val="auto"/>
              </w:rPr>
            </w:pPr>
          </w:p>
        </w:tc>
        <w:tc>
          <w:tcPr>
            <w:tcW w:w="3600" w:type="dxa"/>
            <w:vAlign w:val="bottom"/>
            <w:vMerge w:val="continue"/>
          </w:tcPr>
          <w:p>
            <w:pPr>
              <w:spacing w:after="0"/>
              <w:rPr>
                <w:sz w:val="3"/>
                <w:szCs w:val="3"/>
                <w:color w:val="auto"/>
              </w:rPr>
            </w:pPr>
          </w:p>
        </w:tc>
        <w:tc>
          <w:tcPr>
            <w:tcW w:w="49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17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920" w:type="dxa"/>
            <w:vAlign w:val="bottom"/>
          </w:tcPr>
          <w:p>
            <w:pPr>
              <w:ind w:left="2920"/>
              <w:spacing w:after="0"/>
              <w:rPr>
                <w:sz w:val="20"/>
                <w:szCs w:val="20"/>
                <w:color w:val="auto"/>
              </w:rPr>
            </w:pPr>
            <w:r>
              <w:rPr>
                <w:rFonts w:ascii="Times New Roman" w:cs="Times New Roman" w:eastAsia="Times New Roman" w:hAnsi="Times New Roman"/>
                <w:sz w:val="13"/>
                <w:szCs w:val="13"/>
                <w:color w:val="auto"/>
              </w:rPr>
              <w:t>Emerging growth company</w:t>
            </w:r>
          </w:p>
        </w:tc>
        <w:tc>
          <w:tcPr>
            <w:tcW w:w="640" w:type="dxa"/>
            <w:vAlign w:val="bottom"/>
            <w:vMerge w:val="restart"/>
          </w:tcPr>
          <w:p>
            <w:pPr>
              <w:ind w:left="520"/>
              <w:spacing w:after="0"/>
              <w:rPr>
                <w:sz w:val="20"/>
                <w:szCs w:val="20"/>
                <w:color w:val="auto"/>
              </w:rPr>
            </w:pPr>
            <w:r>
              <w:rPr>
                <w:rFonts w:ascii="Wingdings" w:cs="Wingdings" w:eastAsia="Wingdings" w:hAnsi="Wingdings"/>
                <w:sz w:val="13"/>
                <w:szCs w:val="13"/>
                <w:b w:val="1"/>
                <w:bCs w:val="1"/>
                <w:color w:val="auto"/>
                <w:w w:val="85"/>
              </w:rPr>
              <w:t>o</w:t>
            </w:r>
          </w:p>
        </w:tc>
        <w:tc>
          <w:tcPr>
            <w:tcW w:w="0" w:type="dxa"/>
            <w:vAlign w:val="bottom"/>
          </w:tcPr>
          <w:p>
            <w:pPr>
              <w:spacing w:after="0"/>
              <w:rPr>
                <w:sz w:val="1"/>
                <w:szCs w:val="1"/>
                <w:color w:val="auto"/>
              </w:rPr>
            </w:pPr>
          </w:p>
        </w:tc>
      </w:tr>
      <w:tr>
        <w:trPr>
          <w:trHeight w:val="42"/>
        </w:trPr>
        <w:tc>
          <w:tcPr>
            <w:tcW w:w="1740" w:type="dxa"/>
            <w:vAlign w:val="bottom"/>
          </w:tcPr>
          <w:p>
            <w:pPr>
              <w:spacing w:after="0"/>
              <w:rPr>
                <w:sz w:val="3"/>
                <w:szCs w:val="3"/>
                <w:color w:val="auto"/>
              </w:rPr>
            </w:pPr>
          </w:p>
        </w:tc>
        <w:tc>
          <w:tcPr>
            <w:tcW w:w="3600" w:type="dxa"/>
            <w:vAlign w:val="bottom"/>
          </w:tcPr>
          <w:p>
            <w:pPr>
              <w:spacing w:after="0"/>
              <w:rPr>
                <w:sz w:val="3"/>
                <w:szCs w:val="3"/>
                <w:color w:val="auto"/>
              </w:rPr>
            </w:pPr>
          </w:p>
        </w:tc>
        <w:tc>
          <w:tcPr>
            <w:tcW w:w="49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175" w:lineRule="exact"/>
        <w:rPr>
          <w:sz w:val="24"/>
          <w:szCs w:val="24"/>
          <w:color w:val="auto"/>
        </w:rPr>
      </w:pPr>
    </w:p>
    <w:p>
      <w:pPr>
        <w:ind w:right="160"/>
        <w:spacing w:after="0" w:line="299" w:lineRule="auto"/>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3"/>
          <w:szCs w:val="13"/>
          <w:b w:val="1"/>
          <w:bCs w:val="1"/>
          <w:color w:val="auto"/>
        </w:rPr>
        <w:t>o</w:t>
      </w:r>
    </w:p>
    <w:p>
      <w:pPr>
        <w:spacing w:after="0" w:line="6" w:lineRule="exact"/>
        <w:rPr>
          <w:sz w:val="24"/>
          <w:szCs w:val="24"/>
          <w:color w:val="auto"/>
        </w:rPr>
      </w:pPr>
    </w:p>
    <w:p>
      <w:pPr>
        <w:spacing w:after="0" w:line="179" w:lineRule="exact"/>
        <w:rPr>
          <w:sz w:val="20"/>
          <w:szCs w:val="20"/>
          <w:color w:val="auto"/>
        </w:rPr>
      </w:pPr>
      <w:r>
        <w:rPr>
          <w:rFonts w:ascii="Times New Roman" w:cs="Times New Roman" w:eastAsia="Times New Roman" w:hAnsi="Times New Roman"/>
          <w:sz w:val="13"/>
          <w:szCs w:val="13"/>
          <w:color w:val="auto"/>
        </w:rPr>
        <w:t>Indicate by check mark whether the registrant has filed a report on and attestation to its management’s assessment of the effectiveness of its internal control over financial reporting under Section 404(b) of the Sarbanes</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Oxley Act (15 U.S.C. 7262(b)) by the registered public accounting firm that prepared or issued its audit report. </w:t>
      </w:r>
      <w:r>
        <w:rPr>
          <w:rFonts w:ascii="Wingdings" w:cs="Wingdings" w:eastAsia="Wingdings" w:hAnsi="Wingdings"/>
          <w:sz w:val="13"/>
          <w:szCs w:val="13"/>
          <w:b w:val="1"/>
          <w:bCs w:val="1"/>
          <w:color w:val="auto"/>
        </w:rPr>
        <w:t>x</w:t>
      </w:r>
    </w:p>
    <w:p>
      <w:pPr>
        <w:spacing w:after="0" w:line="20" w:lineRule="exact"/>
        <w:rPr>
          <w:sz w:val="24"/>
          <w:szCs w:val="24"/>
          <w:color w:val="auto"/>
        </w:rPr>
      </w:pPr>
    </w:p>
    <w:p>
      <w:pPr>
        <w:ind w:right="200"/>
        <w:spacing w:after="0" w:line="299" w:lineRule="auto"/>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3"/>
          <w:szCs w:val="13"/>
          <w:b w:val="1"/>
          <w:bCs w:val="1"/>
          <w:color w:val="auto"/>
        </w:rPr>
        <w:t>o</w:t>
      </w:r>
    </w:p>
    <w:p>
      <w:pPr>
        <w:spacing w:after="0" w:line="6" w:lineRule="exact"/>
        <w:rPr>
          <w:sz w:val="24"/>
          <w:szCs w:val="24"/>
          <w:color w:val="auto"/>
        </w:rPr>
      </w:pPr>
    </w:p>
    <w:p>
      <w:pPr>
        <w:ind w:right="120"/>
        <w:spacing w:after="0" w:line="278" w:lineRule="auto"/>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3"/>
          <w:szCs w:val="13"/>
          <w:b w:val="1"/>
          <w:bCs w:val="1"/>
          <w:color w:val="auto"/>
        </w:rPr>
        <w:t>o</w:t>
      </w:r>
    </w:p>
    <w:p>
      <w:pPr>
        <w:spacing w:after="0" w:line="1" w:lineRule="exact"/>
        <w:rPr>
          <w:sz w:val="24"/>
          <w:szCs w:val="24"/>
          <w:color w:val="auto"/>
        </w:rPr>
      </w:pPr>
    </w:p>
    <w:p>
      <w:pPr>
        <w:spacing w:after="0" w:line="150" w:lineRule="exact"/>
        <w:tabs>
          <w:tab w:leader="none" w:pos="678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2 of the Exchange Act). YES </w:t>
      </w:r>
      <w:r>
        <w:rPr>
          <w:rFonts w:ascii="Wingdings" w:cs="Wingdings" w:eastAsia="Wingdings" w:hAnsi="Wingdings"/>
          <w:sz w:val="13"/>
          <w:szCs w:val="13"/>
          <w:b w:val="1"/>
          <w:bCs w:val="1"/>
          <w:color w:val="auto"/>
        </w:rPr>
        <w:t>o</w:t>
      </w:r>
      <w:r>
        <w:rPr>
          <w:rFonts w:ascii="Times New Roman" w:cs="Times New Roman" w:eastAsia="Times New Roman" w:hAnsi="Times New Roman"/>
          <w:sz w:val="13"/>
          <w:szCs w:val="13"/>
          <w:color w:val="auto"/>
        </w:rPr>
        <w:tab/>
        <w:t xml:space="preserve">NO </w:t>
      </w:r>
      <w:r>
        <w:rPr>
          <w:rFonts w:ascii="Wingdings" w:cs="Wingdings" w:eastAsia="Wingdings" w:hAnsi="Wingdings"/>
          <w:sz w:val="13"/>
          <w:szCs w:val="13"/>
          <w:b w:val="1"/>
          <w:bCs w:val="1"/>
          <w:color w:val="auto"/>
        </w:rPr>
        <w:t>x</w:t>
      </w:r>
    </w:p>
    <w:p>
      <w:pPr>
        <w:spacing w:after="0" w:line="98" w:lineRule="exact"/>
        <w:rPr>
          <w:sz w:val="24"/>
          <w:szCs w:val="24"/>
          <w:color w:val="auto"/>
        </w:rPr>
      </w:pPr>
    </w:p>
    <w:p>
      <w:pPr>
        <w:ind w:right="220"/>
        <w:spacing w:after="0" w:line="279" w:lineRule="auto"/>
        <w:rPr>
          <w:sz w:val="20"/>
          <w:szCs w:val="20"/>
          <w:color w:val="auto"/>
        </w:rPr>
      </w:pPr>
      <w:r>
        <w:rPr>
          <w:rFonts w:ascii="Times New Roman" w:cs="Times New Roman" w:eastAsia="Times New Roman" w:hAnsi="Times New Roman"/>
          <w:sz w:val="13"/>
          <w:szCs w:val="13"/>
          <w:color w:val="auto"/>
        </w:rPr>
        <w:t>The aggregate market value of the common stock held by non-affiliates of the registrant, based on the closing price of registrant's common stock as quoted on the Nasdaq Global Select Market on June 30, 2025 (the last business day of the registrant’s most recently completed second fiscal quarter), was approximately $1,796.7 million. Shares of common stock beneficially owned by each executive officer, director, and holder of more than 10% of our common stock have been excluded in that such persons may be deemed to be affiliates.</w:t>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As of February 23, 2026, the registrant had 405,119,407 shares of common stock, $0.001 par value per share, outstanding.</w:t>
      </w:r>
    </w:p>
    <w:p>
      <w:pPr>
        <w:spacing w:after="0" w:line="26"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3"/>
          <w:szCs w:val="13"/>
          <w:color w:val="auto"/>
        </w:rPr>
        <w:t>DOCUMENTS INCORPORATED BY REFERENCE:</w:t>
      </w:r>
    </w:p>
    <w:p>
      <w:pPr>
        <w:spacing w:after="0" w:line="53" w:lineRule="exact"/>
        <w:rPr>
          <w:sz w:val="24"/>
          <w:szCs w:val="24"/>
          <w:color w:val="auto"/>
        </w:rPr>
      </w:pPr>
    </w:p>
    <w:p>
      <w:pPr>
        <w:ind w:right="60"/>
        <w:spacing w:after="0" w:line="299" w:lineRule="auto"/>
        <w:rPr>
          <w:sz w:val="20"/>
          <w:szCs w:val="20"/>
          <w:color w:val="auto"/>
        </w:rPr>
      </w:pPr>
      <w:r>
        <w:rPr>
          <w:rFonts w:ascii="Times New Roman" w:cs="Times New Roman" w:eastAsia="Times New Roman" w:hAnsi="Times New Roman"/>
          <w:sz w:val="13"/>
          <w:szCs w:val="13"/>
          <w:color w:val="auto"/>
        </w:rPr>
        <w:t>Portions of the registrant’s definitive Proxy Statement relating to its 2026 Annual Meeting of Stockholders to be filed with the Securities and Exchange Commission pursuant to Regulation 14A not later than 120 days after the end of the fiscal year covered by this Annual Report on Form 10-K are incorporated herein by reference in Part III of this Annual Report on Form 10-K where indicated.</w:t>
      </w:r>
    </w:p>
    <w:p>
      <w:pPr>
        <w:spacing w:after="0" w:line="6" w:lineRule="exact"/>
        <w:rPr>
          <w:sz w:val="24"/>
          <w:szCs w:val="24"/>
          <w:color w:val="auto"/>
        </w:rPr>
      </w:pPr>
    </w:p>
    <w:p>
      <w:pPr>
        <w:ind w:left="20"/>
        <w:spacing w:after="0"/>
        <w:tabs>
          <w:tab w:leader="none" w:pos="3740" w:val="left"/>
          <w:tab w:leader="none" w:pos="7480" w:val="left"/>
        </w:tabs>
        <w:rPr>
          <w:sz w:val="20"/>
          <w:szCs w:val="20"/>
          <w:color w:val="auto"/>
        </w:rPr>
      </w:pPr>
      <w:r>
        <w:rPr>
          <w:rFonts w:ascii="Times New Roman" w:cs="Times New Roman" w:eastAsia="Times New Roman" w:hAnsi="Times New Roman"/>
          <w:sz w:val="13"/>
          <w:szCs w:val="13"/>
          <w:color w:val="auto"/>
        </w:rPr>
        <w:t>Auditor Firm Id: 199</w:t>
      </w:r>
      <w:r>
        <w:rPr>
          <w:sz w:val="20"/>
          <w:szCs w:val="20"/>
          <w:color w:val="auto"/>
        </w:rPr>
        <w:tab/>
      </w:r>
      <w:r>
        <w:rPr>
          <w:rFonts w:ascii="Times New Roman" w:cs="Times New Roman" w:eastAsia="Times New Roman" w:hAnsi="Times New Roman"/>
          <w:sz w:val="13"/>
          <w:szCs w:val="13"/>
          <w:color w:val="auto"/>
        </w:rPr>
        <w:t>Auditor Name: CBIZ CPAs P.C.</w:t>
      </w:r>
      <w:r>
        <w:rPr>
          <w:sz w:val="20"/>
          <w:szCs w:val="20"/>
          <w:color w:val="auto"/>
        </w:rPr>
        <w:tab/>
      </w:r>
      <w:r>
        <w:rPr>
          <w:rFonts w:ascii="Times New Roman" w:cs="Times New Roman" w:eastAsia="Times New Roman" w:hAnsi="Times New Roman"/>
          <w:sz w:val="13"/>
          <w:szCs w:val="13"/>
          <w:color w:val="auto"/>
        </w:rPr>
        <w:t>Auditor Location: San Francisco, 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783590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1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740" w:type="dxa"/>
            <w:vAlign w:val="bottom"/>
            <w:gridSpan w:val="9"/>
          </w:tcPr>
          <w:p>
            <w:pPr>
              <w:ind w:left="3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5"/>
        </w:trPr>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26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w:t>
            </w:r>
          </w:p>
        </w:tc>
        <w:tc>
          <w:tcPr>
            <w:tcW w:w="90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Business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1A.</w:t>
            </w:r>
          </w:p>
        </w:tc>
        <w:tc>
          <w:tcPr>
            <w:tcW w:w="90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1B.</w:t>
            </w:r>
          </w:p>
        </w:tc>
        <w:tc>
          <w:tcPr>
            <w:tcW w:w="90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50"/>
        </w:trPr>
        <w:tc>
          <w:tcPr>
            <w:tcW w:w="1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1020" w:type="dxa"/>
            <w:vAlign w:val="bottom"/>
            <w:tcBorders>
              <w:top w:val="single" w:sz="8" w:color="0000FF"/>
            </w:tcBorders>
            <w:gridSpan w:val="6"/>
          </w:tcPr>
          <w:p>
            <w:pPr>
              <w:spacing w:after="0"/>
              <w:rPr>
                <w:sz w:val="21"/>
                <w:szCs w:val="21"/>
                <w:color w:val="auto"/>
              </w:rPr>
            </w:pPr>
          </w:p>
        </w:tc>
        <w:tc>
          <w:tcPr>
            <w:tcW w:w="7020" w:type="dxa"/>
            <w:vAlign w:val="bottom"/>
            <w:gridSpan w:val="12"/>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50"/>
        </w:trPr>
        <w:tc>
          <w:tcPr>
            <w:tcW w:w="1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8320" w:type="dxa"/>
            <w:vAlign w:val="bottom"/>
            <w:gridSpan w:val="21"/>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50"/>
        </w:trPr>
        <w:tc>
          <w:tcPr>
            <w:tcW w:w="1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720" w:type="dxa"/>
            <w:vAlign w:val="bottom"/>
            <w:gridSpan w:val="16"/>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50"/>
        </w:trPr>
        <w:tc>
          <w:tcPr>
            <w:tcW w:w="1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4.</w:t>
            </w:r>
          </w:p>
        </w:tc>
        <w:tc>
          <w:tcPr>
            <w:tcW w:w="90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480"/>
        </w:trPr>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9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50"/>
        </w:trPr>
        <w:tc>
          <w:tcPr>
            <w:tcW w:w="1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8260" w:type="dxa"/>
            <w:vAlign w:val="bottom"/>
            <w:gridSpan w:val="20"/>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50"/>
        </w:trPr>
        <w:tc>
          <w:tcPr>
            <w:tcW w:w="1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600" w:type="dxa"/>
            <w:vAlign w:val="bottom"/>
            <w:gridSpan w:val="4"/>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50"/>
        </w:trPr>
        <w:tc>
          <w:tcPr>
            <w:tcW w:w="1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700" w:type="dxa"/>
            <w:vAlign w:val="bottom"/>
            <w:gridSpan w:val="7"/>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50"/>
        </w:trPr>
        <w:tc>
          <w:tcPr>
            <w:tcW w:w="1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8.</w:t>
            </w:r>
          </w:p>
        </w:tc>
        <w:tc>
          <w:tcPr>
            <w:tcW w:w="90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9.</w:t>
            </w:r>
          </w:p>
        </w:tc>
        <w:tc>
          <w:tcPr>
            <w:tcW w:w="90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50"/>
        </w:trPr>
        <w:tc>
          <w:tcPr>
            <w:tcW w:w="1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4720" w:type="dxa"/>
            <w:vAlign w:val="bottom"/>
            <w:tcBorders>
              <w:top w:val="single" w:sz="8" w:color="0000FF"/>
            </w:tcBorders>
            <w:gridSpan w:val="11"/>
          </w:tcPr>
          <w:p>
            <w:pPr>
              <w:spacing w:after="0"/>
              <w:rPr>
                <w:sz w:val="21"/>
                <w:szCs w:val="21"/>
                <w:color w:val="auto"/>
              </w:rPr>
            </w:pPr>
          </w:p>
        </w:tc>
        <w:tc>
          <w:tcPr>
            <w:tcW w:w="2560" w:type="dxa"/>
            <w:vAlign w:val="bottom"/>
            <w:gridSpan w:val="3"/>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50"/>
        </w:trPr>
        <w:tc>
          <w:tcPr>
            <w:tcW w:w="1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740" w:type="dxa"/>
            <w:vAlign w:val="bottom"/>
            <w:gridSpan w:val="17"/>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50"/>
        </w:trPr>
        <w:tc>
          <w:tcPr>
            <w:tcW w:w="1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9C.</w:t>
            </w:r>
          </w:p>
        </w:tc>
        <w:tc>
          <w:tcPr>
            <w:tcW w:w="90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480"/>
        </w:trPr>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960" w:type="dxa"/>
            <w:vAlign w:val="bottom"/>
            <w:gridSpan w:val="8"/>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50"/>
        </w:trPr>
        <w:tc>
          <w:tcPr>
            <w:tcW w:w="1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11.</w:t>
            </w:r>
          </w:p>
        </w:tc>
        <w:tc>
          <w:tcPr>
            <w:tcW w:w="90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560" w:type="dxa"/>
            <w:vAlign w:val="bottom"/>
            <w:gridSpan w:val="8"/>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760" w:type="dxa"/>
            <w:vAlign w:val="bottom"/>
            <w:gridSpan w:val="2"/>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50"/>
        </w:trPr>
        <w:tc>
          <w:tcPr>
            <w:tcW w:w="1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3600" w:type="dxa"/>
            <w:vAlign w:val="bottom"/>
            <w:gridSpan w:val="5"/>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50"/>
        </w:trPr>
        <w:tc>
          <w:tcPr>
            <w:tcW w:w="1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14.</w:t>
            </w:r>
          </w:p>
        </w:tc>
        <w:tc>
          <w:tcPr>
            <w:tcW w:w="90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453"/>
        </w:trPr>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15.</w:t>
            </w:r>
          </w:p>
        </w:tc>
        <w:tc>
          <w:tcPr>
            <w:tcW w:w="31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5900" w:type="dxa"/>
            <w:vAlign w:val="bottom"/>
            <w:gridSpan w:val="10"/>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50"/>
        </w:trPr>
        <w:tc>
          <w:tcPr>
            <w:tcW w:w="1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Form 10-K Summary</w:t>
            </w:r>
          </w:p>
        </w:tc>
        <w:tc>
          <w:tcPr>
            <w:tcW w:w="7500" w:type="dxa"/>
            <w:vAlign w:val="bottom"/>
            <w:gridSpan w:val="15"/>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92" w:right="339" w:bottom="1440" w:gutter="0" w:footer="0" w:header="0"/>
        </w:sectPr>
      </w:pPr>
    </w:p>
    <w:bookmarkStart w:id="2" w:name="page3"/>
    <w:bookmarkEnd w:id="2"/>
    <w:p>
      <w:pPr>
        <w:jc w:val="center"/>
        <w:ind w:right="-39"/>
        <w:spacing w:after="0" w:line="207" w:lineRule="exact"/>
        <w:rPr>
          <w:sz w:val="20"/>
          <w:szCs w:val="20"/>
          <w:color w:val="auto"/>
        </w:rPr>
      </w:pPr>
      <w:r>
        <w:rPr>
          <w:rFonts w:ascii="Times New Roman" w:cs="Times New Roman" w:eastAsia="Times New Roman" w:hAnsi="Times New Roman"/>
          <w:sz w:val="18"/>
          <w:szCs w:val="18"/>
          <w:b w:val="1"/>
          <w:bCs w:val="1"/>
          <w:color w:val="auto"/>
        </w:rPr>
        <w:t>CAUTIONARY NOTE REGARDING FORWARD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LOOKING STATEMENTS</w:t>
      </w:r>
    </w:p>
    <w:p>
      <w:pPr>
        <w:spacing w:after="0" w:line="252"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8"/>
          <w:szCs w:val="18"/>
          <w:color w:val="auto"/>
        </w:rPr>
        <w:t>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(the “Annual Report”) contains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contained in this Annual Report, other than statements of historical fact, including, without limitation, statements about our beliefs and expectations regarding our future results of operations and financial position, planned business model and strategy, our bitcoin mining and high-performance computing (“HPC”) data center development, timing and likelihood of success, capacity, functionality and timing of operations of data centers, expectations regarding the operations of data centers, potential strategic initiatives, such as joint ventures and partnerships, and management plans and objectives are forward-looking statements. In some cases, you can identify forward-looking statements by terms such as “may,” “will,” “should,” “expects,” “plans,” “anticipates,” “could,” “seeks,” “intends,” “targets,” “projects,” “contemplates,” “believes,” “estimates,” “forecasts,” “predicts,” “potential” or “continue” or the negative of these terms or other similar expressions, although not all forward-looking statements use these words or expressions.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in this Annual Report are only predictions and are largely based on our current expectations and projections about future events and trends that we believe may affect our business, financial condition and results of operations.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involve known and unknown risks, uncertainties and other important factors that may cause our actual results, performance, or achievements to be materially different from any future results, performance or achievements expressed or implied by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including, but not limited to, the important factors discussed in Part I, Item 1A, “Risk Factors,” Part II, Item 7. “Management’s Discussion and Analysis of Financial Condition and Results of Operations” and elsewhere in this Annual Report, and in our future reports filed with the Securities and Exchange Commission (the “SEC”).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in this Annual Report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58"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8"/>
          <w:szCs w:val="18"/>
          <w:color w:val="auto"/>
        </w:rPr>
        <w:t>You should read this Annual Report and the documents that we reference in this Annual Report and have filed as exhibits to this Annual Report with the understanding that our actual future results, performance and achievements may be materially different from what we expect. We qualify all of our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by these cautionary statements. These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speak only as of the date of this Annual Report. Except as required by applicable law, we do not plan to publicly update or revise any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contained in this Annual Report, whether as a result of any new information, future events or otherwise.</w:t>
      </w: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5" w:right="37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corporate website address is https://www.cipherdigital.com (“Corporate Website”). The contents of, or information accessible through, our Corporate Website are not part of this Annual Report.</w:t>
      </w:r>
    </w:p>
    <w:p>
      <w:pPr>
        <w:spacing w:after="0" w:line="121" w:lineRule="exact"/>
        <w:rPr>
          <w:sz w:val="20"/>
          <w:szCs w:val="20"/>
          <w:color w:val="auto"/>
        </w:rPr>
      </w:pPr>
    </w:p>
    <w:p>
      <w:pPr>
        <w:ind w:right="60"/>
        <w:spacing w:after="0" w:line="220" w:lineRule="exact"/>
        <w:rPr>
          <w:sz w:val="20"/>
          <w:szCs w:val="20"/>
          <w:color w:val="auto"/>
        </w:rPr>
      </w:pPr>
      <w:r>
        <w:rPr>
          <w:rFonts w:ascii="Times New Roman" w:cs="Times New Roman" w:eastAsia="Times New Roman" w:hAnsi="Times New Roman"/>
          <w:sz w:val="18"/>
          <w:szCs w:val="18"/>
          <w:color w:val="auto"/>
        </w:rPr>
        <w:t>The Company maintains a dedicated investor website at investors.cipherdigital.com (“Investors’ Website”) which is similarly not part of this Annual Report. We make our filings with the SEC, including our Annual Reports on Form 10-K, Quarterly Reports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Current Reports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all amendments to those reports, available free of charge on our Investors’ Website as soon as reasonably practicable after we file such reports with, or furnish such reports to, the SEC.</w:t>
      </w:r>
    </w:p>
    <w:p>
      <w:pPr>
        <w:spacing w:after="0" w:line="173" w:lineRule="exact"/>
        <w:rPr>
          <w:sz w:val="20"/>
          <w:szCs w:val="20"/>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We may use our Investors’ Website as a distribution channel of material information about the Company including through press releases, investor presentations, sustainability reports, and notices of upcoming events. We intend to utilize our Investors’ Website as a channel of distribution to reach public investors and as a means of disclosing material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public information for complying with disclosure obligations under Regulation FD.</w:t>
      </w:r>
    </w:p>
    <w:p>
      <w:pPr>
        <w:spacing w:after="0" w:line="130"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Any reference to our Corporate Website or Investors’ Website addresses do not constitute incorporation by reference of the information contained on or available through those websites, and you should not consider such information to be a part of this Annual Report or any other filings we make with the SEC.</w:t>
      </w:r>
    </w:p>
    <w:p>
      <w:pPr>
        <w:spacing w:after="0" w:line="200" w:lineRule="exact"/>
        <w:rPr>
          <w:sz w:val="20"/>
          <w:szCs w:val="20"/>
          <w:color w:val="auto"/>
        </w:rPr>
      </w:pPr>
    </w:p>
    <w:p>
      <w:pPr>
        <w:spacing w:after="0" w:line="3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92" w:right="37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8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 Item 1A. “Risk Factors” in this Annual Report. You should carefully consider these risks and uncertainties when investing in our common stock (“Common Stock”). The principal risks and uncertainties affecting our business include the following:</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Business, Industry and Operations</w:t>
      </w:r>
    </w:p>
    <w:p>
      <w:pPr>
        <w:spacing w:after="0" w:line="200" w:lineRule="exact"/>
        <w:rPr>
          <w:sz w:val="20"/>
          <w:szCs w:val="20"/>
          <w:color w:val="auto"/>
        </w:rPr>
      </w:pPr>
    </w:p>
    <w:p>
      <w:pPr>
        <w:ind w:left="1140" w:right="180" w:hanging="484"/>
        <w:spacing w:after="0" w:line="266"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complete the construction of our HPC data centers in a timely manner or within our anticipated cost estimates, it could have a material adverse effect on our business, results of operations, liquidity and our ability to make payments on our outstanding indebtedness.</w:t>
      </w:r>
    </w:p>
    <w:p>
      <w:pPr>
        <w:spacing w:after="0" w:line="135"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exposed to construction risks.</w:t>
      </w:r>
    </w:p>
    <w:p>
      <w:pPr>
        <w:spacing w:after="0" w:line="184" w:lineRule="exact"/>
        <w:rPr>
          <w:rFonts w:ascii="Times New Roman" w:cs="Times New Roman" w:eastAsia="Times New Roman" w:hAnsi="Times New Roman"/>
          <w:sz w:val="18"/>
          <w:szCs w:val="18"/>
          <w:color w:val="auto"/>
        </w:rPr>
      </w:pPr>
    </w:p>
    <w:p>
      <w:pPr>
        <w:ind w:left="1140" w:right="80" w:hanging="484"/>
        <w:spacing w:after="0" w:line="282"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tenants’ guarantees and other backstop arrangements under our HPC leases will only be effective after rent commencement under such leases and are subject to certain limitations, like event of default triggers or caps.</w:t>
      </w:r>
    </w:p>
    <w:p>
      <w:pPr>
        <w:spacing w:after="0" w:line="13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HPC business strategy may not perform as planned.</w:t>
      </w:r>
    </w:p>
    <w:p>
      <w:pPr>
        <w:spacing w:after="0" w:line="18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the demand for data centers.</w:t>
      </w:r>
    </w:p>
    <w:p>
      <w:pPr>
        <w:spacing w:after="0" w:line="184" w:lineRule="exact"/>
        <w:rPr>
          <w:rFonts w:ascii="Times New Roman" w:cs="Times New Roman" w:eastAsia="Times New Roman" w:hAnsi="Times New Roman"/>
          <w:sz w:val="18"/>
          <w:szCs w:val="18"/>
          <w:color w:val="auto"/>
        </w:rPr>
      </w:pPr>
    </w:p>
    <w:p>
      <w:pPr>
        <w:ind w:left="1140" w:right="40" w:hanging="484"/>
        <w:spacing w:after="0" w:line="282"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Constructing data centers for HPC hosting requires significant capital expenditures, and we may be unable to secure capital or financing for our construction efforts to develop data centers for HPC hosting.</w:t>
      </w:r>
    </w:p>
    <w:p>
      <w:pPr>
        <w:spacing w:after="0" w:line="13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tariff, import/export restrictions, or other trade barriers may have an adverse impact on global economic conditions.</w:t>
      </w:r>
    </w:p>
    <w:p>
      <w:pPr>
        <w:spacing w:after="0" w:line="184" w:lineRule="exact"/>
        <w:rPr>
          <w:rFonts w:ascii="Times New Roman" w:cs="Times New Roman" w:eastAsia="Times New Roman" w:hAnsi="Times New Roman"/>
          <w:sz w:val="18"/>
          <w:szCs w:val="18"/>
          <w:color w:val="auto"/>
        </w:rPr>
      </w:pPr>
    </w:p>
    <w:p>
      <w:pPr>
        <w:ind w:left="1140" w:right="140" w:hanging="484"/>
        <w:spacing w:after="0" w:line="282"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harmed by increased costs to procure power, prolonged power outages, shortages or capacity constraints as well as insufficient access to power.</w:t>
      </w:r>
    </w:p>
    <w:p>
      <w:pPr>
        <w:spacing w:after="0" w:line="121" w:lineRule="exact"/>
        <w:rPr>
          <w:rFonts w:ascii="Times New Roman" w:cs="Times New Roman" w:eastAsia="Times New Roman" w:hAnsi="Times New Roman"/>
          <w:sz w:val="18"/>
          <w:szCs w:val="18"/>
          <w:color w:val="auto"/>
        </w:rPr>
      </w:pPr>
    </w:p>
    <w:p>
      <w:pPr>
        <w:ind w:left="1140" w:hanging="484"/>
        <w:spacing w:after="0" w:line="282"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our physical or information technology or operational technology infrastructure or services could lead to significant costs and disruptions.</w:t>
      </w:r>
    </w:p>
    <w:p>
      <w:pPr>
        <w:spacing w:after="0" w:line="13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tenants for our HPC data centers.</w:t>
      </w:r>
    </w:p>
    <w:p>
      <w:pPr>
        <w:spacing w:after="0" w:line="184" w:lineRule="exact"/>
        <w:rPr>
          <w:rFonts w:ascii="Times New Roman" w:cs="Times New Roman" w:eastAsia="Times New Roman" w:hAnsi="Times New Roman"/>
          <w:sz w:val="18"/>
          <w:szCs w:val="18"/>
          <w:color w:val="auto"/>
        </w:rPr>
      </w:pPr>
    </w:p>
    <w:p>
      <w:pPr>
        <w:ind w:left="1140" w:right="140" w:hanging="484"/>
        <w:spacing w:after="0" w:line="282" w:lineRule="auto"/>
        <w:tabs>
          <w:tab w:leader="none" w:pos="1135"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Our business has grown rapidly and we have an evolving business model and strategy, which includes our diversification into constructing and operating data centers for HPC companies.</w:t>
      </w:r>
    </w:p>
    <w:p>
      <w:pPr>
        <w:spacing w:after="0" w:line="121" w:lineRule="exact"/>
        <w:rPr>
          <w:rFonts w:ascii="Times New Roman" w:cs="Times New Roman" w:eastAsia="Times New Roman" w:hAnsi="Times New Roman"/>
          <w:sz w:val="18"/>
          <w:szCs w:val="18"/>
          <w:b w:val="1"/>
          <w:bCs w:val="1"/>
          <w:i w:val="1"/>
          <w:iCs w:val="1"/>
          <w:color w:val="auto"/>
        </w:rPr>
      </w:pPr>
    </w:p>
    <w:p>
      <w:pPr>
        <w:jc w:val="both"/>
        <w:ind w:left="1140" w:right="100" w:hanging="484"/>
        <w:spacing w:after="0" w:line="266"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further development of AI technology, which represents a new and rapidly changing industry, is subject to a variety of factors that are difficult to evaluate. The slowing or stopping of the development of AI technology may adversely affect the demand for HPC-focused data center development and thus, adversely affect an investment in us.</w:t>
      </w:r>
    </w:p>
    <w:p>
      <w:pPr>
        <w:spacing w:after="0" w:line="148" w:lineRule="exact"/>
        <w:rPr>
          <w:rFonts w:ascii="Times New Roman" w:cs="Times New Roman" w:eastAsia="Times New Roman" w:hAnsi="Times New Roman"/>
          <w:sz w:val="18"/>
          <w:szCs w:val="18"/>
          <w:color w:val="auto"/>
        </w:rPr>
      </w:pPr>
    </w:p>
    <w:p>
      <w:pPr>
        <w:ind w:left="1140" w:right="460" w:hanging="484"/>
        <w:spacing w:after="0" w:line="266"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unfavorable global economic, business or political conditions, such as geopolitical tensions, military conflicts, acts of terrorism, natural disasters, pandemics, trade restrictions, tariffs, or similar events could have a material adverse effect on our business, financial condition and results of operations.</w:t>
      </w:r>
    </w:p>
    <w:p>
      <w:pPr>
        <w:spacing w:after="0" w:line="135" w:lineRule="exact"/>
        <w:rPr>
          <w:rFonts w:ascii="Times New Roman" w:cs="Times New Roman" w:eastAsia="Times New Roman" w:hAnsi="Times New Roman"/>
          <w:sz w:val="18"/>
          <w:szCs w:val="18"/>
          <w:color w:val="auto"/>
        </w:rPr>
      </w:pPr>
    </w:p>
    <w:p>
      <w:pPr>
        <w:ind w:left="1140" w:right="60" w:hanging="484"/>
        <w:spacing w:after="0" w:line="282"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HPC data centers is energy-intensive, which may have a negative environmental impact. Changing environmental regulation and public energy policy may expose our business to new risks.</w:t>
      </w:r>
    </w:p>
    <w:p>
      <w:pPr>
        <w:spacing w:after="0" w:line="121" w:lineRule="exact"/>
        <w:rPr>
          <w:rFonts w:ascii="Times New Roman" w:cs="Times New Roman" w:eastAsia="Times New Roman" w:hAnsi="Times New Roman"/>
          <w:sz w:val="18"/>
          <w:szCs w:val="18"/>
          <w:color w:val="auto"/>
        </w:rPr>
      </w:pPr>
    </w:p>
    <w:p>
      <w:pPr>
        <w:ind w:left="1140" w:right="620" w:hanging="484"/>
        <w:spacing w:after="0" w:line="282"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concentrated our operations and, thus, are particularly exposed to the performance of our data centers located in Texas and changes in the regulatory environment, market conditions and natural disasters in Texas.</w:t>
      </w:r>
    </w:p>
    <w:p>
      <w:pPr>
        <w:spacing w:after="0" w:line="134" w:lineRule="exact"/>
        <w:rPr>
          <w:rFonts w:ascii="Times New Roman" w:cs="Times New Roman" w:eastAsia="Times New Roman" w:hAnsi="Times New Roman"/>
          <w:sz w:val="18"/>
          <w:szCs w:val="18"/>
          <w:color w:val="auto"/>
        </w:rPr>
      </w:pPr>
    </w:p>
    <w:p>
      <w:pPr>
        <w:ind w:left="1140" w:right="80" w:hanging="484"/>
        <w:spacing w:after="0" w:line="282"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 parties, including transmission and distribution utilities, grid operators, electric utility providers and manufacturers of certain critical and specialized equipment, and rely on components and raw materials that may be subject to price fluctuations or shortages.</w:t>
      </w:r>
    </w:p>
    <w:p>
      <w:pPr>
        <w:spacing w:after="0" w:line="121" w:lineRule="exact"/>
        <w:rPr>
          <w:rFonts w:ascii="Times New Roman" w:cs="Times New Roman" w:eastAsia="Times New Roman" w:hAnsi="Times New Roman"/>
          <w:sz w:val="18"/>
          <w:szCs w:val="18"/>
          <w:color w:val="auto"/>
        </w:rPr>
      </w:pPr>
    </w:p>
    <w:p>
      <w:pPr>
        <w:ind w:left="1140" w:right="500" w:hanging="484"/>
        <w:spacing w:after="0" w:line="282"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vulnerable to severe weather conditions and natural disasters, including severe heat, winter weather events, earthquakes, fires, floods, hurricanes, as well as power outages and other industrial incidents or</w:t>
      </w:r>
    </w:p>
    <w:p>
      <w:pPr>
        <w:sectPr>
          <w:pgSz w:w="11900" w:h="16838" w:orient="portrait"/>
          <w:cols w:equalWidth="0" w:num="1">
            <w:col w:w="11240"/>
          </w:cols>
          <w:pgMar w:left="320" w:top="1292"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type w:val="continuous"/>
        </w:sectPr>
      </w:pPr>
    </w:p>
    <w:bookmarkStart w:id="5" w:name="page6"/>
    <w:bookmarkEnd w:id="5"/>
    <w:p>
      <w:pPr>
        <w:ind w:left="800"/>
        <w:spacing w:after="0"/>
        <w:rPr>
          <w:sz w:val="20"/>
          <w:szCs w:val="20"/>
          <w:color w:val="auto"/>
        </w:rPr>
      </w:pPr>
      <w:r>
        <w:rPr>
          <w:rFonts w:ascii="Times New Roman" w:cs="Times New Roman" w:eastAsia="Times New Roman" w:hAnsi="Times New Roman"/>
          <w:sz w:val="18"/>
          <w:szCs w:val="18"/>
          <w:color w:val="auto"/>
        </w:rPr>
        <w:t>mechanical failures, which could severely disrupt the normal operation of our business and adversely affect our results of operations.</w:t>
      </w:r>
    </w:p>
    <w:p>
      <w:pPr>
        <w:spacing w:after="0" w:line="185" w:lineRule="exact"/>
        <w:rPr>
          <w:sz w:val="20"/>
          <w:szCs w:val="20"/>
          <w:color w:val="auto"/>
        </w:rPr>
      </w:pPr>
    </w:p>
    <w:p>
      <w:pPr>
        <w:jc w:val="both"/>
        <w:ind w:left="800" w:right="740" w:hanging="484"/>
        <w:spacing w:after="0" w:line="312" w:lineRule="auto"/>
        <w:tabs>
          <w:tab w:leader="none" w:pos="79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or our third-party providers fail to protect our information technology systems, digital assets or confidential information, or experience cybersecurity incidents, our business, operating results, financial condition and reputation could be materially harmed.</w:t>
      </w:r>
    </w:p>
    <w:p>
      <w:pPr>
        <w:spacing w:after="0" w:line="99" w:lineRule="exact"/>
        <w:rPr>
          <w:rFonts w:ascii="Times New Roman" w:cs="Times New Roman" w:eastAsia="Times New Roman" w:hAnsi="Times New Roman"/>
          <w:sz w:val="17"/>
          <w:szCs w:val="17"/>
          <w:color w:val="auto"/>
        </w:rPr>
      </w:pPr>
    </w:p>
    <w:p>
      <w:pPr>
        <w:ind w:left="800" w:right="300" w:hanging="484"/>
        <w:spacing w:after="0" w:line="282" w:lineRule="auto"/>
        <w:tabs>
          <w:tab w:leader="none" w:pos="7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operating results historically have been highly dependent on bitcoin and the Bitcoin ecosystem, which are volatile and subject to risks beyond our control.</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HPC</w:t>
      </w:r>
    </w:p>
    <w:p>
      <w:pPr>
        <w:spacing w:after="0" w:line="187" w:lineRule="exact"/>
        <w:rPr>
          <w:sz w:val="20"/>
          <w:szCs w:val="20"/>
          <w:color w:val="auto"/>
        </w:rPr>
      </w:pPr>
    </w:p>
    <w:p>
      <w:pPr>
        <w:ind w:left="800" w:right="400" w:hanging="484"/>
        <w:spacing w:after="0" w:line="282" w:lineRule="auto"/>
        <w:tabs>
          <w:tab w:leader="none" w:pos="7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potential use of emerging technologies like artificial intelligence could lead to unintended consequences and result in reputational harm and litigation.</w:t>
      </w:r>
    </w:p>
    <w:p>
      <w:pPr>
        <w:spacing w:after="0" w:line="121" w:lineRule="exact"/>
        <w:rPr>
          <w:rFonts w:ascii="Times New Roman" w:cs="Times New Roman" w:eastAsia="Times New Roman" w:hAnsi="Times New Roman"/>
          <w:sz w:val="18"/>
          <w:szCs w:val="18"/>
          <w:color w:val="auto"/>
        </w:rPr>
      </w:pPr>
    </w:p>
    <w:p>
      <w:pPr>
        <w:ind w:left="800" w:hanging="484"/>
        <w:spacing w:after="0"/>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surrounding AI may negatively impact our HPC data center operations.</w:t>
      </w:r>
    </w:p>
    <w:p>
      <w:pPr>
        <w:spacing w:after="0" w:line="198" w:lineRule="exact"/>
        <w:rPr>
          <w:rFonts w:ascii="Times New Roman" w:cs="Times New Roman" w:eastAsia="Times New Roman" w:hAnsi="Times New Roman"/>
          <w:sz w:val="18"/>
          <w:szCs w:val="18"/>
          <w:color w:val="auto"/>
        </w:rPr>
      </w:pPr>
    </w:p>
    <w:p>
      <w:pPr>
        <w:ind w:left="800" w:right="760" w:hanging="484"/>
        <w:spacing w:after="0" w:line="282" w:lineRule="auto"/>
        <w:tabs>
          <w:tab w:leader="none" w:pos="7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a highly-evolving regulatory landscape and any adverse changes to, or our failure to comply with, any laws and regulations could adversely affect our business, reputation, prospects or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Regulatory Framework</w:t>
      </w:r>
    </w:p>
    <w:p>
      <w:pPr>
        <w:spacing w:after="0" w:line="187" w:lineRule="exact"/>
        <w:rPr>
          <w:sz w:val="20"/>
          <w:szCs w:val="20"/>
          <w:color w:val="auto"/>
        </w:rPr>
      </w:pPr>
    </w:p>
    <w:p>
      <w:pPr>
        <w:ind w:left="800" w:right="160" w:hanging="484"/>
        <w:spacing w:after="0" w:line="261" w:lineRule="auto"/>
        <w:tabs>
          <w:tab w:leader="none" w:pos="7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electricity market risks relating to changes in laws, regulations and requirements of market operators, network operators and/or regulatory bodies, including with respect to interconnection of facilities of large electrical loads to the ERCOT grid, (for example, via a process that may batch multiple large load interconnection requests), grid stability, voltage ride-through, frequency ride-through and curtailment obligations.</w:t>
      </w:r>
    </w:p>
    <w:p>
      <w:pPr>
        <w:spacing w:after="0" w:line="152" w:lineRule="exact"/>
        <w:rPr>
          <w:rFonts w:ascii="Times New Roman" w:cs="Times New Roman" w:eastAsia="Times New Roman" w:hAnsi="Times New Roman"/>
          <w:sz w:val="18"/>
          <w:szCs w:val="18"/>
          <w:color w:val="auto"/>
        </w:rPr>
      </w:pPr>
    </w:p>
    <w:p>
      <w:pPr>
        <w:ind w:left="800" w:hanging="484"/>
        <w:spacing w:after="0" w:line="266" w:lineRule="auto"/>
        <w:tabs>
          <w:tab w:leader="none" w:pos="7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environmental, health and safety laws and regulations, including applicable zoning, building-code and energy-efficiency standards and worker health and safety laws and regulations and any changes to them may materially adversely affect our brand, reputation, business, results of operations and financial position.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Indebtedness</w:t>
      </w:r>
    </w:p>
    <w:p>
      <w:pPr>
        <w:spacing w:after="0" w:line="187" w:lineRule="exact"/>
        <w:rPr>
          <w:sz w:val="20"/>
          <w:szCs w:val="20"/>
          <w:color w:val="auto"/>
        </w:rPr>
      </w:pPr>
    </w:p>
    <w:p>
      <w:pPr>
        <w:ind w:left="800" w:right="360" w:hanging="484"/>
        <w:spacing w:after="0" w:line="282" w:lineRule="auto"/>
        <w:tabs>
          <w:tab w:leader="none" w:pos="7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and liabilities could limit the cash flow available for our operations, expose us to risks that could adversely affect our business, financial condition and results of operations and impair our ability to satisfy our obligations under the notes.</w:t>
      </w:r>
    </w:p>
    <w:p>
      <w:pPr>
        <w:spacing w:after="0" w:line="134" w:lineRule="exact"/>
        <w:rPr>
          <w:rFonts w:ascii="Times New Roman" w:cs="Times New Roman" w:eastAsia="Times New Roman" w:hAnsi="Times New Roman"/>
          <w:sz w:val="18"/>
          <w:szCs w:val="18"/>
          <w:color w:val="auto"/>
        </w:rPr>
      </w:pPr>
    </w:p>
    <w:p>
      <w:pPr>
        <w:ind w:left="800" w:right="160" w:hanging="484"/>
        <w:spacing w:after="0" w:line="282" w:lineRule="auto"/>
        <w:tabs>
          <w:tab w:leader="none" w:pos="7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generate sufficient cash to service all of our indebtedness and to fund our working capital and capital expenditures, and may be forced to take other actions to satisfy our obligations under our indebtedness that may not be successful.</w:t>
      </w:r>
    </w:p>
    <w:p>
      <w:pPr>
        <w:spacing w:after="0" w:line="121" w:lineRule="exact"/>
        <w:rPr>
          <w:rFonts w:ascii="Times New Roman" w:cs="Times New Roman" w:eastAsia="Times New Roman" w:hAnsi="Times New Roman"/>
          <w:sz w:val="18"/>
          <w:szCs w:val="18"/>
          <w:color w:val="auto"/>
        </w:rPr>
      </w:pPr>
    </w:p>
    <w:p>
      <w:pPr>
        <w:ind w:left="800" w:hanging="484"/>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agreements contain restrictions that will limit flexibility in operating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60" w:top="1296" w:right="35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87"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Annual Report to the “Company,” “Cipher,” “Cipher Digital,” “we,” “us” or “our” refers to Cipher Digital Inc. and its consolidated subsidiaries, unless otherwise indicated.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8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are dedicated to developing and operating industrial-scale data centers engineered for next-generation computing at the highest standards of innovation, precision, and excellence. Over the past several years, we have intentionally evolved from a pure-play bitcoin miner into a vertically integrated data center development and operations platform focused on energy-intensive compute infrastructure. Our vertical integration spans critical stages of the data center value chain, including land and power origination and interconnection, site development, data center design and construction, oversight and ongoing facility operations.</w:t>
      </w:r>
    </w:p>
    <w:p>
      <w:pPr>
        <w:spacing w:after="0" w:line="143"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Fundamentally, we bring together construction, engineering, operations, power, real estate and technology expertise to deliver high quality, purpose-built data centers that meet tenants’ needs. Our in-house teams source and control industrial-scale sites with access to substantial electric power capacity, advance grid interconnection and substation development, and manage the design and construction of data center campuses. We also operate and maintain energy-intensive data center facilities, leveraging operational expertise developed through our employees’ extensive experience managing Tier III HPC data centers and large, flexible electrical loads. Against a backdrop of increasing demand for artificial intelligence (“AI”) technology and access to energized HPC data centers to meet consumers’ demands for such technology, we believe we play an important part of the AI economy and we expect to benefit from powerful, long-term growth drivers.</w:t>
      </w:r>
    </w:p>
    <w:p>
      <w:pPr>
        <w:spacing w:after="0" w:line="162"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While bitcoin mining has been an important component of our business model in prior years, our strategy increasingly emphasizes the development of industrial-scale data centers that can be leased to hyperscalers and other HPC customers under long-term contracts, while retaining the flexibility to deploy bitcoin mining as an interim or complementary use of power.</w:t>
      </w:r>
    </w:p>
    <w:p>
      <w:pPr>
        <w:spacing w:after="0" w:line="13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February 20, 2026, we changed our name to “Cipher Digital Inc.” Rebranding to “Cipher Digital” aligns with our corporate strategy to scale into a leading HPC data center developer and operator, as we leverage our existing site pipeline and source additional sites, partnering with premier tenants, and developing and operating industry-leading data centers purpose-built for HPC. Our goal is to monetize our power assets and manage capital efficiently through market cycles in order to align our infrastructure with the growing global demand for AI-driven compute capacity.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Center Portfolio</w:t>
      </w:r>
    </w:p>
    <w:p>
      <w:pPr>
        <w:spacing w:after="0" w:line="20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Our data center portfolio consists of 4.2 gigawatts (“GW”) of capacity across 10 sites, at various stages of interconnection. We are currently developing 600 megawatts (“MW”) of HPC data center facilities across two sites for hyperscaler tenants, and we currently operate approximately 207 MW of power at one bitcoin mining data center in Texas. We also maintain a pipeline of approximately 3.4 GW across seven sites in Texas and one additional site in Ohio.</w:t>
      </w:r>
    </w:p>
    <w:p>
      <w:pPr>
        <w:spacing w:after="0" w:line="13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believe we have secured key HPC leases for our data centers and expect to continue to do so for the additional sites in our portfolio due to several key strengths and strategies. We believe we have a demonstrated ability to source high-quality sites suitable for HPC tenants, with characteristics like proximity to major metropolitan areas, ample acreage, diverse fiber routes, and available interconnection infrastructure. We have experienced in-house construction, engineering and operations teams and project management competencies. We have demonstrated an ability to access and manage capital in a disciplined manner.</w:t>
      </w:r>
    </w:p>
    <w:p>
      <w:pPr>
        <w:spacing w:after="0" w:line="14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 significant component of our current and future growth is expected to be generated through the development of our existing portfolio and acquisition of new sites. We are focused on developing the remaining sites in our pipeline for future HPC tenants, and evaluating additional sites, locations, and partnerships to expand our pipeline that are suitable for HPC tenants. From time to time, we may also look to sell individual assets that we do not consider to be core to our business and growth strategy. For further details on our pipeline of future sites that we expect to be suitable for HPC, see “—</w:t>
      </w:r>
      <w:r>
        <w:rPr>
          <w:rFonts w:ascii="Times New Roman" w:cs="Times New Roman" w:eastAsia="Times New Roman" w:hAnsi="Times New Roman"/>
          <w:sz w:val="18"/>
          <w:szCs w:val="18"/>
          <w:i w:val="1"/>
          <w:iCs w:val="1"/>
          <w:color w:val="auto"/>
        </w:rPr>
        <w:t>Site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Pipeline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2"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HPC Leases</w:t>
      </w:r>
    </w:p>
    <w:p>
      <w:pPr>
        <w:spacing w:after="0" w:line="189" w:lineRule="exact"/>
        <w:rPr>
          <w:sz w:val="20"/>
          <w:szCs w:val="20"/>
          <w:color w:val="auto"/>
        </w:rPr>
      </w:pPr>
    </w:p>
    <w:p>
      <w:pPr>
        <w:ind w:right="40" w:firstLine="648"/>
        <w:spacing w:after="0" w:line="273" w:lineRule="auto"/>
        <w:rPr>
          <w:sz w:val="20"/>
          <w:szCs w:val="20"/>
          <w:color w:val="auto"/>
        </w:rPr>
      </w:pPr>
      <w:r>
        <w:rPr>
          <w:rFonts w:ascii="Times New Roman" w:cs="Times New Roman" w:eastAsia="Times New Roman" w:hAnsi="Times New Roman"/>
          <w:sz w:val="18"/>
          <w:szCs w:val="18"/>
          <w:color w:val="auto"/>
        </w:rPr>
        <w:t>In 2025, we entered into two leases with HPC tenants. As a result of these developments, our HPC-related contracts represent a significant portion of our expected future revenues. Additionally, we acquired two sites in 2025 that expanded our total development pipeline to approximately 3.4 GW of site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capacity. The remainder of our portfolio of sites also continues to attract interest from potential HPC tenants and possible leasing opportunities.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Fluidstack/Google Data Center Lease</w:t>
      </w:r>
    </w:p>
    <w:p>
      <w:pPr>
        <w:spacing w:after="0" w:line="187"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In the third quarter of 2025, through our wholly-owned subsidiary Cipher Barber Lake LLC (“Cipher Barber Lake”), we entered into long-term HPC leases with Fluidstack USA II Inc. (“Fluidstack”) to construct a data center at our Barber Lake site (“Barber Lake” or the “Barber Lake Facility”), located near Colorado City, Texas, supported by a lease recognition agreement, pursuant to which Google LLC (“Google”) has agreed to backstop certain obligations of Fluidstack under our HPC leases with Fluidstack.</w:t>
      </w:r>
    </w:p>
    <w:p>
      <w:pPr>
        <w:spacing w:after="0" w:line="13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Barber Lake Facility is being constructed on 250 acres of land owned by Cipher Barber Lake, and will have a gross capacity of 300 MW. 244 MW of gross capacity will be allocated to Fluidstack in Barber Lake Phase I, and the remaining 56 MW will be allocated to Fluidstack in Barber Lake Phase II. Cipher Barber Lake has received approvals for 300 MW of interconnection without any restrictions on the load profile and has entered into agreements necessary to participate in the Electric Reliability Council of Texas (“ERCOT”) market.</w:t>
      </w:r>
    </w:p>
    <w:p>
      <w:pPr>
        <w:spacing w:after="0" w:line="13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Cipher Barber Lake is targeting delivery of Barber Lake Phase I by September 30, 2026, and of Barber Lake Phase II by January 31, 2027. Construction commenced in 2025 and is proceeding under a structured delivery framework emphasizing off-site manufacturing, modular construction, and early procurement of long-lead equipment.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Amazon Data Center Lease</w:t>
      </w:r>
    </w:p>
    <w:p>
      <w:pPr>
        <w:spacing w:after="0" w:line="254"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In October 2025, through our wholly-owned subsidiary Cipher Black Pearl LLC (“Cipher Black Pearl”), we entered into a 15-year lease agreement with Amazon Web Services, Inc. (“Amazon”) to deliver approximately 300 gross MW of turnkey data center capacity at the site (“Black Pearl” or the “Black Pearl Facility”), with phased delivery expected to commence in 2026.</w:t>
      </w:r>
    </w:p>
    <w:p>
      <w:pPr>
        <w:spacing w:after="0" w:line="135"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Black Pearl Facility is being constructed on approximately 75 acres of land owned by a wholly-owned Cipher subsidiary near Wink, Texas. The Black Pearl Facility has received approvals for 300 MW of interconnection and has entered into agreements necessary to participate in the ERCOT market.</w:t>
      </w:r>
    </w:p>
    <w:p>
      <w:pPr>
        <w:spacing w:after="0" w:line="135"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Cipher Black Pearl is targeting rent commencement for the initial subphase of Black Pearl Phase I by the fourth quarter of 2026 and the initial subphase for Black Pearl Phase II by the first quarter of 2027. Rent for the lease is expected to fully ramp by the first quarter of 2027 upon completion of the final subphase. The retrofit and development of the 300 MW data center commenced in 2025 and is proceeding under a structured delivery framework emphasizing off-site manufacturing, modular construction, and early procurement of long-lead equipment.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Site Pipeline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Below we discuss our pipeline of sites, totaling 3.4 GW of capacity, that we anticipate energizing between 2026 and 2030.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Colchis Site</w:t>
      </w:r>
    </w:p>
    <w:p>
      <w:pPr>
        <w:spacing w:after="0" w:line="20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November 2025, we purchased a majority interest in a joint venture entity to develop a new HPC site in West Texas capable of providing 1-GW, referred to as Colchis (the “Colchis Site”), under which we expect to hold a majority equity interest subject to final lease and development terms. The Colchis Site includes a fully executed direct interconnection agreement with American Electric Power (“AEP”) for a dual interconnection facility targeting energization in 2028 and options to buy approximately 620 acres of land adjacent to an existing substation.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Ulysses Site</w:t>
      </w:r>
    </w:p>
    <w:p>
      <w:pPr>
        <w:spacing w:after="0" w:line="187"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In December 2025, we acquired a 200 MW data center site in Ohio, referred to as Ulysses (the “Ulysses Site”). The acquisition secured capacity from AEP Ohio to support development of the site. In a separate transaction, we acquired land options to purchase approximately 195 acres of land at the site. The Ulysses Site is expected to energize in the fourth</w:t>
      </w:r>
    </w:p>
    <w:p>
      <w:pPr>
        <w:spacing w:after="0" w:line="200" w:lineRule="exact"/>
        <w:rPr>
          <w:sz w:val="20"/>
          <w:szCs w:val="20"/>
          <w:color w:val="auto"/>
        </w:rPr>
      </w:pPr>
    </w:p>
    <w:p>
      <w:pPr>
        <w:spacing w:after="0" w:line="3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8" w:name="page9"/>
    <w:bookmarkEnd w:id="8"/>
    <w:p>
      <w:pPr>
        <w:ind w:right="20"/>
        <w:spacing w:after="0" w:line="258" w:lineRule="auto"/>
        <w:rPr>
          <w:sz w:val="20"/>
          <w:szCs w:val="20"/>
          <w:color w:val="auto"/>
        </w:rPr>
      </w:pPr>
      <w:r>
        <w:rPr>
          <w:rFonts w:ascii="Times New Roman" w:cs="Times New Roman" w:eastAsia="Times New Roman" w:hAnsi="Times New Roman"/>
          <w:sz w:val="18"/>
          <w:szCs w:val="18"/>
          <w:color w:val="auto"/>
        </w:rPr>
        <w:t>quarter of 2027 and, once energized, will provide us with direct access to PJM Interconnection L.L.C., the largest wholesale electricity market in the United States. The site is well-suited for HPC applications given its acreage, expected energization timeline, availability of diverse fiber paths, and proximity to a major metropolitan area. The Ulysses Site represents our first acquisition outside of Texas and expands our development pipeline to approximately 3.4 GW across eight sites, reflecting our strategy to diversify geographically and source power-advantaged sites capable of supporting industrial-scale, turnkey HPC data center deployments.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Stingray Site</w:t>
      </w:r>
    </w:p>
    <w:p>
      <w:pPr>
        <w:spacing w:after="0" w:line="187"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Our Stingray site (the “Stingray Site”) is located in West Texas. The Stingray Site has conditional ERCOT interconnection approval of up to 100 MW. We expect to energize the site in the first half of 2026.</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Reveille Site</w:t>
      </w:r>
    </w:p>
    <w:p>
      <w:pPr>
        <w:spacing w:after="0" w:line="187"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Our Reveille site (“Reveille” or the “Reveille Site”) is located in Cotulla, Texas. The Reveille Site has ERCOT interconnection approval of up to 70 MW, with the possibility for expansion. We expect to energize the site in 2027.</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McLennan Site</w:t>
      </w:r>
    </w:p>
    <w:p>
      <w:pPr>
        <w:spacing w:after="0" w:line="200"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In October 2024, we entered into an option agreement to acquire a special purposes entity holding the rights to purchase a site, referred to as McLennan (the “McLennan Site”), located in central Texas. The McLennan Site has targeted capacity of up to 500 MW and estimated energization in 2028. In February 2026, we exercised the option to acquire the special purpose entity holding the right to purchase the McLennan Site, and acquired such rights. We are also currently in the process of exercising such rights to purchase the McLennan Site.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Mikeska Site</w:t>
      </w:r>
    </w:p>
    <w:p>
      <w:pPr>
        <w:spacing w:after="0" w:line="18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In October 2024, we entered into an option agreement to acquire a special purposes entity holding a ground lease with an option to purchase a site, referred to as Mikeska (the “Mikeska Site”), located in West Texas. The Mikeska Site has targeted capacity of up to 500 MW and estimated energization in 2028. In February 2026, we exercised the option to acquire the special purpose entity holding the ground lease with an option to purchase the Mikeska Site, and acquired such rights.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Milsing Site</w:t>
      </w:r>
    </w:p>
    <w:p>
      <w:pPr>
        <w:spacing w:after="0" w:line="18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 October 2024, we entered into an option agreement to acquire a special purposes entity holding the rights to purchase a site, referred to as Milsing (the “Milsing Site”), located in East Texas. The Milsing Site has targeted capacity of up to 500 MW and estimated energization between 2028 and 2029. In December 2025, we exercised the option to acquire the special purpose entity holding the right to purchase the Milsing Site and acquired such rights.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Bitcoin Mining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Odessa Facility</w:t>
      </w:r>
    </w:p>
    <w:p>
      <w:pPr>
        <w:spacing w:after="0" w:line="200"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Our Odessa data center (the “Odessa Facility”) is our wholly-owned 207 MW facility located in Odessa, Texas. The Odessa Facility is an approximately 52 acre site, located next to a natural gas power production facility. We began bitcoin mining operations on this site in November 2022 and completed the build out of the site in September 2023.</w:t>
      </w:r>
    </w:p>
    <w:p>
      <w:pPr>
        <w:spacing w:after="0" w:line="13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power at the Odessa Facility is supplied by Luminant ET Services Company LLC (“Luminant”) under a power purchase agreement, pursuant to which we have access, until at least July 2027, to electricity at a cost of approximately 2.7 c/kWh, subject to certain increases related to certain tariffs, price increased in October 2025 to 2.8 c/kWh. For further details on our power purchase agreement with Luminant, see “</w:t>
      </w:r>
      <w:r>
        <w:rPr>
          <w:rFonts w:ascii="Times New Roman" w:cs="Times New Roman" w:eastAsia="Times New Roman" w:hAnsi="Times New Roman"/>
          <w:sz w:val="18"/>
          <w:szCs w:val="18"/>
          <w:i w:val="1"/>
          <w:iCs w:val="1"/>
          <w:color w:val="auto"/>
        </w:rPr>
        <w:t>—Business Agreements—Luminant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Power Agreement</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Odessa Facility may also be suitable for retrofitting for HPC tenants.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Black Pearl Facility</w:t>
      </w:r>
    </w:p>
    <w:p>
      <w:pPr>
        <w:spacing w:after="0" w:line="18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Our Black Pearl data center is our wholly-owned 300 MW facility located in Wink, Texas. We commenced mining bitcoin at the Black Pearl data center in June 2025 and ramped up to 150 MW of capacity by September 2025. In November 2025, we entered into a 15-year lease agreement with Amazon to deliver approximately 300 MW of turnkey</w:t>
      </w:r>
    </w:p>
    <w:p>
      <w:pPr>
        <w:sectPr>
          <w:pgSz w:w="11900" w:h="16838" w:orient="portrait"/>
          <w:cols w:equalWidth="0" w:num="1">
            <w:col w:w="11240"/>
          </w:cols>
          <w:pgMar w:left="320" w:top="1296"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type w:val="continuous"/>
        </w:sectPr>
      </w:pPr>
    </w:p>
    <w:bookmarkStart w:id="9" w:name="page10"/>
    <w:bookmarkEnd w:id="9"/>
    <w:p>
      <w:pPr>
        <w:ind w:right="120"/>
        <w:spacing w:after="0" w:line="282" w:lineRule="auto"/>
        <w:rPr>
          <w:sz w:val="20"/>
          <w:szCs w:val="20"/>
          <w:color w:val="auto"/>
        </w:rPr>
      </w:pPr>
      <w:r>
        <w:rPr>
          <w:rFonts w:ascii="Times New Roman" w:cs="Times New Roman" w:eastAsia="Times New Roman" w:hAnsi="Times New Roman"/>
          <w:sz w:val="18"/>
          <w:szCs w:val="18"/>
          <w:color w:val="auto"/>
        </w:rPr>
        <w:t>data center capacity at the site, with phased delivery expected to commence in 2026. As a result, in February 2026 bitcoin mining operations ceased at the Black Pearl Facility.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WindHQ Joint Venture (“JV”) Sites</w:t>
      </w:r>
    </w:p>
    <w:p>
      <w:pPr>
        <w:spacing w:after="0" w:line="18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From 2022 through February 2026, we had 49% equity interests in three 40 MW bitcoin mining data centers, each of which was partially-owned through a joint venture with WindHQ LLC (“WindHQ”); the Alborz data center (the “Alborz Facility”), the Bear data center (the “Bear Facility”), and the Chief data center (the “Chief Facility”). We had a 49% membership interest in Alborz LLC, which owns the Alborz Facility, a 49% membership interest in Bear LLC, which owns the Bear Facility, and a 49% membership interest in Chief Mountain LLC, which owns the Chief Facility. On February 19, 2026, we sold our 49% interests in our WindHQ JV sites to Canaan U.S. Inc.</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Center Sourcing, Development and Operation</w:t>
      </w:r>
    </w:p>
    <w:p>
      <w:pPr>
        <w:spacing w:after="0" w:line="18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Our core business model is centered on sourcing, designing, constructing, and operating data centers in power-advantaged locations. As demand for electricity-intensive AI and HPC infrastructure has accelerated, we have expanded our focus to include turnkey data center campuses capable of supporting hyperscaler requirements, including high power density, advanced cooling, redundancy, and long-term scalability. We believe this process and our team’s expertise are key to our operational success and maintaining our competitiveness. Our team conducts a rigorous process of sourcing, technical design, construction and operations, procurement and supply chain management.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Power Origination and Control</w:t>
      </w:r>
    </w:p>
    <w:p>
      <w:pPr>
        <w:spacing w:after="0" w:line="200"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Our team takes a power-first approach to sourcing sites, and our power origination process is informed by experience and strong industry relationships that offer insight into sourcing attractive sites that will meet our high standards. In addition to required power capacity, we consider other important requirements for HPC operations, such as energization timing, access to fiber connectivity and water resources, size, regulatory approvals, location, anticipated power costs and other factors in evaluating potential sites.</w:t>
      </w:r>
    </w:p>
    <w:p>
      <w:pPr>
        <w:spacing w:after="0" w:line="13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team begins sourcing potential sites up to a few years in advance of planned development. We source new data center locations by acquiring options to purchase, purchasing or leasing property that we can develop for use as data center facilities. Our site origination process involves identifying sites with viable grid interconnection potential and advancing them through the applicable interconnection queue through energization. We also develop the requisite electrical infrastructure to support data center operations and evaluate opportunities for behind-the-meter generation where appropriate. Site acquisition typically involves securing necessary site improvements and addressing potential development constraints to support construction and long-term operational viability. We also evaluate alternative water sourcing solutions, in particular for sites located in regions experiencing high baseline water stress, which may expose us to risks related to water scarcity, increased water costs, or regulatory constraints on water consumption. We also further assess opportunities to convert existing facilities for our data center operations or to acquire data centers from other companies.</w:t>
      </w:r>
    </w:p>
    <w:p>
      <w:pPr>
        <w:spacing w:after="0" w:line="151"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Based on our experience, we believe there is significant competition for power capacity and energized facilities, in part due to limited availability and significant interconnection queue backlogs, and that such competition will continue for the foreseeable future.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Hyperscale-Ready Design, Engineering and Construction</w:t>
      </w:r>
    </w:p>
    <w:p>
      <w:pPr>
        <w:spacing w:after="0" w:line="187" w:lineRule="exact"/>
        <w:rPr>
          <w:sz w:val="20"/>
          <w:szCs w:val="20"/>
          <w:color w:val="auto"/>
        </w:rPr>
      </w:pPr>
    </w:p>
    <w:p>
      <w:pPr>
        <w:ind w:right="80" w:firstLine="648"/>
        <w:spacing w:after="0" w:line="290" w:lineRule="auto"/>
        <w:rPr>
          <w:sz w:val="20"/>
          <w:szCs w:val="20"/>
          <w:color w:val="auto"/>
        </w:rPr>
      </w:pPr>
      <w:r>
        <w:rPr>
          <w:rFonts w:ascii="Times New Roman" w:cs="Times New Roman" w:eastAsia="Times New Roman" w:hAnsi="Times New Roman"/>
          <w:sz w:val="17"/>
          <w:szCs w:val="17"/>
          <w:color w:val="auto"/>
        </w:rPr>
        <w:t>After procuring a site, we design and, through cooperation with developers, contractors, and suppliers, build out a facility that meets specific design and technical requirements. The design, engineering and construction approach considers a range of requirements and site characteristics, including</w:t>
      </w:r>
    </w:p>
    <w:p>
      <w:pPr>
        <w:ind w:right="540"/>
        <w:spacing w:after="0" w:line="312" w:lineRule="auto"/>
        <w:rPr>
          <w:sz w:val="20"/>
          <w:szCs w:val="20"/>
          <w:color w:val="auto"/>
        </w:rPr>
      </w:pPr>
      <w:r>
        <w:rPr>
          <w:rFonts w:ascii="Times New Roman" w:cs="Times New Roman" w:eastAsia="Times New Roman" w:hAnsi="Times New Roman"/>
          <w:sz w:val="17"/>
          <w:szCs w:val="17"/>
          <w:color w:val="auto"/>
        </w:rPr>
        <w:t>power and water capacity, redundancy, power density, cooling, rack configuration and other technical specifications. We believe our team’s industry experience and design process serve as a foundation for ensuring our data centers meet the highest standards for operational efficiency and safety.</w:t>
      </w:r>
    </w:p>
    <w:p>
      <w:pPr>
        <w:spacing w:after="0" w:line="16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 addition to managing engineering and design work, our in-house team oversees construction project management, including vendor selection, procurement, budgeting, quality supervision, and more. We believe that these elements are important to ensure the project is completed on time, within budget, and to specific quality standards. We have also secured key purchasing agreements and developed relationships with major equipment manufacturers, reducing costs and shortening delivery timeframes on key components, including major mechanical and electrical equipment. We have also secured a key partnership with Quanta Services, Inc. (NYSE:PWR), a key engineering, construction and procurement partner for our development of sites like Black Pearl and Barber Lake.</w:t>
      </w: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6"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Operational Excellence</w:t>
      </w:r>
    </w:p>
    <w:p>
      <w:pPr>
        <w:spacing w:after="0" w:line="227"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Our data center operations team manages the daily operation of our data center facilities. Our team’s extensive industry experience and commitment to operational excellence help us meet our goal of safely operating data centers at the highest standards. In 2024, the Odessa Facility was the first bitcoin mining data center awarded the Management and Operations, or M&amp;O, Stamp of Approval award from the Uptime Institute, an independent organization focused on improving the performance, efficiency, and reliability of business-critical infrastructure that has established standards and performance certifications for data center design and construction.</w:t>
      </w:r>
    </w:p>
    <w:p>
      <w:pPr>
        <w:spacing w:after="0" w:line="156"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Our team oversees all aspects of our data center’s operations, which include data center performance, operating data centers pursuant to strict service level agreements for our gross modified HPC leases, miner performance at our bitcoin mining operations, network performance and incident response management.</w:t>
      </w:r>
    </w:p>
    <w:p>
      <w:pPr>
        <w:spacing w:after="0" w:line="135"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Our technology team has also developed proprietary software for data center management and optimization, which provides critical real-time information on our data centers’ performance and enables us to optimize our operations. For more information on our proprietary software, see “— </w:t>
      </w:r>
      <w:r>
        <w:rPr>
          <w:rFonts w:ascii="Times New Roman" w:cs="Times New Roman" w:eastAsia="Times New Roman" w:hAnsi="Times New Roman"/>
          <w:sz w:val="18"/>
          <w:szCs w:val="18"/>
          <w:i w:val="1"/>
          <w:iCs w:val="1"/>
          <w:color w:val="auto"/>
        </w:rPr>
        <w:t>Intellectual Property</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right="1440" w:firstLine="648"/>
        <w:spacing w:after="0" w:line="461" w:lineRule="auto"/>
        <w:rPr>
          <w:sz w:val="20"/>
          <w:szCs w:val="20"/>
          <w:color w:val="auto"/>
        </w:rPr>
      </w:pPr>
      <w:r>
        <w:rPr>
          <w:rFonts w:ascii="Times New Roman" w:cs="Times New Roman" w:eastAsia="Times New Roman" w:hAnsi="Times New Roman"/>
          <w:sz w:val="18"/>
          <w:szCs w:val="18"/>
          <w:color w:val="auto"/>
        </w:rPr>
        <w:t xml:space="preserve">We believe that our team’s experience and high standards for data center operations set us apart from many of our competitors. </w:t>
      </w:r>
      <w:r>
        <w:rPr>
          <w:rFonts w:ascii="Times New Roman" w:cs="Times New Roman" w:eastAsia="Times New Roman" w:hAnsi="Times New Roman"/>
          <w:sz w:val="18"/>
          <w:szCs w:val="18"/>
          <w:i w:val="1"/>
          <w:iCs w:val="1"/>
          <w:color w:val="auto"/>
        </w:rPr>
        <w:t>Capital Discipline</w:t>
      </w:r>
    </w:p>
    <w:p>
      <w:pPr>
        <w:spacing w:after="0" w:line="1"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seek to maintain a disciplined approach to capital allocation and financing to support scalable growth while managing balance sheet risk and preserving financial flexibility. Our development model has focused on using project-level financing arrangements, non-recourse where possible, together with long-term lease structures, to fund the construction and operation of our data center assets. These structures are intended to align capital investment with asset-level cash flows and reduce reliance on corporate leverage.</w:t>
      </w:r>
    </w:p>
    <w:p>
      <w:pPr>
        <w:spacing w:after="0" w:line="13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typically pursue structuring projects with phased development, non-recourse or limited-recourse debt, to reduce downside risk and enhance return visibility while maintaining control over critical development and operational decisions. Long-term leases with high-quality counterparties further support financing by improving cash flow visibility and credit quality at the project level. Management’s emphasis on disciplined deployment of capital and forecasting future capital needs ensures that capital is deployed selectively and efficiently across market environments, reinforcing our ability to grow responsibly and sustain long-term value creation.</w:t>
      </w:r>
    </w:p>
    <w:p>
      <w:pPr>
        <w:spacing w:after="0" w:line="143"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We believe this approach to capital discipline provides flexibility across market cycles, isolates project-specific construction risks, supports the efficient deployment of capital, and allows us to pursue growth opportunities while preserving liquidity and maintaining a prudent financial profile.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Structure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Bitcoin Mining Business</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Through the end of 2025, our revenue has been derived from mining bitcoin. Specifically, at our bitcoin mining data centers we purchase electrical power and use it to run miners that produce computing power. We contribute the computing power we produce to one or more mining pools confirming transactions on the Bitcoin blockchain in exchange for block rewards and transaction fees. This means that we provide our computing power, or hashrate, to the mining pool in exchange for a proportionate share of bitcoin mined by the network. To the extent that we can produce bitcoin through mining at a cost that is lower than the market price of bitcoin, we expect to generate profits.</w:t>
      </w:r>
    </w:p>
    <w:p>
      <w:pPr>
        <w:spacing w:after="0" w:line="15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Block rewards are subsidies paid in bitcoin that are programmed into the Bitcoin software and awarded to a miner, or a group of miners, for providing a valid solution to the cryptographic problem required to publish a new block of transactions on the Bitcoin blockchain. Block rewards are fixed in the short term and the Bitcoin network is designed to reduce them periodically through halving. Most recently, in April 2024, the block reward was reduced from 6.25 to 3.125 bitcoin, and it will halve again, to 1.5625 bitcoin, which is estimated to occur in April 2028.</w:t>
      </w:r>
    </w:p>
    <w:p>
      <w:pPr>
        <w:spacing w:after="0" w:line="13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Bitcoin miners also collect transaction fees for each transaction they confirm. Miners batch unconfirmed transactions into new blocks to be published and added to the blockchain. Miners are not forced to confirm any specific transaction, but they are economically incentivized to confirm valid transactions as a means of collecting fees. Miners have</w:t>
      </w:r>
    </w:p>
    <w:p>
      <w:pPr>
        <w:spacing w:after="0" w:line="200" w:lineRule="exact"/>
        <w:rPr>
          <w:sz w:val="20"/>
          <w:szCs w:val="20"/>
          <w:color w:val="auto"/>
        </w:rPr>
      </w:pPr>
    </w:p>
    <w:p>
      <w:pPr>
        <w:spacing w:after="0" w:line="3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4"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historically accepted relatively low transaction fees, but transaction fees vary and it is difficult to predict what transaction fees will be in the future.</w:t>
      </w:r>
    </w:p>
    <w:p>
      <w:pPr>
        <w:spacing w:after="0" w:line="18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have a portfolio of electrical power assets that was developed to allow us to profitably mine bitcoin. We purchase a majority of the power for our currently operational bitcoin mining data centers at a fixed cost. To the extent that we do not use purchased electrical power to mine bitcoin, we seek to sell that electrical power back to the wholesale power market. To the extent we can sell such surplus power at a price greater than our cost to purchase it, we expect to generate profits. If we are curtailed by our power provider, we may purchase power from the electrical grid.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Agreements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HPC Leases</w:t>
      </w:r>
    </w:p>
    <w:p>
      <w:pPr>
        <w:spacing w:after="0" w:line="187"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In 2025, we executed HPC leases with Fluidstack and Amazon, which represent a significant portion of our expected future revenues. For more information, see “—</w:t>
      </w:r>
      <w:r>
        <w:rPr>
          <w:rFonts w:ascii="Times New Roman" w:cs="Times New Roman" w:eastAsia="Times New Roman" w:hAnsi="Times New Roman"/>
          <w:sz w:val="18"/>
          <w:szCs w:val="18"/>
          <w:i w:val="1"/>
          <w:iCs w:val="1"/>
          <w:color w:val="auto"/>
        </w:rPr>
        <w:t>HPC Leases.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Luminant Power Agreement</w:t>
      </w:r>
    </w:p>
    <w:p>
      <w:pPr>
        <w:spacing w:after="0" w:line="20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June 2021, we entered into a power purchase agreement with Luminant for the supply of electric power to the Odessa Facility, which was subsequently amended and restated, most recently on August 23, 2023 (as amended, the “Luminant Power Agreement”), pursuant to which we have access, until at least July 2027, to a cost of electricity of approximately 2.7 c/kWh, subject to certain increases related to certain tariffs, price increased in October 2025 to 2.8 c/kWh. The Luminant Power Agreement provides for a take or pay arrangement, whereby, Luminant will supply, and we are obligated to accept and pay for, a total electrical power capacity equal to at least 66.7% of the full 207 MW capacity each year at a predetermined MWh rate. The agreement also provides for certain curtailment events pursuant to which Luminant has a right to curtail the electrical power delivered in each contractual year. Subject to certain early termination exceptions, the agreement provides for a subsequent automatic annual renewal, unless either party provides written notice to the other party of its intent to terminate the agreement at least six months prior to the expiration of the then-current term.</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18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We believe we have the following strengths that give us a competitive advantage in the data center development and operations business, and position us as a preferred partner for hyperscalers seeking new capacity in power-constrained markets.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Power-first site sourcing approach in a competitive landscape</w:t>
      </w:r>
    </w:p>
    <w:p>
      <w:pPr>
        <w:spacing w:after="0" w:line="187" w:lineRule="exact"/>
        <w:rPr>
          <w:sz w:val="20"/>
          <w:szCs w:val="20"/>
          <w:color w:val="auto"/>
        </w:rPr>
      </w:pPr>
    </w:p>
    <w:p>
      <w:pPr>
        <w:ind w:right="320" w:firstLine="648"/>
        <w:spacing w:after="0" w:line="281" w:lineRule="auto"/>
        <w:rPr>
          <w:sz w:val="20"/>
          <w:szCs w:val="20"/>
          <w:color w:val="auto"/>
        </w:rPr>
      </w:pPr>
      <w:r>
        <w:rPr>
          <w:rFonts w:ascii="Times New Roman" w:cs="Times New Roman" w:eastAsia="Times New Roman" w:hAnsi="Times New Roman"/>
          <w:sz w:val="17"/>
          <w:szCs w:val="17"/>
          <w:color w:val="auto"/>
        </w:rPr>
        <w:t>We have demonstrated industry-leading expertise in originating and securing industrial-scale, greenfield data center sites with attractive power economics and take a power-first approach to site origination. We focus on locations with access to power and fiber, scalable interconnection, ample acreage, and favorable long-term development characteristics. To date, we have sourced approximately 4.2 GW of power capacity at various stages of interconnection by engaging early with landowners, utilities, and grid operators and securing site control and interconnection in advance of demand.</w:t>
      </w:r>
    </w:p>
    <w:p>
      <w:pPr>
        <w:spacing w:after="0" w:line="12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have secured a valuable pipeline of best-in-class sites by leveraging our industry expertise, strategic partnerships, and a disciplined, power-first approach to identifying high-value locations for HPC tenants. See “— </w:t>
      </w:r>
      <w:r>
        <w:rPr>
          <w:rFonts w:ascii="Times New Roman" w:cs="Times New Roman" w:eastAsia="Times New Roman" w:hAnsi="Times New Roman"/>
          <w:sz w:val="18"/>
          <w:szCs w:val="18"/>
          <w:i w:val="1"/>
          <w:iCs w:val="1"/>
          <w:color w:val="auto"/>
        </w:rPr>
        <w:t>Data Center Sourcing, Development and Operation—Power Origination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Control.” </w:t>
      </w:r>
      <w:r>
        <w:rPr>
          <w:rFonts w:ascii="Times New Roman" w:cs="Times New Roman" w:eastAsia="Times New Roman" w:hAnsi="Times New Roman"/>
          <w:sz w:val="18"/>
          <w:szCs w:val="18"/>
          <w:color w:val="auto"/>
        </w:rPr>
        <w:t>We believe demands for data center infrastructure have increased substantially, and that the data center industry is poised for continued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growth, driven by rapid adoption of digital technologies across all sectors. Simultaneously, we believe this continued growth occurs in the face of a power shortfall, which we believe makes our valuable portfolio of data center sites and our ability to continue sourcing and developing sites a key strategic advantage in a competitive landscape.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Deep experience in hyperscale development</w:t>
      </w:r>
    </w:p>
    <w:p>
      <w:pPr>
        <w:spacing w:after="0" w:line="187"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Our development and construction team brings significant experience building and operating hyperscale data centers, including prior leadership roles at leading global technology and infrastructure firms. The team has demonstrated the ability to take industrial-scale sites from initial concept and permitting through construction and energization on time and at scale.</w:t>
      </w:r>
    </w:p>
    <w:p>
      <w:pPr>
        <w:spacing w:after="0" w:line="135"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Our execution capability, combined with disciplined capital management, technical credibility, and a proven ability to deliver in power-constrained environments, has enabled us to build relationships with leading hyperscalers, infrastructure investors, utilities, and financing partners.</w:t>
      </w:r>
    </w:p>
    <w:p>
      <w:pPr>
        <w:spacing w:after="0" w:line="200" w:lineRule="exact"/>
        <w:rPr>
          <w:sz w:val="20"/>
          <w:szCs w:val="20"/>
          <w:color w:val="auto"/>
        </w:rPr>
      </w:pPr>
    </w:p>
    <w:p>
      <w:pPr>
        <w:spacing w:after="0" w:line="3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color w:val="auto"/>
        </w:rPr>
        <w:t>Operational excellence led by experienced leadership team</w:t>
      </w:r>
    </w:p>
    <w:p>
      <w:pPr>
        <w:spacing w:after="0" w:line="187"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Our leadership team brings deep experience in construction, operations, capital allocation, capital markets, real estate, and technology. Our construction and operations teams in particular have extensive HPC data center delivery experience, via their roles at hyperscalers prior to joining Cipher. We believe that our senior management team’s knowledge of such industries provides us with a key competitive advantage.</w:t>
      </w:r>
    </w:p>
    <w:p>
      <w:pPr>
        <w:spacing w:after="0" w:line="135"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Under this leadership, we operate industrial-scale data centers engineered for high reliability, efficiency, and performance. Our operating model emphasizes disciplined processes, data-driven decision-making, and continuous optimization, with teams experienced in managing infrastructure under demanding conditions across both bitcoin mining and HPC workloads. Management’s ability to manage our portfolio is supported by our dedicated asset management function, which provides centralized oversight of our portfolio of data center development projects and operating facilities. Such function facilitates cross-functional coordination across the company and supports management’s ability to anticipate and respond to portfolio-level challenges, thereby enabling timely operational and capital allocation decision-making.</w:t>
      </w:r>
    </w:p>
    <w:p>
      <w:pPr>
        <w:spacing w:after="0" w:line="160" w:lineRule="exact"/>
        <w:rPr>
          <w:sz w:val="20"/>
          <w:szCs w:val="20"/>
          <w:color w:val="auto"/>
        </w:rPr>
      </w:pPr>
    </w:p>
    <w:p>
      <w:pPr>
        <w:ind w:right="40" w:firstLine="648"/>
        <w:spacing w:after="0" w:line="289" w:lineRule="auto"/>
        <w:rPr>
          <w:sz w:val="20"/>
          <w:szCs w:val="20"/>
          <w:color w:val="auto"/>
        </w:rPr>
      </w:pPr>
      <w:r>
        <w:rPr>
          <w:rFonts w:ascii="Times New Roman" w:cs="Times New Roman" w:eastAsia="Times New Roman" w:hAnsi="Times New Roman"/>
          <w:sz w:val="17"/>
          <w:szCs w:val="17"/>
          <w:color w:val="auto"/>
        </w:rPr>
        <w:t>We believe management’s proven track record of execution, combined with operational rigor and a long-term, cycle-aware strategy, underpins our strong unit economics and ability to monetize power assets effectively across market cycles. Further, a significant portion of compensation for our senior management team, as well as our employees, is in the form of common stock of our Company, aligning their interests with those of external stockholders.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Strong balance sheet with disciplined capital management</w:t>
      </w:r>
    </w:p>
    <w:p>
      <w:pPr>
        <w:spacing w:after="0" w:line="18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actively manage our balance sheet to support ongoing operations and development while maintaining flexibility to finance large projects and manage downside risk. Management has demonstrated discipline in capital allocation by investing through various market cycles, structuring project-level financing, accessing capital markets, and preserving liquidity. We believe this financial posture supports our ability to fund growth, withstand volatility, and pursue opportunistic investments without compromising long-term stability.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strategy involves:</w:t>
      </w:r>
    </w:p>
    <w:p>
      <w:pPr>
        <w:spacing w:after="0" w:line="31" w:lineRule="exact"/>
        <w:rPr>
          <w:sz w:val="20"/>
          <w:szCs w:val="20"/>
          <w:color w:val="auto"/>
        </w:rPr>
      </w:pPr>
    </w:p>
    <w:p>
      <w:pPr>
        <w:ind w:left="1300" w:hanging="320"/>
        <w:spacing w:after="0"/>
        <w:tabs>
          <w:tab w:leader="none" w:pos="130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Leveraging our power-first site sourcing to address the growing power shortfall facing hyperscalers</w:t>
      </w:r>
    </w:p>
    <w:p>
      <w:pPr>
        <w:spacing w:after="0" w:line="13" w:lineRule="exact"/>
        <w:rPr>
          <w:rFonts w:ascii="Arial" w:cs="Arial" w:eastAsia="Arial" w:hAnsi="Arial"/>
          <w:sz w:val="22"/>
          <w:szCs w:val="22"/>
          <w:color w:val="auto"/>
        </w:rPr>
      </w:pPr>
    </w:p>
    <w:p>
      <w:pPr>
        <w:ind w:left="1300" w:hanging="320"/>
        <w:spacing w:after="0" w:line="230" w:lineRule="auto"/>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Developing and constructing industrial-scale, turnkey HPC data centers</w:t>
      </w:r>
    </w:p>
    <w:p>
      <w:pPr>
        <w:spacing w:after="0" w:line="1"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relationships with credit-worthy tenants and negotiating economically-attractive long-term leases</w:t>
      </w:r>
    </w:p>
    <w:p>
      <w:pPr>
        <w:spacing w:after="0" w:line="1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Sourcing efficient capital for the development and construction of HPC-ready data centers</w:t>
      </w:r>
    </w:p>
    <w:p>
      <w:pPr>
        <w:spacing w:after="0" w:line="17"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Maintaining cost leadership, operational excellence, and balance sheet discipline through market cycles</w:t>
      </w:r>
    </w:p>
    <w:p>
      <w:pPr>
        <w:spacing w:after="0" w:line="22" w:lineRule="exact"/>
        <w:rPr>
          <w:rFonts w:ascii="Times New Roman" w:cs="Times New Roman" w:eastAsia="Times New Roman" w:hAnsi="Times New Roman"/>
          <w:sz w:val="22"/>
          <w:szCs w:val="22"/>
          <w:color w:val="auto"/>
        </w:rPr>
      </w:pPr>
    </w:p>
    <w:p>
      <w:pPr>
        <w:ind w:left="1300" w:right="420" w:hanging="320"/>
        <w:spacing w:after="0" w:line="234" w:lineRule="auto"/>
        <w:tabs>
          <w:tab w:leader="none" w:pos="1295"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Expanding our portfolio through strategic acquisitions to enhance our development pipeline and increasing capacity at existing sites through on-site power generation or additional grid interconnection</w:t>
      </w:r>
    </w:p>
    <w:p>
      <w:pPr>
        <w:spacing w:after="0" w:line="15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We believe this strategy positions us at the intersection of energy, digital infrastructure, and compute, with a differentiated platform to service demand for industrial-scale data center capacity.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Developing industrial-scale, turnkey HPC data centers with long-term leasing potential</w:t>
      </w:r>
    </w:p>
    <w:p>
      <w:pPr>
        <w:spacing w:after="0" w:line="187" w:lineRule="exact"/>
        <w:rPr>
          <w:sz w:val="20"/>
          <w:szCs w:val="20"/>
          <w:color w:val="auto"/>
        </w:rPr>
      </w:pPr>
    </w:p>
    <w:p>
      <w:pPr>
        <w:ind w:firstLine="648"/>
        <w:spacing w:after="0" w:line="281" w:lineRule="auto"/>
        <w:rPr>
          <w:sz w:val="20"/>
          <w:szCs w:val="20"/>
          <w:color w:val="auto"/>
        </w:rPr>
      </w:pPr>
      <w:r>
        <w:rPr>
          <w:rFonts w:ascii="Times New Roman" w:cs="Times New Roman" w:eastAsia="Times New Roman" w:hAnsi="Times New Roman"/>
          <w:sz w:val="17"/>
          <w:szCs w:val="17"/>
          <w:color w:val="auto"/>
        </w:rPr>
        <w:t>We focus on developing industrial-scale, turnkey data center sites designed to support HPC workloads under long-term contracted lease structures. We have had significant interest in the sites in our pipeline, and we have established robust internal guidelines for reviewing and approving lease transactions, which we believe will drive attractive risk-adjusted returns. Sites are planned with ample acreage, modular layouts, and infrastructure designs that support phased construction, enabling capacity to be delivered in alignment with tenant demand while preserving flexibility for future expansion.</w:t>
      </w:r>
    </w:p>
    <w:p>
      <w:pPr>
        <w:spacing w:after="0" w:line="124"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Our development model allows us to maintain control over schedule, cost, and the technical specifications required by our tenants. This approach supports long-duration leasing opportunities with hyperscalers and enhances financeability by enabling project-level debt and joint venture structures. As a result, our campuses are well-suited to support long-term contracted cash flows while maintaining optionality over the life of the asset.</w:t>
      </w:r>
    </w:p>
    <w:p>
      <w:pPr>
        <w:spacing w:after="0" w:line="200" w:lineRule="exact"/>
        <w:rPr>
          <w:sz w:val="20"/>
          <w:szCs w:val="20"/>
          <w:color w:val="auto"/>
        </w:rPr>
      </w:pPr>
    </w:p>
    <w:p>
      <w:pPr>
        <w:spacing w:after="0" w:line="3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4"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color w:val="auto"/>
        </w:rPr>
        <w:t>Prudent allocation of capital to operate and expand our business</w:t>
      </w:r>
    </w:p>
    <w:p>
      <w:pPr>
        <w:spacing w:after="0" w:line="18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Our disciplined capital allocation has helped us limit corporate balance sheet risk, preserve liquidity, and ensure that our expansion is aligned with attractive risk-adjusted return thresholds. We maintain a focus on moderate consolidated leverage and seek to create long-term shareholder value by prioritizing strategies that we expect will generate strong returns on equity.</w:t>
      </w:r>
    </w:p>
    <w:p>
      <w:pPr>
        <w:spacing w:after="0" w:line="135"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As Cipher transitioned from a development-stage company to an operating platform with energized facilities, contracted power, and growing cash flow visibility, our capital strategy evolved accordingly. In addition, the Company’s ability to partner with large, creditworthy counterparties, including hyperscale and investment-grade customers, has enhanced the overall credit profile of our projects and improved access to debt and structured financing solutions. As a result, we have increasingly incorporated project-level financing structures that better align the duration and risk profile of our assets with our sources of capital, and structured such financing as non-recourse where possible. This evolution has been intentional and disciplined, with a focus on reducing dilution, lowering our cost of capital, and maintaining balance sheet flexibility across market cycles. We expect to continue to evaluate a range of financing alternatives as the Company grows, including equity, debt, joint ventures, and asset-level financing, consistent with our objective of supporting long-term shareholder value.</w:t>
      </w:r>
    </w:p>
    <w:p>
      <w:pPr>
        <w:spacing w:after="0" w:line="165"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We have developed expertise in sourcing, financing, and executing data center investment opportunities. In particular, we have been able to identify sites in certain markets that had not yet seen significant hyperscale data center development, such as West Texas, where we could secure land and site control on more favorable terms than in more established data center markets. Our investment process emphasizes a collaborative and disciplined approach to deal analysis, risk management, and capital allocation, with a focus on factors such as underlying market fundamentals, access to power and fiber infrastructure, and the applicable regulatory and permitting environment.</w:t>
      </w:r>
    </w:p>
    <w:p>
      <w:pPr>
        <w:spacing w:after="0" w:line="143"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specialized nature of data center assets can present underwriting complexities that differ from more traditional real estate investments, which may limit participation by certain investors. We believe that our experience and focus in this area allow us to evaluate and pursue opportunities where competitive dynamics may differ from other property types. As a result, we believe this approach may support the generation of attractive risk-adjusted returns over time, although no assurance can be given that such returns will be achieved.</w:t>
      </w:r>
    </w:p>
    <w:p>
      <w:pPr>
        <w:spacing w:after="0" w:line="13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In 2025, we raised approximately $3.2 billion of gross proceeds through convertible notes offerings and senior secured notes offerings. We endeavor to maintain financial flexibility while using our liquidity and access to capital to support operations, acquisitions, investments, developing data centers for current and future tenants, and expanding our site pipeline, which are important sources of our growth.</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Operational scale, experience, and industry engagement</w:t>
      </w:r>
    </w:p>
    <w:p>
      <w:pPr>
        <w:spacing w:after="0" w:line="18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actively manage our sites to maximize cash flow and control costs by leveraging our scale to drive operating efficiencies. The Company’s operating history in developing, constructing, and operating data centers, together with the depth of experience of our management team and personnel, many of whom have spent years building and operating industrial-scale data center and digital infrastructure assets, supports consistent execution across our portfolio. We believe this experience, combined with our established industry relationships, provides us with a differentiated perspective to identify and evaluate emerging secular trends relevant to digital infrastructure and data center development.</w:t>
      </w:r>
    </w:p>
    <w:p>
      <w:pPr>
        <w:spacing w:after="0" w:line="143"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We focus our industry relationship efforts on innovative and best-in-class counterparties to ensure we incorporate best practices across the data center ecosystem as well as anticipate trends. Our industry collaboration includes engagements with industry associations, technology service providers, telecommunications providers, systems integrators, power management firms, and companies across multiple end-market segments, including manufacturing, transportation and logistics, financial services, and digital media. We believe these relationships inform our investment decisions, support the delivery of differentiated solutions for tenants, and contribute to long-term growth and returns for stockholders.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Expanding the development pipeline through partnerships, joint ventures, and strategic acquisitions</w:t>
      </w:r>
    </w:p>
    <w:p>
      <w:pPr>
        <w:spacing w:after="0" w:line="18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have actively expanded our development pipeline through a combination of strategic partnerships, joint ventures, and targeted acquisitions. We leverage our sourcing expertise, execution track record, and balance sheet strength to partner with utilities, landowners, infrastructure investors, and hyperscalers to originate and scale new opportunities efficiently.</w:t>
      </w:r>
    </w:p>
    <w:p>
      <w:pPr>
        <w:spacing w:after="0" w:line="200" w:lineRule="exact"/>
        <w:rPr>
          <w:sz w:val="20"/>
          <w:szCs w:val="20"/>
          <w:color w:val="auto"/>
        </w:rPr>
      </w:pPr>
    </w:p>
    <w:p>
      <w:pPr>
        <w:spacing w:after="0" w:line="3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4" w:right="339" w:bottom="1440" w:gutter="0" w:footer="0" w:header="0"/>
        </w:sectPr>
      </w:pPr>
    </w:p>
    <w:bookmarkStart w:id="14" w:name="page15"/>
    <w:bookmarkEnd w:id="14"/>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Joint venture structures allow us to share development risk, optimize capital deployment, and align incentives with long-term partners, while strategic acquisitions provide opportunities to secure power, land, or interconnection capacity that may be difficult to replicate organically. Using both enables us to grow our pipeline in a disciplined manner, maintaining control over asset quality and development standards while scaling our platform to meet increasing demand for power-secure data center capacity.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8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We define our principal competitors as other data center developers, HPC infrastructure providers and publicly traded bitcoin miners that have diversified into the HPC services industry.</w:t>
      </w:r>
    </w:p>
    <w:p>
      <w:pPr>
        <w:spacing w:after="0" w:line="135"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HPC services industry is rapidly evolving and new competitors or incumbent traditional data center operators and cloud services providers could enter the market and affect our competitiveness in any HPC services we offer.</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Several companies compete in this industry, including: CoreWeave, Digital Realty, Equinix, Vantage Data Centers and Aligned Data Centers.</w:t>
      </w:r>
    </w:p>
    <w:p>
      <w:pPr>
        <w:spacing w:after="0" w:line="18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Recently, several of our competitors in the bitcoin mining business have expanded their operations to include HPC services and have signed leases with hyperscalers and HPC tenants, including: Hut 8 Corp., IREN Limited, TeraWulf Inc., Core Scientific, Inc., and Applied Digital Corporation.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bitcoin and digital asset mining companies may make similar strategic decisions to diversify into the HPC and AI services segment.</w:t>
      </w:r>
    </w:p>
    <w:p>
      <w:pPr>
        <w:spacing w:after="0" w:line="19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Though we are transitioning away from the bitcoin mining business, we have previously defined our principal competitors as other publicly traded bitcoin miners because there is widely available information about their operations.</w:t>
      </w: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We also face competition over scarce resources, such as power. The majority of our data centers are currently located in Texas, and we may face significant and increasing competition, because Texas is an attractive market for sourcing power for industrial-scale data centers. Our two leased sites and our pipeline of sites are primarily located in Texas, as well, which is also an attractive market for locating HPC data centers. See “</w:t>
      </w:r>
      <w:r>
        <w:rPr>
          <w:rFonts w:ascii="Times New Roman" w:cs="Times New Roman" w:eastAsia="Times New Roman" w:hAnsi="Times New Roman"/>
          <w:sz w:val="18"/>
          <w:szCs w:val="18"/>
          <w:i w:val="1"/>
          <w:iCs w:val="1"/>
          <w:color w:val="auto"/>
        </w:rPr>
        <w:t>Risk Factors—Risks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to Our Business, Industry and Operations—We have concentrated our operations and, thus, are particularly exposed to the performance of our data centers located in Texas and changes in the regulatory environment, market conditions and natural disasters in Texas.</w:t>
      </w:r>
      <w:r>
        <w:rPr>
          <w:rFonts w:ascii="Times New Roman" w:cs="Times New Roman" w:eastAsia="Times New Roman" w:hAnsi="Times New Roman"/>
          <w:sz w:val="18"/>
          <w:szCs w:val="18"/>
          <w:color w:val="auto"/>
        </w:rPr>
        <w: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89"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We are committed to maintaining a proactive and adaptive approach to regulatory compliance. We monitor legislative and regulatory developments and seek expert advice as appropriate to ensure our business practices align with the evolving legal and regulatory framework. Despite uncertainties posed by a changing regulatory landscape, we remain committed to maintaining innovative and responsible business practices in markets pertaining to data center developers and operators for HPC tenants.</w:t>
      </w:r>
    </w:p>
    <w:p>
      <w:pPr>
        <w:spacing w:after="0" w:line="15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operate in a complex and rapidly evolving regulatory environment and we are subject to a wide range of laws and regulations enacted by U.S. federal, state and local governments, governmental agencies and regulatory authorities, including the SEC, the Commodity Futures Trading Commission (“CFTC”), the Federal Trade Commission (the “FTC”) and the Financial Crimes Enforcement Network of the U.S. Department of the Treasury (“FinCEN”), as well as similar entities in other countries.</w:t>
      </w:r>
    </w:p>
    <w:p>
      <w:pPr>
        <w:spacing w:after="0" w:line="13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primary legislative efforts that affect us as a data center operator in an energy-intensive industry like HPC have been those on the state level, particularly in Texas where our operations are most concentrated. Recently, there have been several legislative and regulatory efforts to manage power consumption and support grid reliability, which affect our business as an operator of industrial-scale data centers. In 2025, the Texas legislature enacted legislation, Senate Bill 6 (“SB 6”), to support ERCOT’s grid reliability by proposing minimum transmission rates on certain large loads and removing phantom loads from its interconnection queue to enhance accuracy of actual future load growth. SB 6 requires the Public Utility Commission of Texas (the “PUCT”) and ERCOT to create new processes and impose new requirements for the interconnection of facilities with large electrical loads of at least 75 MWs to the ERCOT system. SB 6 also requires security type payments as part of the initial interconnection request, and creates a new approval that is required for co-location of generation with large loads.</w:t>
      </w:r>
    </w:p>
    <w:p>
      <w:pPr>
        <w:spacing w:after="0" w:line="200" w:lineRule="exact"/>
        <w:rPr>
          <w:sz w:val="20"/>
          <w:szCs w:val="20"/>
          <w:color w:val="auto"/>
        </w:rPr>
      </w:pPr>
    </w:p>
    <w:p>
      <w:pPr>
        <w:spacing w:after="0" w:line="3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96" w:right="379" w:bottom="1440" w:gutter="0" w:footer="0" w:header="0"/>
        </w:sectPr>
      </w:pPr>
    </w:p>
    <w:bookmarkStart w:id="15" w:name="page16"/>
    <w:bookmarkEnd w:id="15"/>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In addition, ERCOT has amended and continues to evaluate its processes for interconnection of large electrical loads to the ERCOT grid. In December 2025, ERCOT announced amendments to the approval process for large load interconnection requests and is designing and implementing a process that may batch multiple large load interconnection requests together to evaluate system impacts on a portfolio basis for purposes of transmission planning. These developments, along with potential requirements relating to grid stability, voltage ride-through, frequency ride-through and curtailment obligations, could increase costs, delay project timelines, or impose additional operational constraints. In 2024, the PUCT also required operators of large virtual currency mining operations connected to register their facilities with the PUCT.</w:t>
      </w:r>
    </w:p>
    <w:p>
      <w:pPr>
        <w:spacing w:after="0" w:line="14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Other regulatory bodies, governmental or semi-governmental, have shown an interest in regulating or investigating companies engaged in the blockchain or cryptocurrency businesses. As the regulatory and legal environment evolves, we may become subject to new laws and further regulation by the SEC, the CFTC, other federal agencies and state and local governments, which may affect our mining and other activities. For example, relevant to our bitcoin mining operations, on January 23, 2025, the Trump Administration signed an executive order titled “Strengthening American Leadership in Digital Financial Technology,” which established an interagency working group tasked with “proposing a Federal regulatory framework governing the issuance and operation of digital assets” in the United States. Pursuant to this executive order, the working group released a report in July 2025 outlining the administration's recommendations to Congress and various agencies reflecting the administration’s "pro-innovation mindset toward digital assets and blockchain technologies." In particular, the report recommends that Congress enact legislation regarding self-custody of digital assets, clarifying the applicability of Bank Secrecy Act obligations with respect to digital asset service providers, granting the CFTC authority to regulate spot markets in non-security digital assets, prohibiting the adoption of a CBDC, and clarifying tax laws as relevant to digital assets. In addition, the report recommends that agencies reevaluate existing guidance on digital asset activities, use existing authorities to enable the trading of digital assets at the federal level, embrace DeFi, launch or relaunch crypto innovation efforts, and promote U.S. private sector leadership in the responsible development of cross-border payments and financial markets technologies, among others. The establishment of this working group within the National Economic Council could lead to significant changes in market structure, oversight, consumer protection, and risk management. The evolving regulatory environment may pose challenges to our operations, particularly if new regulations introduce additional compliance costs or restrict certain activities. Additionally, various bills have been proposed in the U.S. Congress related to our business, which may be adopted and have an impact on us, and governmental agencies and regulatory authorities, such as the SEC, the CFTC, the FTC and FinCEN, may also enact regulations related to our business, which may have an impact on us.</w:t>
      </w:r>
    </w:p>
    <w:p>
      <w:pPr>
        <w:spacing w:after="0" w:line="153"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regulatory landscape surrounding HPC is evolving rapidly, and we anticipate increased scrutiny and potential regulation in the near and long term. These developments may affect our business and operations in ways that are difficult to predict. For additional discussion regarding our belief about the potential risks existing and future regulation pose to our business, see “</w:t>
      </w:r>
      <w:r>
        <w:rPr>
          <w:rFonts w:ascii="Times New Roman" w:cs="Times New Roman" w:eastAsia="Times New Roman" w:hAnsi="Times New Roman"/>
          <w:sz w:val="18"/>
          <w:szCs w:val="18"/>
          <w:i w:val="1"/>
          <w:iCs w:val="1"/>
          <w:color w:val="auto"/>
        </w:rPr>
        <w:t>Risk Factors—Risks Related to Our Business—Operating HPC data centers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energy-intensive, which may have a negative environmental impact. Changing environmental regulation and public energy policy may expose our business to new risks.”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“Risk Factors—Risks Related to HPC—Regulatory developments surrounding AI may negatively impact our HPC data center operations.”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8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We use specific hardware and software for our data center operations. In certain cases, source code and other software assets may be subject to an open source license, as much technology development underway in this sector is open source. For these works, we intend to adhere to the terms of any license agreements that may be in place.</w:t>
      </w:r>
    </w:p>
    <w:p>
      <w:pPr>
        <w:spacing w:after="0" w:line="135"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In addition, we have developed and continue to refine certain proprietary trade secrets and software applications to enhance the profitability and operational effectiveness of our data center operations and may continue to develop those applications or others in the future. We hold four granted United States patents and one issued patent in Taiwan. Our granted patents are expected to expire between July 2043 and July 2044, assuming payment of all appropriate maintenance, renewal, annuity or other governmental fees. Additionally, we have pending U.S. and foreign patent applications for our proprietary technology used in our data center operations. We rely upon trade secrets, trademarks, service marks, trade names, copyrights and other intellectual property rights and license the use of intellectual property rights owned and controlled by others.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8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We maintain insurance coverage for our properties and development projects that we believe is appropriate given the nature of the assets and their stage of development or operation. Our coverage includes, among other types, property</w:t>
      </w:r>
    </w:p>
    <w:p>
      <w:pPr>
        <w:spacing w:after="0" w:line="200" w:lineRule="exact"/>
        <w:rPr>
          <w:sz w:val="20"/>
          <w:szCs w:val="20"/>
          <w:color w:val="auto"/>
        </w:rPr>
      </w:pPr>
    </w:p>
    <w:p>
      <w:pPr>
        <w:spacing w:after="0" w:line="3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96" w:right="379" w:bottom="1440" w:gutter="0" w:footer="0" w:header="0"/>
        </w:sectPr>
      </w:pPr>
    </w:p>
    <w:bookmarkStart w:id="16" w:name="page17"/>
    <w:bookmarkEnd w:id="16"/>
    <w:p>
      <w:pPr>
        <w:ind w:right="140"/>
        <w:spacing w:after="0" w:line="282" w:lineRule="auto"/>
        <w:rPr>
          <w:sz w:val="20"/>
          <w:szCs w:val="20"/>
          <w:color w:val="auto"/>
        </w:rPr>
      </w:pPr>
      <w:r>
        <w:rPr>
          <w:rFonts w:ascii="Times New Roman" w:cs="Times New Roman" w:eastAsia="Times New Roman" w:hAnsi="Times New Roman"/>
          <w:sz w:val="18"/>
          <w:szCs w:val="18"/>
          <w:color w:val="auto"/>
        </w:rPr>
        <w:t>insurance, builders’ risk, commercial general liability, and business interruption insurance, as well as other customary policies for comparable assets. Our insurance program is placed with third-party commercial insurers and structured with the assistance of professional insurance brokers.</w:t>
      </w:r>
    </w:p>
    <w:p>
      <w:pPr>
        <w:spacing w:after="0" w:line="121"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types and levels of coverage may vary by property and project and are periodically evaluated and adjusted as projects progress and business needs evolve. We believe our insurance program is aligned with prevailing industry standards and market practices for comparable assets and similar companies and reflects a risk management approach appropriate for our portfolio; however, certain risks may be uninsured or underinsured, and insurance may not be available on commercially reasonable terms or in amounts sufficient to cover all losses.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0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As of the date of this filing, we have 66 full-time employees, including officers. We aim to attract and retain talented and dedicated employees who contribute to the execution of our business model. To support this objective, we have recruited employees with experience and expertise in data center construction and operations, power procurement, asset management, compliance, real estate, finance, capital markets, human resources, data science, computer science, and logistics.</w:t>
      </w:r>
    </w:p>
    <w:p>
      <w:pPr>
        <w:spacing w:after="0" w:line="13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We aim to foster a culture of ownership across all areas of our business. Our compensation and benefits philosophy is designed to retain high-performing employees and attract new talent.</w:t>
      </w:r>
    </w:p>
    <w:p>
      <w:pPr>
        <w:spacing w:after="0" w:line="121"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To support these goals, and to help our employees maintain healthy, balanced lives, while meeting their financial and retirement objectives, we offer market-competitive compensation and a comprehensive benefits package. This includes healthcare coverage, vacation benefits, parental leave, a 401(k) company match, an incentive award plan, a fitness reimbursement program, commuter benefits and other employee-focused programs and resources.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89" w:lineRule="exact"/>
        <w:rPr>
          <w:sz w:val="20"/>
          <w:szCs w:val="20"/>
          <w:color w:val="auto"/>
        </w:rPr>
      </w:pPr>
    </w:p>
    <w:p>
      <w:pPr>
        <w:ind w:right="80" w:firstLine="648"/>
        <w:spacing w:after="0" w:line="277" w:lineRule="auto"/>
        <w:rPr>
          <w:sz w:val="20"/>
          <w:szCs w:val="20"/>
          <w:color w:val="auto"/>
        </w:rPr>
      </w:pPr>
      <w:r>
        <w:rPr>
          <w:rFonts w:ascii="Times New Roman" w:cs="Times New Roman" w:eastAsia="Times New Roman" w:hAnsi="Times New Roman"/>
          <w:sz w:val="17"/>
          <w:szCs w:val="17"/>
          <w:color w:val="auto"/>
        </w:rPr>
        <w:t>With respect to our bitcoin mining operations, our annual and quarterly operating results have the potential to be significantly affected by seasonality related to weather and the related energy commodity price volatility. The price of electric power typically peaks during the winter and summer months, and more generally during extreme weather events, which can potentially impact our results. Additionally, extreme weather conditions may affect the efficiency and uptime of our mining operations which will have an impact on operating results. As we expect a greater percentage of our revenue to be comprised of lease payments from hyperscaler tenants in future years, we expect seasonality to play a lesser role on our results of operations.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0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Cipher Mining Inc. was incorporated as a Delaware corporation on August 27, 2021 in connection with the closing of a transaction (the “Business Combination”) pursuant to which Good Works Acquisition Corp. (“GWAC”), a special purpose acquisition company, consummated the merger of a wholly-owned direct subsidiary of GWAC with and into Cipher Mining Technologies Inc. (“CMTI”). Following the Business Combination, the combined company was named Cipher Mining Inc. (“Cipher” or the “Company”). The Company comprises all of GWAC’s and CMTI’s operations.</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February 20, 2026, we filed an amended and restated charter amending our name to “Cipher Digital Inc.”</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principal executive office is located at 1 Vanderbilt Avenue, Floor 54, New York, NY 10017, and our telephone number is (332) 262-2300.</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website address is www.cipherdigital.com. The contents of, or information accessible through, our website are not part of this Annual Report on Form 10-K. We make our filings with the SEC, including our Annual Report on Form 10-K, Quarterly Reports on Form 10-Q, Current Reports on Form 8-K and all amendments to those reports, as well as beneficial ownership filings available free of charge on our website as soon as reasonably practicable after we file such reports with, or furnish such reports to, the SEC.</w:t>
      </w:r>
    </w:p>
    <w:p>
      <w:pPr>
        <w:spacing w:after="0" w:line="13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Investors and others should note that the Company announces material financial and operational information to its investors using press releases, SEC filings and public conference calls and webcasts, as well as its investor relations site at investors.cipherdigital.com. The Company may also use its website as a distribution channel of material Company information. In addition, you may automatically receive email alerts and other information about the Company when you</w:t>
      </w:r>
    </w:p>
    <w:p>
      <w:pPr>
        <w:spacing w:after="0" w:line="200" w:lineRule="exact"/>
        <w:rPr>
          <w:sz w:val="20"/>
          <w:szCs w:val="20"/>
          <w:color w:val="auto"/>
        </w:rPr>
      </w:pPr>
    </w:p>
    <w:p>
      <w:pPr>
        <w:spacing w:after="0" w:line="3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96"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enroll your email address by visiting the “Email Alerts” option under the Investor Resources tab on investors.cipherdigital.com.</w:t>
      </w:r>
    </w:p>
    <w:p>
      <w:pPr>
        <w:spacing w:after="0" w:line="185"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The reference to our website address does not constitute incorporation by reference of the information contained on or available through our website, and you should not consider such information to be a part of this Annual Report on Form 10-K.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Our business involves significant risks, some of which are described below. You should carefully consider the risks and uncertainties described below, together with all of the other information in this Annual Report.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common stock could decline and you could lose part or all of your investment.</w:t>
      </w:r>
    </w:p>
    <w:p>
      <w:pPr>
        <w:spacing w:after="0" w:line="139" w:lineRule="exact"/>
        <w:rPr>
          <w:sz w:val="20"/>
          <w:szCs w:val="20"/>
          <w:color w:val="auto"/>
        </w:rPr>
      </w:pPr>
    </w:p>
    <w:p>
      <w:pPr>
        <w:ind w:right="3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Annual Report to the “Company,” “Cipher,” “Cipher Digital,” “we,” “us” or “our” refers to Cipher Digital Inc. and its consolidated subsidiaries, unless otherwise indicated.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Industry and Operations</w:t>
      </w:r>
    </w:p>
    <w:p>
      <w:pPr>
        <w:spacing w:after="0" w:line="198"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complete the construction of our HPC data centers in a timely manner or within our anticipated cost estimates, it could have a material adverse effect on our business, results of operations, liquidity and our ability to make payments on our outstanding indebtedness.</w:t>
      </w:r>
    </w:p>
    <w:p>
      <w:pPr>
        <w:spacing w:after="0" w:line="11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Our business depends upon the construction of data centers for our HPC tenants. Until we complete construction of those data centers, we will not realize the full amount of projected revenue from such leases. We cannot guarantee we will complete construction of all or any portion of the Barber Lake Facility, the Black Pearl Facility, or any future strategic growth initiatives on time or within our cost estimates, if at all, due in part to the ongoing challenges to the global supply chain, the implementation of new tariffs and more restrictive trade policies, increased inflation and changing conditions within the United States labor market.</w:t>
      </w:r>
    </w:p>
    <w:p>
      <w:pPr>
        <w:spacing w:after="0" w:line="14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Under certain circumstances, our lessees will have the right to terminate the lease if there are significant delays in the completion of construction, subject to extension for force majeure events and certain tenant delays. If we experience delays in the construction process or are unable to complete construction within our anticipated costs estimates, we may not generate sufficient revenues to fund our liquidity needs, including payment of principal and interest on the notes.</w:t>
      </w:r>
    </w:p>
    <w:p>
      <w:pPr>
        <w:spacing w:after="0" w:line="153"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Development and construction delays, cost overruns, changes in market circumstances, environmental or community constraints, and other factors may have a material adverse effect on our operations, expansion plans, financial position and financial performance.</w:t>
      </w:r>
    </w:p>
    <w:p>
      <w:pPr>
        <w:spacing w:after="0" w:line="121" w:lineRule="exact"/>
        <w:rPr>
          <w:sz w:val="20"/>
          <w:szCs w:val="20"/>
          <w:color w:val="auto"/>
        </w:rPr>
      </w:pPr>
    </w:p>
    <w:p>
      <w:pPr>
        <w:ind w:right="900" w:firstLine="648"/>
        <w:spacing w:after="0" w:line="312" w:lineRule="auto"/>
        <w:rPr>
          <w:sz w:val="20"/>
          <w:szCs w:val="20"/>
          <w:color w:val="auto"/>
        </w:rPr>
      </w:pPr>
      <w:r>
        <w:rPr>
          <w:rFonts w:ascii="Times New Roman" w:cs="Times New Roman" w:eastAsia="Times New Roman" w:hAnsi="Times New Roman"/>
          <w:sz w:val="17"/>
          <w:szCs w:val="17"/>
          <w:color w:val="auto"/>
        </w:rPr>
        <w:t>We will continue to review our expansion plans in light of evolving market conditions. Any such delays, and any failure to execute the construction of our data centers, could have a material adverse effect on our business, financial condition, cash flows and results of operations.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exposed to construction risks.</w:t>
      </w:r>
    </w:p>
    <w:p>
      <w:pPr>
        <w:spacing w:after="0" w:line="202"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Construction of our HPC data centers exposes us to significant construction risks, including risks related to: construction delays; lack of availability of parts and/or labor, increased prices as a result, in part, of inflation, and delays for data center equipment; labor disputes and work stoppages, including interruptions in work due to pandemics, epidemics, and other health risks; unanticipated environmental issues and geological problems; delays related to permitting and approvals to commence operations from public agencies and utility companies; and delays in site readiness leading to our failure to meet commitments made in connection with such expansion. Should any of the foregoing risks materialize or should any of our assumptions concerning the timing of construction or the availability of supplies and labor, our estimates of the total construction cost for our HPC data centers may be inaccurate and total construction costs may exceed our budget. Further, although we will provide completion guarantees of the construction, there can be no assurance that we will have sufficient funds to meet our obligations under such guarantees if we are unable to complete construction of the HPC data centers within our current anticipated cost estimates. All construction-related projects depend on the skills, experience, and attentiveness of our personnel throughout the design and construction process. Should a designer, general contractor, significant subcontractor or key supplier experience financial difficulties or other problems during the design or</w:t>
      </w:r>
    </w:p>
    <w:p>
      <w:pPr>
        <w:spacing w:after="0" w:line="200" w:lineRule="exact"/>
        <w:rPr>
          <w:sz w:val="20"/>
          <w:szCs w:val="20"/>
          <w:color w:val="auto"/>
        </w:rPr>
      </w:pPr>
    </w:p>
    <w:p>
      <w:pPr>
        <w:spacing w:after="0" w:line="3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construction process, we could experience significant delays, increased costs to complete the project and/or other negative impacts to our expected returns.</w:t>
      </w:r>
    </w:p>
    <w:p>
      <w:pPr>
        <w:spacing w:after="0" w:line="185"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If we are unable to overcome these risks and additional pressures to complete our HPC construction projects in a timely manner, if at all, we may not realize their anticipated benefits, and our business and financial condition may be materially impacted.</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tenants’ guarantees and other backstop arrangements under our HPC leases will only be effective after rent commencement under such leases and are subject to certain limitations, like event of default triggers or caps.</w:t>
      </w:r>
    </w:p>
    <w:p>
      <w:pPr>
        <w:spacing w:after="0" w:line="13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tenants’ guarantees of their obligations under the HPC leases are only effective following the rent commencement date of such lease and are subject to certain limitations, like event of default triggers or caps on liability. If the leases do not commence as of their targeted rent commencement date, then the guarantee under such lease will not become effective until the completion of the HPC data center. If completion of the data centers are delayed, our tenants may have the right to terminate their lease. Such termination events would not trigger the tenants’ guarantee either. While we believe they are unlikely to occur, there are other events of default or termination events that may result in the termination of the HPC leases without triggering a tenant guarantee. In addition, if we have a disagreement with our tenants about whether their guarantee has been triggered, there can be no assurance that they will honor their guarantee in a timely manner or at all. If a guarantee has been triggered, they are subject to certain caps on such guarantor’s liability, which may limit the amount of tenant’s obligations that are guaranteed.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HPC business strategy may not perform as planned.</w:t>
      </w:r>
    </w:p>
    <w:p>
      <w:pPr>
        <w:spacing w:after="0" w:line="18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believe the potential for HPC hosting complements our current business model with expected stable, long-term and high margin revenue. However, the success of our HPC hosting services may not develop as anticipated, and may be affected by factors such as the reliability and timing of power supply, supply chain disruption (including local labor availability), the implementation of new tariffs and more restrictive trade regulations and changes in in-house specialized expertise to manage the business. A failure to successfully implement our HPC business strategy may adversely affect our business, prospects, or operations.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depends upon the demand for data centers.</w:t>
      </w:r>
    </w:p>
    <w:p>
      <w:pPr>
        <w:spacing w:after="0" w:line="189" w:lineRule="exact"/>
        <w:rPr>
          <w:sz w:val="20"/>
          <w:szCs w:val="20"/>
          <w:color w:val="auto"/>
        </w:rPr>
      </w:pPr>
    </w:p>
    <w:p>
      <w:pPr>
        <w:ind w:right="20" w:firstLine="648"/>
        <w:spacing w:after="0" w:line="272" w:lineRule="auto"/>
        <w:rPr>
          <w:sz w:val="20"/>
          <w:szCs w:val="20"/>
          <w:color w:val="auto"/>
        </w:rPr>
      </w:pPr>
      <w:r>
        <w:rPr>
          <w:rFonts w:ascii="Times New Roman" w:cs="Times New Roman" w:eastAsia="Times New Roman" w:hAnsi="Times New Roman"/>
          <w:sz w:val="17"/>
          <w:szCs w:val="17"/>
          <w:color w:val="auto"/>
        </w:rPr>
        <w:t>We are in the business of owning, acquiring, developing and operating data centers. A reduction in the demand for data center space, power or connectivity could have an adverse effect on our business and financial condition. Our substantial development activities make us susceptible to adverse developments in the data center, Internet and data communications and broader technology industries. Any such slowdown or adverse development could lead to reduced demand for data center space. Reduced demand could also result from business relocations, including to metropolitan areas that we do not currently serve. Changes in industry practice or in technology could also reduce demand for the physical data center space we provide. In addition, our customers may choose to develop new data centers or expand their own existing data centers or consolidate into data centers that we do not own or operate, which could reduce demand for our newly developed data centers or result in the loss of one or more key tenants. Our financial condition, results of operations, cash flow, cash available to satisfy our debt service obligations could be materially adversely affected as a result of any or all of these factors.</w:t>
      </w:r>
    </w:p>
    <w:p>
      <w:pPr>
        <w:spacing w:after="0" w:line="12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Constructing data centers for HPC hosting requires significant capital expenditures, and we may be unable to secure capital or financing for our construction efforts to develop data centers for HPC hosting.</w:t>
      </w:r>
    </w:p>
    <w:p>
      <w:pPr>
        <w:spacing w:after="0" w:line="13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Constructing data center facilities for HPC hosting requires significant capital expenditures, and we anticipate that future strategic growth initiatives will likewise continue to be capital-intensive. We expect to fund these through our capital raising efforts and raise additional capital to fund other future strategic growth initiatives; however, we may not be able to secure sufficient capital or financing on favorable terms, or meet the obligations of the financing we have secured. If we are unable to fund our construction efforts with respect to HPC hosting facilities, the completion of such projects may be delayed, our ability to collect any potential revenue or to otherwise monetize such facilities may be compromised and we may be less competitive in our industry, which could have a material adverse impact on our business, results of operations and financial condition, including our expansion strategy, our ability to generate significant or any revenue from an HPC hosting business and on the market price for our securities. See also “— </w:t>
      </w:r>
      <w:r>
        <w:rPr>
          <w:rFonts w:ascii="Times New Roman" w:cs="Times New Roman" w:eastAsia="Times New Roman" w:hAnsi="Times New Roman"/>
          <w:sz w:val="18"/>
          <w:szCs w:val="18"/>
          <w:i w:val="1"/>
          <w:iCs w:val="1"/>
          <w:color w:val="auto"/>
        </w:rPr>
        <w:t>Risks Related to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Indebtedness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We may need to raise additional capital, which may not be available on terms acceptable to us, or at all.”</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Enhanced tariff, import/export restrictions, or other trade barriers may have an adverse impact on global economic conditions.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6" w:right="359" w:bottom="1440" w:gutter="0" w:footer="0" w:header="0"/>
        </w:sectPr>
      </w:pPr>
    </w:p>
    <w:bookmarkStart w:id="19" w:name="page20"/>
    <w:bookmarkEnd w:id="19"/>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There have been, and continue to be, uncertainties with respect to the global economy and trade relations between the U.S. and other countries globally, including trade policies, treaties, tariffs, and customs duties and taxes. Implementation of more restrictive trade policies or the renegotiation of existing U.S. trade agreements or trade agreements of other countries where we procure supplies and materials for our digital infrastructure could negatively impact our business results of operations, cash flows, and financial condition. Tariffs, sanctions and other barriers to trade could adversely affect the business of our business partners, such as suppliers, which could in turn negatively impact our net revenue and results of operations. If tariffs, trade restrictions or trade barriers are expanded or increased, then our exposure to future taxes and duties on imported products and components could be significant and could have a material effect on our financial results.</w:t>
      </w:r>
    </w:p>
    <w:p>
      <w:pPr>
        <w:spacing w:after="0" w:line="14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cannot predict the extent to which the U.S. or other countries will impose new or additional quotas, duties, tariffs, taxes, or other similar restrictions upon the import of goods and services in the future, nor can we predict future trade policy or the terms of any renegotiated trade agreements and their impact on our business. The continuing adoption or expansion of trade restrictions, the occurrence of a trade war, or other governmental action related to tariffs or trade agreements or policies has the potential to adversely impact demand for our HPC data centers, our costs, our business partners, our suppliers, and the U.S. economy, which in turn could have a material adverse effect on our business, operating results, and financial condition.</w:t>
      </w:r>
    </w:p>
    <w:p>
      <w:pPr>
        <w:spacing w:after="0" w:line="139"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harmed by increased costs to procure power, prolonged power outages, shortages or capacity constraints as well as insufficient access to power.</w:t>
      </w:r>
    </w:p>
    <w:p>
      <w:pPr>
        <w:spacing w:after="0" w:line="13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Any power outages, shortages, capacity constraints, limits on access or significant increases in the cost of power may have an adverse effect on our business and our results of operations. Any such limitations may have a negative impact on a given data center and may limit our ability to grow our business which could negatively affect our financial performance and results of operations. Furthermore, the inability to supply tenants with power for any reason could harm our relationships as well as cause reputational harm.</w:t>
      </w:r>
    </w:p>
    <w:p>
      <w:pPr>
        <w:spacing w:after="0" w:line="13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Our HPC data centers require access to significant quantities of electricity. Limitations on generation, transmission and distribution may limit our ability to obtain sufficient power capacity for potential expansion sites in new or existing markets. Utility companies and other third-party power providers may impose onerous operating conditions to any approval or provision of power or we may experience significant delays, unfavorable contractual terms, and substantial increased costs to provide the level of electrical service required by our current or future data center designs. Our ability to find reliable partners and appropriate sites for expansion may also be limited by access to power, especially as we design our data centers to the specifications of hyperscaler tenants operating data centers for HPC technology, which is power-intensive, and further prepare to serve the power demands in the future.</w:t>
      </w:r>
    </w:p>
    <w:p>
      <w:pPr>
        <w:spacing w:after="0" w:line="147" w:lineRule="exact"/>
        <w:rPr>
          <w:sz w:val="20"/>
          <w:szCs w:val="20"/>
          <w:color w:val="auto"/>
        </w:rPr>
      </w:pPr>
    </w:p>
    <w:p>
      <w:pPr>
        <w:jc w:val="both"/>
        <w:ind w:right="60" w:firstLine="648"/>
        <w:spacing w:after="0" w:line="257" w:lineRule="auto"/>
        <w:rPr>
          <w:sz w:val="20"/>
          <w:szCs w:val="20"/>
          <w:color w:val="auto"/>
        </w:rPr>
      </w:pPr>
      <w:r>
        <w:rPr>
          <w:rFonts w:ascii="Times New Roman" w:cs="Times New Roman" w:eastAsia="Times New Roman" w:hAnsi="Times New Roman"/>
          <w:sz w:val="18"/>
          <w:szCs w:val="18"/>
          <w:color w:val="auto"/>
        </w:rPr>
        <w:t>We rely on third parties, third party infrastructure, governments, and global supplies to provide a sufficient amount of power to maintain our HPC data center operations to meet the needs of our current and future HPC hosting and colocation tenants. Any limitation on the delivered energy supply could limit our ability to operate our HPC data centers. These limitations could have a negative impact on our financial performance and results of operations.</w:t>
      </w:r>
    </w:p>
    <w:p>
      <w:pPr>
        <w:spacing w:after="0" w:line="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Each new HPC data center requires access to significant quantities of electricity. Limitations on generation, transmission and distribution may limit our ability to obtain sufficient power capacity for potential expansion sites or existing markets. Utility companies may impose onerous operating conditions to any approval or provision of power or we may experience significant delays and substantial increased costs to provide the level of electrical service required by our current or future data center designs.</w:t>
      </w:r>
    </w:p>
    <w:p>
      <w:pPr>
        <w:spacing w:after="0" w:line="158"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of our physical or information technology or operational technology infrastructure or services could lead to significant costs and disruptions.</w:t>
      </w:r>
    </w:p>
    <w:p>
      <w:pPr>
        <w:spacing w:after="0" w:line="118"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Our business depends on providing tenants with highly reliable services, including with respect to physical security, cybersecurity, and maintenance of environmental conditions. We may fail to provide such services because our operations are vulnerable to, among other things, mechanical or telecommunications failure, power outage, human error, physical or electronic security breaches, cyberattacks, war, terrorism, fire, earthquake, pandemics, hurricane, flood and other natural disasters, sabotage and vandalism.</w:t>
      </w:r>
    </w:p>
    <w:p>
      <w:pPr>
        <w:spacing w:after="0" w:line="13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also have service level commitment obligations to certain tenants. As a result, service interruptions or significant equipment damage in our HPC data centers could result in difficulty maintaining service level commitments to these customers and potential claims related to such failures. A failure to meet these or other commitments or equipment damage in our data centers could subject us to contractual liability. Service interruptions, equipment failures or security breaches could also materially impact our brand and reputation globally and lead to customer contract terminations or non-renewals and an inability to attract customers in the future</w:t>
      </w:r>
    </w:p>
    <w:p>
      <w:pPr>
        <w:spacing w:after="0" w:line="200" w:lineRule="exact"/>
        <w:rPr>
          <w:sz w:val="20"/>
          <w:szCs w:val="20"/>
          <w:color w:val="auto"/>
        </w:rPr>
      </w:pPr>
    </w:p>
    <w:p>
      <w:pPr>
        <w:spacing w:after="0" w:line="3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tenants for our HPC data centers.</w:t>
      </w:r>
    </w:p>
    <w:p>
      <w:pPr>
        <w:spacing w:after="0" w:line="18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Many factors, including global and domestic economic conditions, may cause current HPC data center tenants like Amazon, Fluidstack or future tenants to experience a downturn in their businesses or otherwise experience a lack of liquidity, which may weaken their financial condition and impact our estimates as to the probability of collectability of payments, and ultimately result in their failure to make timely rental and other payments or their default under their agreements with us. Further, the development of new technologies, the adoption of new industry standards or other factors could render our HPC data center tenants’ current products and services obsolete or unmarketable and contribute to a downturn in their businesses, thereby increasing the likelihood that they default under their leases, become insolvent or file for bankruptcy. If a tenant defaults or fails to make timely rent or other payments (notwithstanding the Google Backstop with respect to the Fluidstack Lease), we may experience delays in enforcing our rights as landlord and may incur substantial costs in protecting our investment, which could adversely affect our financial condition and results of operations.</w:t>
      </w:r>
    </w:p>
    <w:p>
      <w:pPr>
        <w:spacing w:after="0" w:line="151"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If a tenant becomes a debtor in a case under Title 11 of the United States Code, as amended, we cannot evict the tenant solely because of the bankruptcy. In addition, the bankruptcy court might authorize the tenant to reject and terminate its contracts with us. Our claim against the tenant for unpaid, future rent and other payments would be subject to a statutory cap that might be substantially less than the remaining amounts actually owed under their agreements with us. In either case, our claim for unpaid rent and other amounts would likely not be paid in full. Our revenue could be materially adversely affected if a significant tenant were to become bankrupt or insolvent, suffer a downturn in its businesses, fail to renew its contract or renew on terms less favorable to us than its current terms.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has significant tenant concentration.</w:t>
      </w:r>
    </w:p>
    <w:p>
      <w:pPr>
        <w:spacing w:after="0" w:line="18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To date, our data centers are single-tenant properties, and we expect future tenants at other sites in our pipeline to also want to be the only tenant at those sites. If we were to lose one or more of our customers, including by defaulting on one of our leases with Amazon or Fluidstack/Google), such loss could have a material adverse effect on our business, financial conditions and results of operations.</w:t>
      </w:r>
    </w:p>
    <w:p>
      <w:pPr>
        <w:spacing w:after="0" w:line="13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expect demand for our services generated by these customers may fluctuate significantly from quarter to quarter. The anticipated concentration of our customer base increases risks related to the financial condition of our customers, and the deterioration in financial condition of a single customer or the failure of a single customer to perform its obligations could have a material adverse effect on our results of operations and cash flow. In the event that any of our future customers experience a decline in their equipment usage for any reason, or decide to discontinue the use of our facilities, we may be compelled to lower our prices or risk losing a significant customer. Such developments could adversely affect our profit margins and financial position, leading to a negative impact on our revenue and operational results.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contracts with HPC data center tenants could subject us to significant liability.</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we aim to continuously enter into agreements with tenants pursuant to which we provide data center space, power, environmental controls, physical security and connectivity products to our HPC hosting and colocation tenants. These contracts typically contain indemnification and liability provisions, in addition to service level commitments, which could potentially impose a significant cost on us in the event of losses arising out of certain breaches of such agreements, services to be provided by us or our subcontractors or from third-party claims. HPC data center tenants increasingly are looking to pass through their regulatory obligations and other liabilities to their outsourced data center providers and we may not be able to limit our liability or damages in an event of loss suffered by such tenants whether as a result of our breach of an agreement or otherwise. If such an event of loss occurred, we could be liable for material monetary damages and could incur significant legal fees in defending against such an action, which could adversely affect our financial condition and results of operations.</w:t>
      </w:r>
    </w:p>
    <w:p>
      <w:pPr>
        <w:spacing w:after="0" w:line="151"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We may also develop space specifically for HPC data center tenants pursuant to agreements signed prior to beginning or early in the development process. In those cases, if we fail to meet our development obligations under those agreements, such tenants may be able to terminate their agreements and we would be required to find a new tenant for the applicable space. In addition, in certain circumstances we may lease HPC data center facilities prior to their completion. If we fail to complete the facilities in a timely manner, the tenant may be entitled to terminate its agreement, seek damages or penalties against us or pursue other remedies and we may be required to find a new tenant for the space. If development costs are higher than our current estimates and we are not able to complete an HPC data center in a timely manner, it could have a material adverse effect on our business, financial condition, results of operations and cash flow.</w:t>
      </w:r>
    </w:p>
    <w:p>
      <w:pPr>
        <w:spacing w:after="0" w:line="200" w:lineRule="exact"/>
        <w:rPr>
          <w:sz w:val="20"/>
          <w:szCs w:val="20"/>
          <w:color w:val="auto"/>
        </w:rPr>
      </w:pPr>
    </w:p>
    <w:p>
      <w:pPr>
        <w:spacing w:after="0" w:line="3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21" w:name="page22"/>
    <w:bookmarkEnd w:id="21"/>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Additionally, a tenant’s decision to lease space and power in our HPC data center typically involves a significant commitment of resources and due diligence on the part of our tenants regarding the adequacy of our facilities. As a result, we may expend significant time and resources in pursuing a particular transaction that may not result in revenue. Economic conditions, including market downturns and the implementation of new tariffs and more restrictive trade regulations may impact tenants’ ability to plan future business activities, which could cause tenants to slow spending or delay decision-making. Our inability to adequately manage the risks associated with these developments may adversely affect our business, financial condition and results of operations.</w:t>
      </w:r>
    </w:p>
    <w:p>
      <w:pPr>
        <w:spacing w:after="0" w:line="14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introduction of, development and advancement in the efficiency of AI models could potentially adversely affect data center usage by significantly reducing the computational power needed to train AI models, potentially leading to less demand for high-power density, liquid-cooled data center infrastructure and colocation facilities such as those we are building at the Barber Lake Facility. New advancements in AI models could also alter the way data centers are currently designed and utilized and such risks and challenges may have a material adverse effect on our business, financial condition and results of operations.</w:t>
      </w:r>
    </w:p>
    <w:p>
      <w:pPr>
        <w:spacing w:after="0" w:line="139"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has grown rapidly and we have an evolving business model and strategy, which includes our diversification into constructing and operating data centers for HPC companies.</w:t>
      </w:r>
    </w:p>
    <w:p>
      <w:pPr>
        <w:spacing w:after="0" w:line="13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Our business has grown rapidly since our inception. Our business model has also significantly evolved, and we expect it may continue to do so in the future. To stay current with technology and an industry that is rapidly evolving, we expect the services and products associated with them to evolve and, thus, require that our business model evolve, as well.</w:t>
      </w:r>
    </w:p>
    <w:p>
      <w:pPr>
        <w:spacing w:after="0" w:line="135"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From time to time, we may modify aspects of our business model or engage in various strategic initiatives, which may be complementary to our existing operations. For further information on our strategy, see “</w:t>
      </w:r>
      <w:r>
        <w:rPr>
          <w:rFonts w:ascii="Times New Roman" w:cs="Times New Roman" w:eastAsia="Times New Roman" w:hAnsi="Times New Roman"/>
          <w:sz w:val="18"/>
          <w:szCs w:val="18"/>
          <w:i w:val="1"/>
          <w:iCs w:val="1"/>
          <w:color w:val="auto"/>
        </w:rPr>
        <w:t>Business—Our Strategy.</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Our growth strategy includes expanding and diversifying our revenue sources into new markets. We are actively working to develop our pipeline for HPC data centers. Expansion plans may take longer or be more expensive than we currently anticipate as a result of evolving market conditions, technological developments, customer requirements, our evolving business model or otherwise, and any such expansion may also have an impact on our existing bitcoin mining operations. Factors including inflation, tariffs, and interest rates may all impact the amount of capital required and the terms upon which we can obtain such capital. We will continue to review our expansion plans in light of such factors, and our expansion plans may be delayed or may change as a result.</w:t>
      </w:r>
    </w:p>
    <w:p>
      <w:pPr>
        <w:spacing w:after="0" w:line="160"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We cannot offer any assurance that our expansion into HPC services or any other modifications to our business model or our strategy will be successful or will not result in harm to our business, reputation and our growth potential. Such modifications may increase the complexity of our business and place significant strain on our management, personnel, operations, systems, technical performance, financial resources and internal financial control and reporting functions. Further, we cannot provide any assurance that we will successfully manage growth and identify all emerging trends and future growth opportunities within the HPC market or other markets we seek to expand into, and we may lose out on such opportunities. Additionally, any such changes to our business model or strategy could cause us to become subject to additional regulatory scrutiny and a number of additional requirements, including licensing and permit requirements. Any of the foregoing could have a material adverse effect on our business, prospects, financial condition, and results of operations.</w:t>
      </w:r>
    </w:p>
    <w:p>
      <w:pPr>
        <w:spacing w:after="0" w:line="147"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further development of AI technology, which represents a new and rapidly changing industry, is subject to a variety of factors that are difficult to evaluate. The slowing or stopping of the development of AI technology may adversely affect the demand for HPC-focused data center development and thus, adversely affect an investment in us.</w:t>
      </w:r>
    </w:p>
    <w:p>
      <w:pPr>
        <w:spacing w:after="0" w:line="134"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use of AI technology is part of a new and rapidly evolving industry. The growth of this industry is subject to a high degree of uncertainty, and the slowing or stopping of the development or acceptance of developing protocols may occur unpredictably.</w:t>
      </w:r>
    </w:p>
    <w:p>
      <w:pPr>
        <w:spacing w:after="0" w:line="13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market for HPC data centers is driven in large part by demand for data center space capable of supporting graphics processing units ("GPUs"), server clusters, specialized or high-performance applications, and hosted software solutions which require fast and efficient data processing, and is characterized by rapid advances in technologies. It is difficult to predict the development of demand for HPC data centers, the size and growth rate for this market, the entry of competitive products, or the success of any existing or future products that may compete with any services we may develop. There has been an increasing number of businesses constructing HPC data centers, which has resulted in increasing competition and pricing pressure that may cause us to reduce our pricing in order to remain competitive.</w:t>
      </w: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22" w:name="page23"/>
    <w:bookmarkEnd w:id="22"/>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If there is a reduction in demand for any of these services, whether caused by a lack of customer acceptance, a slowdown in demand for computational power, advancements in technology, technological challenges, competing technologies and solutions, decreases in corporate and customer spending, weakening economic conditions or otherwise, it could result in reduced customer orders, early order cancellations, the loss of customers, or decreased sales, any of which would adversely affect our business, results of operations and financial condition.</w:t>
      </w:r>
    </w:p>
    <w:p>
      <w:pPr>
        <w:spacing w:after="0" w:line="13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unfavorable global economic, business or political conditions, such as geopolitical tensions, military conflicts, acts of terrorism, natural disasters, pandemics, trade restrictions, tariffs, or similar events could have material adverse effect on our business, financial condition and results of operations.</w:t>
      </w:r>
    </w:p>
    <w:p>
      <w:pPr>
        <w:spacing w:after="0" w:line="118"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Our ability to complete the construction of, and then operate, our HPC data centers could be adversely affected by general conditions in the global economy and in the global financial markets, including conditions that are outside of our control. Geopolitical tensions, acts of terrorism, hostilities or the perception that hostilities may be imminent, military conflict and acts of war, including sanctions or other restrictive actions, by the United States and/or other countries, could adversely impact our business, supply chain or partners. Additionally, increasing tariffs or other restrictions could potentially cause a slowdown in global trade and increase cost of certain goods and adversely affect our operations, or could more directly affect our business by making the hardware or other products we need to build and operate our data centers more expensive.</w:t>
      </w:r>
    </w:p>
    <w:p>
      <w:pPr>
        <w:spacing w:after="0" w:line="15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Operating HPC data centers is energy-intensive, which may have a negative environmental impact. Changing environmental regulation and public energy policy may expose our business to new risks</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Operating HPC data centers requires large amounts of electrical power. There has been a substantial increase in the demand and cost of electricity for computing purposes, and this has had varying levels of impact on local electricity supply. As a result, the success of any data center facility we establish is subject to obtaining sufficient electrical power for that facility on a cost-effective basis, and our establishment of new facilities requires us to find locations where that is the case. If new regulations are imposed, or if existing regulations are modified, the assumptions we made underlying our plans and strategic initiatives may be inaccurate, and potential HPC tenants may seek to sign leases in other locations with more favorable power supply and regulations.</w:t>
      </w:r>
    </w:p>
    <w:p>
      <w:pPr>
        <w:spacing w:after="0" w:line="14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addition, there continues to be increasing focus on the environmental impact of energy-intensive data center operations, particularly those supporting AI workloads. HPC data centers can require significantly more power per rack than traditional cloud computing, which may attract regulatory scrutiny. New legislation and increased regulation regarding climate change could impose significant costs on us and our suppliers, including costs related to increased energy requirements, capital equipment, environmental monitoring and reporting, and other costs to comply with such regulations. Further, any future climate change regulations could also negatively impact our ability to compete with companies situated in areas not subject to such limitations.</w:t>
      </w:r>
    </w:p>
    <w:p>
      <w:pPr>
        <w:spacing w:after="0" w:line="15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Given the political significance and uncertainty around the potential impact of climate change and how it should be addressed, and energy disclosure and use regulations, we cannot predict how legislation and regulation will affect our financial condition and results of operations in the future in the United States. Additionally, increased awareness and any adverse publicity in the global marketplace about potential impacts on climate change or energy use by us or other companies in our industry could harm our reputation. Any of the foregoing could result in a material adverse effect on our business and financial condition.</w:t>
      </w:r>
    </w:p>
    <w:p>
      <w:pPr>
        <w:spacing w:after="0" w:line="13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concentrated our operations and, thus, are particularly exposed to the performance of our data centers located in Texas and changes in the regulatory environment, market conditions and natural disasters in Texas.</w:t>
      </w:r>
    </w:p>
    <w:p>
      <w:pPr>
        <w:spacing w:after="0" w:line="118" w:lineRule="exact"/>
        <w:rPr>
          <w:sz w:val="20"/>
          <w:szCs w:val="20"/>
          <w:color w:val="auto"/>
        </w:rPr>
      </w:pPr>
    </w:p>
    <w:p>
      <w:pPr>
        <w:ind w:right="40" w:firstLine="648"/>
        <w:spacing w:after="0" w:line="281" w:lineRule="auto"/>
        <w:rPr>
          <w:sz w:val="20"/>
          <w:szCs w:val="20"/>
          <w:color w:val="auto"/>
        </w:rPr>
      </w:pPr>
      <w:r>
        <w:rPr>
          <w:rFonts w:ascii="Times New Roman" w:cs="Times New Roman" w:eastAsia="Times New Roman" w:hAnsi="Times New Roman"/>
          <w:sz w:val="17"/>
          <w:szCs w:val="17"/>
          <w:color w:val="auto"/>
        </w:rPr>
        <w:t>We currently operate all of our data centers in Texas, and the data centers we are constructing for our HPC tenants are located in Texas as well. The Odessa Facility was responsible for approximately 74% of the revenue we earned in the year ended December 31, 2025. Our bitcoin mining operations at the Black Pearl Facility ceased in early 2026, and we will not earn revenue at this site until the site’s lease to an HPC tenant commences. If any critical equipment fails or there are delays in repairing equipment at the Odessa Facility, our business operations and financial results may be severely affected.</w:t>
      </w:r>
    </w:p>
    <w:p>
      <w:pPr>
        <w:spacing w:after="0" w:line="189" w:lineRule="exact"/>
        <w:rPr>
          <w:sz w:val="20"/>
          <w:szCs w:val="20"/>
          <w:color w:val="auto"/>
        </w:rPr>
      </w:pPr>
    </w:p>
    <w:p>
      <w:pPr>
        <w:ind w:right="140" w:firstLine="648"/>
        <w:spacing w:after="0" w:line="281" w:lineRule="auto"/>
        <w:rPr>
          <w:sz w:val="20"/>
          <w:szCs w:val="20"/>
          <w:color w:val="auto"/>
        </w:rPr>
      </w:pPr>
      <w:r>
        <w:rPr>
          <w:rFonts w:ascii="Times New Roman" w:cs="Times New Roman" w:eastAsia="Times New Roman" w:hAnsi="Times New Roman"/>
          <w:sz w:val="17"/>
          <w:szCs w:val="17"/>
          <w:color w:val="auto"/>
        </w:rPr>
        <w:t xml:space="preserve">Additionally, we are particularly exposed to changes in the regulatory environment, market conditions and natural disasters in this state. See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We are vulnerable to severe weather conditions and natural disasters, including severe heat, winter weather events, earthquakes, fires, floods, hurricanes, as well as power outages and other industrial incidents or mechanical failures, which could severely disrupt the normal operation of our business and adversely affect our results of operations.” </w:t>
      </w:r>
      <w:r>
        <w:rPr>
          <w:rFonts w:ascii="Times New Roman" w:cs="Times New Roman" w:eastAsia="Times New Roman" w:hAnsi="Times New Roman"/>
          <w:sz w:val="17"/>
          <w:szCs w:val="17"/>
          <w:color w:val="auto"/>
        </w:rPr>
        <w:t>Due to our heavy concentration of data centers in Texas, if the regulatory and economic environment in Texas</w:t>
      </w:r>
    </w:p>
    <w:p>
      <w:pPr>
        <w:spacing w:after="0" w:line="200" w:lineRule="exact"/>
        <w:rPr>
          <w:sz w:val="20"/>
          <w:szCs w:val="20"/>
          <w:color w:val="auto"/>
        </w:rPr>
      </w:pPr>
    </w:p>
    <w:p>
      <w:pPr>
        <w:spacing w:after="0" w:line="3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23" w:name="page24"/>
    <w:bookmarkEnd w:id="23"/>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were to become less favorable to data center operators like us or HPC operations, including by way of increased taxes or policies that limit the ability of data center operators to expand their footprint, our heavy concentration of sites in Texas means our business, financial condition and results of operations could be adversely affected.</w:t>
      </w:r>
    </w:p>
    <w:p>
      <w:pPr>
        <w:spacing w:after="0" w:line="14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third parties, including transmission and distribution utilities, grid operators, electric utility providers and manufacturers of certain critical and specialized equipment, and rely on components and raw materials that may be subject to price fluctuations or shortages.</w:t>
      </w:r>
    </w:p>
    <w:p>
      <w:pPr>
        <w:spacing w:after="0" w:line="118"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We depend on third parties, including transmission and distribution utilities like Oncor Electric Delivery Company LLC (“Oncor”) and AEP, the Texas grid operator, ERCOT, and manufacturers of critical components for our mining equipment and our data centers, which may be subject to price fluctuations or shortages. For example, our operations require approval to operate from Oncor, AEP and/or ERCOT, which can be onerous to obtain. If Oncor, AEP and/or ERCOT delay in providing such approval, or change the requirements to operate HPC facilities, our business plans may be disrupted and our results of operations may be negatively affected.</w:t>
      </w:r>
    </w:p>
    <w:p>
      <w:pPr>
        <w:spacing w:after="0" w:line="14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are also reliant on critical equipment to supply power to our data center facilities and we are exposed to the risk of disruptions or other failures in the overall global supply chain for related data center hardware. See also “—</w:t>
      </w:r>
      <w:r>
        <w:rPr>
          <w:rFonts w:ascii="Times New Roman" w:cs="Times New Roman" w:eastAsia="Times New Roman" w:hAnsi="Times New Roman"/>
          <w:sz w:val="18"/>
          <w:szCs w:val="18"/>
          <w:i w:val="1"/>
          <w:iCs w:val="1"/>
          <w:color w:val="auto"/>
        </w:rPr>
        <w:t>Any unfavorable global economic, business or political conditions, such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geopolitical tensions, military conflicts, acts of terrorism, natural disasters, pandemics, trade restrictions, tariffs, or similar events could have material adverse effect on our business, financial condition and results of operations</w:t>
      </w:r>
      <w:r>
        <w:rPr>
          <w:rFonts w:ascii="Times New Roman" w:cs="Times New Roman" w:eastAsia="Times New Roman" w:hAnsi="Times New Roman"/>
          <w:sz w:val="18"/>
          <w:szCs w:val="18"/>
          <w:color w:val="auto"/>
        </w:rPr>
        <w:t>.” If this critical equipment malfunctions or we have delays in the ability to fix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equipment, it could adversely affect our operations and financial results.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affected by price fluctuations in the wholesale and retail power markets.</w:t>
      </w:r>
    </w:p>
    <w:p>
      <w:pPr>
        <w:spacing w:after="0" w:line="18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Market prices for power can be unpredictable. Depending upon the effectiveness of any price risk management activity undertaken by us, an increase in market prices for power may adversely affect our business, prospects, financial condition, and operating results. Long- and short-term power prices may fluctuate substantially due to a variety of factors outside of our control, including, but not limited to:</w:t>
      </w:r>
    </w:p>
    <w:p>
      <w:pPr>
        <w:spacing w:after="0" w:line="135"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and decreases in generation capacity;</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power transmission or fuel transportation capacity constraints or inefficiencies;</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volatile weather conditions, particularly unusually hot or mild summers or unusually cold or warm winters and natural disasters;</w:t>
      </w:r>
    </w:p>
    <w:p>
      <w:pPr>
        <w:spacing w:after="0" w:line="184" w:lineRule="exact"/>
        <w:rPr>
          <w:rFonts w:ascii="Times New Roman" w:cs="Times New Roman" w:eastAsia="Times New Roman" w:hAnsi="Times New Roman"/>
          <w:sz w:val="18"/>
          <w:szCs w:val="18"/>
          <w:color w:val="auto"/>
        </w:rPr>
      </w:pPr>
    </w:p>
    <w:p>
      <w:pPr>
        <w:ind w:left="1300" w:right="180" w:hanging="644"/>
        <w:spacing w:after="0" w:line="266"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shifts resulting in changes in the demand for power or in patterns of power usage, including the potential development of demand-side management tools, expansion and technological advancements in power storage capability and the development of new fuels or new technologies for the production or storage of power;</w:t>
      </w:r>
    </w:p>
    <w:p>
      <w:pPr>
        <w:spacing w:after="0" w:line="14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power, market and environmental regulation and legislation; and</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capacity prices and capacity markets.</w:t>
      </w:r>
    </w:p>
    <w:p>
      <w:pPr>
        <w:spacing w:after="0" w:line="185"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If we are unable to secure power supply at prices or on terms acceptable to us, it would have a material adverse effect on our business, prospects, financial condition, and operating results.</w:t>
      </w:r>
    </w:p>
    <w:p>
      <w:pPr>
        <w:spacing w:after="0" w:line="131"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vulnerable to severe weather conditions and natural disasters, including severe heat, winter weather events, earthquakes, fires, floods, hurricanes, as well as power outages and other industrial incidents or mechanical failures, which could severely disrupt the normal operation of our business and adversely affect our results of operations.</w:t>
      </w:r>
    </w:p>
    <w:p>
      <w:pPr>
        <w:spacing w:after="0" w:line="13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Our business is subject to the risks of severe weather conditions and natural disasters, including severe heat, winter weather events, earthquakes, fires, floods, hurricanes, as well as power outages and other industrial incidents, any of which could result in system failures, power supply disruptions and other interruptions that could harm our business. Since our business and operations are located in Texas, we are particularly vulnerable to disruptions affecting that state. Certain competitors in the data center industry have experienced material delays and issues in construction and development due to weather events, including in Texas. Any significant system failures or power disruptions at our data centers could cause delays in construction, as well as disruptions in operations once construction is complete, all of which could harm our business.</w:t>
      </w: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7" w:right="379" w:bottom="1440" w:gutter="0" w:footer="0" w:header="0"/>
        </w:sectPr>
      </w:pPr>
    </w:p>
    <w:bookmarkStart w:id="24" w:name="page25"/>
    <w:bookmarkEnd w:id="24"/>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We maintain property and business interruption insurance; however, such coverage may not be sufficient to fully compensate us for losses resulting from severe weather events, power disruptions, mechanical failures, or other significant operational interruptions. A system outage or data loss, caused by it, could have a material adverse effect on our business, prospects, financial condition, and operating results.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Bitcoin miners and other necessary hardware are subject to malfunction, technological obsolescence and physical degradation.</w:t>
      </w:r>
    </w:p>
    <w:p>
      <w:pPr>
        <w:spacing w:after="0" w:line="18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Our miners are subject to malfunctions and normal wear and tear, and, at any point in time, a certain number of our miners are typically off-line for maintenance or repair. The physical degradation of our miners will require us to replace miners that are no longer functional. Because we use many units of the same miner models, if there is a model wide component malfunction whether in the hardware or the software that powers these miners, the percentage of offline miners could increase substantially, disrupting our operations. Any major miner malfunction out of the typical range of downtime for normal maintenance and repair could cause significant economic damage to us.</w:t>
      </w:r>
    </w:p>
    <w:p>
      <w:pPr>
        <w:spacing w:after="0" w:line="15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A hardware replacement or upgrading process may require substantial capital investment and we may face challenges in doing so on a timely and cost-effective basis, which could put us at a competitive disadvantage. We may also be impacted by disruptions in the supply chain for hardware. During the course of implementing any such new technology into our operations, we may experience system interruptions and failures during such implementation. Furthermore, there can be no assurances that we will recognize, in a timely manner or at all, the benefits that we may expect as a result of our implementing new technology into our operations. Any of the risks above could have a material adverse effect on our business, prospects, financial condition, and operating results.</w:t>
      </w:r>
    </w:p>
    <w:p>
      <w:pPr>
        <w:spacing w:after="0" w:line="143"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third-party providers fail to protect our information technology systems, digital assets or confidential information, or experience cybersecurity incidents, our business, operating results, financial condition and reputation could be materially harmed.</w:t>
      </w:r>
    </w:p>
    <w:p>
      <w:pPr>
        <w:spacing w:after="0" w:line="11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business operations and reputation depend on our ability, and the ability of our third-party service providers, including mining pool service providers, custodians and other counterparties, to maintain the confidentiality, integrity and availability of our information technology systems, digital assets and confidential information, including proprietary technologies, processes, intellectual property and personal information (“Confidential Information”). We and our partners rely extensively on third-party information technology systems, including cloud-based systems, on-premises servers and data centers, renewable energy infrastructure and other networked systems (collectively, “IT Systems”), to record and process transactions and manage our operations.</w:t>
      </w:r>
    </w:p>
    <w:p>
      <w:pPr>
        <w:spacing w:after="0" w:line="16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and our third-party service providers face numerous and evolving cybersecurity risks and regularly identify, defend against and recover from a variety of cyber-attacks, including phishing and other efforts to gain unauthorized access to systems. These risks may increase as we grow, as our operations become more complex and as threat actors become more sophisticated, including through the use of artificial intelligence and other advanced techniques designed to circumvent security controls, evade detection or remain dormant for extended periods. Remote and hybrid working arrangements at our company and at many of our third-party providers may further increase cybersecurity risks due to challenges associated with managing distributed computing assets and non-corporate networks. In addition, any integration of artificial intelligence in our or our service providers’ or partners’ operations, products or services may pose new or unknown cybersecurity risks.</w:t>
      </w:r>
    </w:p>
    <w:p>
      <w:pPr>
        <w:spacing w:after="0" w:line="148"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Despite our efforts to maintain and enhance cybersecurity controls and incident response and disaster recovery preparedness, including employee training, monitoring and preventative measures, we may be unable to detect, prevent, investigate, remediate or adequately recover from all cybersecurity incidents or IT Systems failures in a timely manner or at all. Security breaches or other cybersecurity incidents may arise from a variety of sources, including state-sponsored actors, opportunistic hackers, hacktivists, insiders, human or technological error, malware (including ransomware), social engineering or vulnerabilities in our or third-party systems. Certain attacks could harm us even if our systems are not directly compromised, including through disruptions at or vulnerabilities within third-party service providers on which we rely. We also may not be able to ensure the adequacy of the security measures implemented by our third-party service providers, custodians or counterparties, many of which store or process our sensitive data and digital assets.</w:t>
      </w:r>
    </w:p>
    <w:p>
      <w:pPr>
        <w:spacing w:after="0" w:line="151" w:lineRule="exact"/>
        <w:rPr>
          <w:sz w:val="20"/>
          <w:szCs w:val="20"/>
          <w:color w:val="auto"/>
        </w:rPr>
      </w:pPr>
    </w:p>
    <w:p>
      <w:pPr>
        <w:ind w:right="160" w:firstLine="648"/>
        <w:spacing w:after="0" w:line="276" w:lineRule="auto"/>
        <w:rPr>
          <w:sz w:val="20"/>
          <w:szCs w:val="20"/>
          <w:color w:val="auto"/>
        </w:rPr>
      </w:pPr>
      <w:r>
        <w:rPr>
          <w:rFonts w:ascii="Times New Roman" w:cs="Times New Roman" w:eastAsia="Times New Roman" w:hAnsi="Times New Roman"/>
          <w:sz w:val="17"/>
          <w:szCs w:val="17"/>
          <w:color w:val="auto"/>
        </w:rPr>
        <w:t>A successful cybersecurity incident or IT Systems failure could result in, among other things, (i) interruptions to our operations or services; (ii) loss of control or impaired operation of our equipment; (iii) misappropriation or loss of personal data, Confidential Information or other critical data; and</w:t>
      </w:r>
    </w:p>
    <w:p>
      <w:pPr>
        <w:spacing w:after="0" w:line="1" w:lineRule="exact"/>
        <w:rPr>
          <w:sz w:val="20"/>
          <w:szCs w:val="20"/>
          <w:color w:val="auto"/>
        </w:rPr>
      </w:pPr>
    </w:p>
    <w:p>
      <w:pPr>
        <w:ind w:right="200" w:firstLine="8"/>
        <w:spacing w:after="0" w:line="260" w:lineRule="auto"/>
        <w:tabs>
          <w:tab w:leader="none" w:pos="30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theft or irretrievable loss of bitcoin or other digital assets. Such incidents could materially harm our business and reputation, require significant incident response, remediation or system restoration efforts and expenses, and expose us to governmental or regulatory investigations,</w:t>
      </w:r>
    </w:p>
    <w:p>
      <w:pPr>
        <w:spacing w:after="0" w:line="200" w:lineRule="exact"/>
        <w:rPr>
          <w:sz w:val="20"/>
          <w:szCs w:val="20"/>
          <w:color w:val="auto"/>
        </w:rPr>
      </w:pPr>
    </w:p>
    <w:p>
      <w:pPr>
        <w:spacing w:after="0" w:line="3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96" w:right="399" w:bottom="1440" w:gutter="0" w:footer="0" w:header="0"/>
        </w:sectPr>
      </w:pPr>
    </w:p>
    <w:bookmarkStart w:id="25" w:name="page26"/>
    <w:bookmarkEnd w:id="25"/>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enforcement actions, litigation (including class actions), fines, penalties or other liabilities. In addition, a data breach or cybersecurity incident may trigger mandatory notification obligations under applicable privacy and data protection laws, which could result in negative publicity and a loss of confidence in our security measures.</w:t>
      </w:r>
    </w:p>
    <w:p>
      <w:pPr>
        <w:spacing w:after="0" w:line="13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Mitigating cybersecurity risks and responding to incidents has resulted, and may in the future result, in increased operating and capital costs for systems, technology, personnel, monitoring and compliance. Insurance coverage for cybersecurity incidents involving digital or cryptocurrency assets is limited, and we do not currently maintain cybersecurity insurance for such assets. As a result, losses, costs or damages arising from cybersecurity incidents or IT Systems failures may not be fully recoverable, if at all.</w:t>
      </w:r>
    </w:p>
    <w:p>
      <w:pPr>
        <w:spacing w:after="0" w:line="13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Although we have not experienced a material cybersecurity incident to date, there can be no assurance that we will not experience such an incident in the future or that our cybersecurity risk management program, policies, controls and procedures will be fully implemented, complied with or effective. Any failure to protect our IT Systems, digital assets or Confidential Information could materially and adversely affect our business, operating results, financial condition and reputation.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bitcoin has historically been subject to wide swings, and our operating results may be adversely affected by our hedging activity.</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While bitcoin prices are determined primarily using data from various exchanges, over-the-counter markets and derivative platforms, they have historically been volatile and are impacted by a variety of factors. Such factors include, but are not limited to, the worldwide growth in the adoption and use of bitcoin, the maintenance and development of the software protocol of the Bitcoin network, changes in consumer demographics and preferences, fraudulent or illegitimate actors, real or perceived scarcity, and political, economic, regulatory or other conditions. Furthermore, pricing may be the result of, and may continue to result in, speculation regarding future appreciation in the value of bitcoin, making prices more volatile.</w:t>
      </w:r>
    </w:p>
    <w:p>
      <w:pPr>
        <w:spacing w:after="0" w:line="143"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From time to time, we may also hedge some portion of our bitcoin in inventory or some portion of the value of our expected forward production, which may limit our exposure to substantial increases in the price of bitcoin. Given the volatility of bitcoin price, there is also a risk that we execute hedges at suboptimal levels thereby foregoing some amount of price appreciation that we otherwise would have enjoyed without the hedges in place. Currently, we do not use a formula or specific methodology to determine whether or when we will hedge or sell bitcoin that we hold, or the amount of bitcoin we will hedge or sell. Rather, decisions to hold, hedge or sell bitcoins are currently determined by management by analyzing forecasts and monitoring the market in real time. Such decisions, however well-informed, may result in untimely sales and even losses, adversely affecting an investment in us.</w:t>
      </w:r>
    </w:p>
    <w:p>
      <w:pPr>
        <w:spacing w:after="0" w:line="15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a potential that, in the event of a bankruptcy filing by a custodian, bitcoin held in custody could be determined to be property of a bankruptcy estate and we could be considered a general unsecured creditor thereof.</w:t>
      </w:r>
    </w:p>
    <w:p>
      <w:pPr>
        <w:spacing w:after="0" w:line="118"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All of the bitcoin we hold is held in either cold or hot storage at our custodians. We use multiple custodians and intend to periodically re-evaluate our active custodians for appropriateness.</w:t>
      </w:r>
    </w:p>
    <w:p>
      <w:pPr>
        <w:spacing w:after="0" w:line="121"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treatment of bitcoin held by custodians that file for bankruptcy protection is uncharted territory in U.S. Bankruptcy law, and such assets are not protected by the Federal Deposit Insurance Corporation (“FDIC”) or the Securities Investor Protection Corporation. We cannot say with certainty whether our bitcoin held in custody at one of our custodians, or another custodian in the future, should it declare bankruptcy, would be treated as property of a bankruptcy estate and, accordingly, whether the owner of that bitcoin would be treated as a general unsecured creditor with respect to our bitcoin held in custody at that custodian. If we are treated as a general unsecured creditor, we may not be able to recover our bitcoin in the event of a bankruptcy of any of our custodians or any other custodian we may use in the future.</w:t>
      </w:r>
    </w:p>
    <w:p>
      <w:pPr>
        <w:spacing w:after="0" w:line="15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and future growth, to a significant degree, depends on the skills and services of our management team. The loss of any of our management team, our inability to execute an effective succession plan, or our inability to attract and retain qualified personnel, could adversely affect our business.</w:t>
      </w:r>
    </w:p>
    <w:p>
      <w:pPr>
        <w:spacing w:after="0" w:line="118"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Our success and future growth, to a significant degree, depends on the skills and services of our management team. If our management team, including any new hires that we may make, fails to work together effectively and to execute our plans and strategies on a timely basis, our business could be significantly harmed. Furthermore, if we fail to execute an effective contingency or succession plan with the loss of any member of management, the loss of such management personnel may significantly disrupt our business.</w:t>
      </w:r>
    </w:p>
    <w:p>
      <w:pPr>
        <w:spacing w:after="0" w:line="200" w:lineRule="exact"/>
        <w:rPr>
          <w:sz w:val="20"/>
          <w:szCs w:val="20"/>
          <w:color w:val="auto"/>
        </w:rPr>
      </w:pPr>
    </w:p>
    <w:p>
      <w:pPr>
        <w:spacing w:after="0" w:line="3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26" w:name="page27"/>
    <w:bookmarkEnd w:id="26"/>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Furthermore, the loss of key members of our management or other employees could inhibit our growth prospects. Our future success depends, in large part, on our ability to attract, retain and motivate key management and operating personnel. As we continue to develop and expand our operations, we may require personnel with different skills and experiences, who have a sound understanding of our business, data center construction, and the HPC industry, for example, specialists in power contract negotiations and management, as well as data center specialists, and we may also compete for talent in other related fields, such as finance and real estate. If we are unable to attract such personnel, or retain current talent, it could have a material adverse effect on our business, prospects, financial condition, and operating results.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difficulties in effectively managing our growth and expanding our operations.</w:t>
      </w:r>
    </w:p>
    <w:p>
      <w:pPr>
        <w:spacing w:after="0" w:line="189" w:lineRule="exact"/>
        <w:rPr>
          <w:sz w:val="20"/>
          <w:szCs w:val="20"/>
          <w:color w:val="auto"/>
        </w:rPr>
      </w:pPr>
    </w:p>
    <w:p>
      <w:pPr>
        <w:ind w:right="540" w:firstLine="648"/>
        <w:spacing w:after="0" w:line="261" w:lineRule="auto"/>
        <w:rPr>
          <w:sz w:val="20"/>
          <w:szCs w:val="20"/>
          <w:color w:val="auto"/>
        </w:rPr>
      </w:pPr>
      <w:r>
        <w:rPr>
          <w:rFonts w:ascii="Times New Roman" w:cs="Times New Roman" w:eastAsia="Times New Roman" w:hAnsi="Times New Roman"/>
          <w:sz w:val="18"/>
          <w:szCs w:val="18"/>
          <w:color w:val="auto"/>
        </w:rPr>
        <w:t>Our ability to manage our growth requires us to build upon and to continue to improve our operational, financial and management controls, compliance programs and reporting systems. We may not be able to implement improvements in an efficient or timely manner and may discover deficiencies in existing controls, programs, systems and procedures, which could have a material adverse effect on our business, prospects, financial condition, and operating results.</w:t>
      </w:r>
    </w:p>
    <w:p>
      <w:pPr>
        <w:spacing w:after="0" w:line="15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we may consider potential acquisitions, joint venture or other investment opportunities. We cannot offer any assurance that acquisitions of businesses or assets, development of new sites, or entering into strategic alliances or joint ventures will be successful. We may not be able to find suitable partners or acquisition candidates and may not be able to complete such transactions on favorable terms, if at all. If we make any acquisitions, we may not be able to integrate these acquisitions successfully into the existing business and could assume unknown or contingent liabilities.</w:t>
      </w:r>
    </w:p>
    <w:p>
      <w:pPr>
        <w:spacing w:after="0" w:line="13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To finance any acquisitions or joint ventures, we may choose to issue shares of common stock, preferred stock, or debt, which could significantly dilute the ownership of our existing stockholders or provide rights to such preferred stockholders in priority over our common stockholders. Additional funds may not be available on terms that are favorable to us, or at all. If the price of our common stock is low or volatile, we may not be able to acquire other companies or fund a joint venture project using stock as consideration.</w:t>
      </w:r>
    </w:p>
    <w:p>
      <w:pPr>
        <w:spacing w:after="0" w:line="13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Additionally, rapid growth in our business may place a strain on our managerial, operational and financial resources and systems. If we fail to manage our growth effectively or to develop and expand our managerial, operational and financial resources and systems, our business, prospects, financial condition and operating results could be adversely affected.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and enhance our brand and reputation, our business, operating results and financial condition may be adversely affected.</w:t>
      </w:r>
    </w:p>
    <w:p>
      <w:pPr>
        <w:spacing w:after="0" w:line="18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believe our brand and reputation is an important factor in the success and development of our business. As part of our strategy, we seek to structure our relationships with our equipment and service providers, power suppliers and other potential partners as long-term relationships. See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 Strategy—.</w:t>
      </w:r>
      <w:r>
        <w:rPr>
          <w:rFonts w:ascii="Times New Roman" w:cs="Times New Roman" w:eastAsia="Times New Roman" w:hAnsi="Times New Roman"/>
          <w:sz w:val="18"/>
          <w:szCs w:val="18"/>
          <w:color w:val="auto"/>
        </w:rPr>
        <w:t>” Thus, maintaining, protecting, and enhancing our reputation is also important to our development plans, operational stability,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relationships with our power suppliers, equipment and service providers and other counterparties.</w:t>
      </w:r>
    </w:p>
    <w:p>
      <w:pPr>
        <w:spacing w:after="0" w:line="13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keep up with evolving trends and shareholder expectations relating to ESG businesses or reporting could adversely impact our reputation, share price and access to and cost of capital.</w:t>
      </w:r>
    </w:p>
    <w:p>
      <w:pPr>
        <w:spacing w:after="0" w:line="13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Certain institutional investors, investor advocacy groups, investment funds, creditors and other influential financial markets participants have become increasingly focused on companies’ ESG practices in evaluating their investments and business relationships, including the impact of industrial-scale data center operations on the environment. Certain organizations also provide ESG ratings, scores and benchmarking studies that assess companies’ ESG practices. Although there are currently no universal standards for such ratings, scores or benchmarking studies, they are used by some investors to inform their investment and voting decisions. It is possible that our shareholders or organizations that report on, rate or score ESG practices will not be satisfied with our ESG strategy or performance. However, increasingly, different stakeholder groups have divergent views on ESG matters, which increases the risk that any action or lack thereof with respect to ESG matters will be perceived negatively by at least some stakeholders and adversely impact our reputation and business. Unfavorable press about, or ratings or assessments of, our ESG strategies or practices, regardless of whether or not we comply with applicable legal requirements, regulations and executive orders, may lead to negative investor sentiment toward us, which could have a negative impact on our stock price and our access to and cost of capital.</w:t>
      </w:r>
    </w:p>
    <w:p>
      <w:pPr>
        <w:spacing w:after="0" w:line="200" w:lineRule="exact"/>
        <w:rPr>
          <w:sz w:val="20"/>
          <w:szCs w:val="20"/>
          <w:color w:val="auto"/>
        </w:rPr>
      </w:pPr>
    </w:p>
    <w:p>
      <w:pPr>
        <w:spacing w:after="0" w:line="3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6" w:right="359" w:bottom="1440" w:gutter="0" w:footer="0" w:header="0"/>
        </w:sectPr>
      </w:pPr>
    </w:p>
    <w:bookmarkStart w:id="27" w:name="page28"/>
    <w:bookmarkEnd w:id="27"/>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compliance and risk management methods might not be effective and may result in outcomes that could adversely affect our reputation, operating results, and financial condition.</w:t>
      </w:r>
    </w:p>
    <w:p>
      <w:pPr>
        <w:spacing w:after="0" w:line="118"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Our ability to comply with applicable complex and evolving laws, regulations, and rules is largely dependent on the maintenance of our compliance, audit, and reporting systems, as well as our ability to attract and retain qualified compliance and other risk management personnel. We cannot assure you that our policies and procedures will always be effective against all types of risks, including unidentified or unanticipated risks, or that we will always be successful in monitoring or evaluating the risks to which we are or may be exposed in all market environments.</w:t>
      </w:r>
    </w:p>
    <w:p>
      <w:pPr>
        <w:spacing w:after="0" w:line="13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or other intellectual property rights, our business and competitive position could be harmed.</w:t>
      </w:r>
    </w:p>
    <w:p>
      <w:pPr>
        <w:spacing w:after="0" w:line="132"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Our ability to conduct our business in a profitable manner relies in part on our proprietary methods and designs, which we primarily protect as trade secrets. We rely upon trade secret and other intellectual property laws, physical and technological security measures and contractual commitments to protect our trade secrets and other intellectual property rights, including entering into non-disclosure agreements with employees, consultants and third parties with access to our trade secrets. However, such measures may not provide adequate protection and the value of our trade secrets could be lost through misappropriation or breach of our confidentiality agreements. For example, an employee with authorized access may misappropriate our trade secrets and provide them to a competitor, and the recourse we take against such misconduct may not provide an adequate remedy to protect our interests fully, because enforcing a claim that a party illegally disclosed or misappropriated a trade secret can be difficult, expensive and time consuming, and the outcome is unpredictable. Thus, if any of our trade secrets were to be disclosed or misappropriated, our competitive position could be harmed. In addition to the risk of misappropriation and unauthorized disclosure, our competitors may develop similar or better methods independently in a manner that could prevent legal recourse by us, which could result in costly process redesign efforts or other competitive harm. Furthermore, any of our intellectual property rights could be challenged, invalidated, circumvented, infringed, diluted, disclosed or misappropriated and adequate legal recourse may be unavailable. Thus, there can be no assurance that our trade secrets or other intellectual property rights will be sufficient to protect against competitors operating their business in a manner that is substantially similar to us.</w:t>
      </w:r>
    </w:p>
    <w:p>
      <w:pPr>
        <w:spacing w:after="0" w:line="14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claim that we are infringing upon, misappropriating or otherwise violating their intellectual property rights, which may prevent or inhibit our operations and cause us to suffer significant litigation expense even if these claims have no merit.</w:t>
      </w:r>
    </w:p>
    <w:p>
      <w:pPr>
        <w:spacing w:after="0" w:line="118"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Our commercial success depends on our ability to operate without undue cost and distraction of claims that we are infringing the intellectual property rights of third parties. However, third parties may own patents (or have pending patent applications that later result in patents) that our operations may infringe. In addition, third parties may purchase patents for the purpose of asserting claims of infringement and attempting to extract license fees via settlements from us. There also could be patents that we believe we do not infringe, but that we may ultimately be found to infringe. Further, because patents can take many years to issue, there may be currently pending applications of which we are unaware that may later result in issued patents that its operations infringe.</w:t>
      </w:r>
    </w:p>
    <w:p>
      <w:pPr>
        <w:spacing w:after="0" w:line="16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Finally, third parties could accuse us of misappropriating their trade secrets. Any claims of patent infringement or trade secret misappropriation, even claims without merit, could be costly and time-consuming to defend and could require us to divert resources away from operations. In addition, if any third party has a meritorious or successful claim that we are infringing their intellectual property, we may be forced to redesign our operations or secure a license from such third parties, which may be costly or impractical. We also may be subject to significant damages or injunctions that may cause a material adverse effect to our business and operations, if we cannot license or develop an alternative for any infringing aspect of its business, and may result in a material loss in revenue, which could adversely affect the trading price of our shares and harm our investors.</w:t>
      </w:r>
    </w:p>
    <w:p>
      <w:pPr>
        <w:spacing w:after="0" w:line="143"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rapidly evolving industry and if we are unable to respond to our competitors effectively, it could have a material adverse effect on our business, results of operations, and financial condition.</w:t>
      </w:r>
    </w:p>
    <w:p>
      <w:pPr>
        <w:spacing w:after="0" w:line="11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HPC industry is highly innovative, rapidly evolving, and characterized by competition, experimentation, frequent introductions of new products and services, and subject to uncertain and evolving industry and regulatory requirements. We expect competition to further intensify with existing and new competitors, and we may not be able to compete successfully against present or future competitors, which may have various advantages over us, such as more timely adoption of new technologies, greater access to capital, greater financial resources for data center constructions,</w:t>
      </w:r>
    </w:p>
    <w:p>
      <w:pPr>
        <w:spacing w:after="0" w:line="200" w:lineRule="exact"/>
        <w:rPr>
          <w:sz w:val="20"/>
          <w:szCs w:val="20"/>
          <w:color w:val="auto"/>
        </w:rPr>
      </w:pPr>
    </w:p>
    <w:p>
      <w:pPr>
        <w:spacing w:after="0" w:line="3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92" w:right="399" w:bottom="1440" w:gutter="0" w:footer="0" w:header="0"/>
        </w:sectPr>
      </w:pPr>
    </w:p>
    <w:bookmarkStart w:id="28" w:name="page29"/>
    <w:bookmarkEnd w:id="28"/>
    <w:p>
      <w:pPr>
        <w:ind w:right="820"/>
        <w:spacing w:after="0" w:line="282" w:lineRule="auto"/>
        <w:rPr>
          <w:sz w:val="20"/>
          <w:szCs w:val="20"/>
          <w:color w:val="auto"/>
        </w:rPr>
      </w:pPr>
      <w:r>
        <w:rPr>
          <w:rFonts w:ascii="Times New Roman" w:cs="Times New Roman" w:eastAsia="Times New Roman" w:hAnsi="Times New Roman"/>
          <w:sz w:val="18"/>
          <w:szCs w:val="18"/>
          <w:color w:val="auto"/>
        </w:rPr>
        <w:t>lower labor, compliance, risk mitigation and research and development costs, operations in certain jurisdictions with lower compliance costs and substantially greater financial, technical and other resources.</w:t>
      </w:r>
    </w:p>
    <w:p>
      <w:pPr>
        <w:spacing w:after="0" w:line="12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Competition from existing and future competitors could result in our inability to secure acquisitions and partnerships that we may need to expand our business in the future. This competition from other entities with greater resources, experience and reputations may result in our failure to maintain or expand our business, as we may never be able to successfully execute our business model. If we are unable to execute the leases for our current HPC leases, expand and remain competitive, our business, prospects, financial condition and operating results could be adversely affected.</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details on our current competitive landscape, see “</w:t>
      </w:r>
      <w:r>
        <w:rPr>
          <w:rFonts w:ascii="Times New Roman" w:cs="Times New Roman" w:eastAsia="Times New Roman" w:hAnsi="Times New Roman"/>
          <w:sz w:val="18"/>
          <w:szCs w:val="18"/>
          <w:i w:val="1"/>
          <w:iCs w:val="1"/>
          <w:color w:val="auto"/>
        </w:rPr>
        <w:t>Business — Competition</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insurance protection exposes us and our shareholders to the risk of loss of our bitcoin for which no person is liable.</w:t>
      </w:r>
    </w:p>
    <w:p>
      <w:pPr>
        <w:spacing w:after="0" w:line="18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do not currently maintain our own insurance coverage for our bitcoin holdings, which are held in custody by our custodians. Therefore, a loss may be suffered with respect to our bitcoin that is not covered by insurance and for which no person is liable in damages, which could adversely affect our operations and, consequently, an investment in us. Our custodians maintain a certain insurance coverage of such types and amounts as they assert to be commercially reasonable for their custodial services provided under our custody agreements with them, including certain commercial crime insurance of limited aggregate principal amount which covers losses stemming from fraud, security breach, hack and asset theft. However, such insurance coverage may be insufficient to protect us against all losses of our bitcoin holdings held in custody with our custodians, whether or not stemming from security breaches, cyberattacks or other types of unlawful activity. Therefore, a loss may be suffered with respect to our bitcoin that is not covered by insurance and for which no person is liable in damages, which could adversely affect our operations and, consequently, an investment in us.</w:t>
      </w:r>
    </w:p>
    <w:p>
      <w:pPr>
        <w:spacing w:after="0" w:line="14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operating results historically have been highly dependent on bitcoin and the Bitcoin ecosystem, which are volatile and subject to risks beyond our control.</w:t>
      </w:r>
    </w:p>
    <w:p>
      <w:pPr>
        <w:spacing w:after="0" w:line="13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Historically, we have derived substantially all of our revenue from bitcoin mining, and our operating results have depended primarily on the number of bitcoin block rewards earned and the market price of bitcoin. Bitcoin prices have historically been highly volatile and are influenced by numerous factors outside of our control, and actual prices may differ materially from those assumed by us. As a result, our operating results have fluctuated significantly from period to period and may continue to do so while bitcoin mining remains a component of our business.</w:t>
      </w:r>
    </w:p>
    <w:p>
      <w:pPr>
        <w:spacing w:after="0" w:line="13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price of bitcoin and our results of operations may be adversely affected by conditions in the broader cryptocurrency and blockchain ecosystem; trading and investment activity by retail and institutional participants; competition among mining operators; developments in mining hardware and technology; changes in consumer preferences or perceptions regarding digital assets; macroeconomic conditions, including interest rates and inflation; negative publicity or events affecting public perception of bitcoin; and the correlation of bitcoin prices with other digital assets, including disruptions or failures affecting exchanges or trading venues.</w:t>
      </w:r>
    </w:p>
    <w:p>
      <w:pPr>
        <w:spacing w:after="0" w:line="143"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Our business has also been subject to risks related to the Bitcoin network, including reductions in mining rewards resulting from block reward halving events; transaction congestion, fees, and processing speed; network disruptions, forks, hacks, or other attacks; changes to the Bitcoin protocol or governance practices; technological developments that could undermine cryptographic security; and adverse legal or regulatory developments affecting bitcoin, mining operations, or access to the Bitcoin network. In particular, bitcoin halving events reduce block rewards by 50% approximately every four years, which, absent a corresponding increase in bitcoin prices or reductions in operating costs, materially reduces mining revenue and profitability.</w:t>
      </w:r>
    </w:p>
    <w:p>
      <w:pPr>
        <w:spacing w:after="0" w:line="156"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In addition, the total supply of bitcoin is capped at 21 million, and as the remaining supply decreases, the processing power and costs required to mine new blocks may increase, potentially rendering mining less economically attractive over time. While we are transitioning our business toward high-performance computing and other strategic initiatives, a sustained decline in the value of bitcoin, adverse developments in the Bitcoin ecosystem, or reduced mining economics could continue to materially adversely affect our business, financial condition, and results of operations during this transition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Risks Related to HPC</w:t>
      </w:r>
    </w:p>
    <w:p>
      <w:pPr>
        <w:spacing w:after="0" w:line="18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potential use of emerging technologies like artificial intelligence could lead to unintended consequences and result in reputational harm and litigation.</w:t>
      </w:r>
    </w:p>
    <w:p>
      <w:pPr>
        <w:spacing w:after="0" w:line="11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continue to evaluate emerging technologies like artificial intelligence for incorporation into our business. State and federal regulations relating to emerging technologies are quickly evolving, and, should we adopt such technologies, we may require significant resources to maintain our business practices while seeking to comply with U.S. laws. Any failure to accurately identify and address our responsibilities and liabilities in this new environment could negatively affect any solutions we develop incorporating such technologies and could subject us to reputational harm, regulatory action or litigation, any of which may harm our financial condition and operating results. These same risks apply to our use of third-party service providers who are implementing these tools into the products or services they provide to us.</w:t>
      </w:r>
    </w:p>
    <w:p>
      <w:pPr>
        <w:spacing w:after="0" w:line="15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increased focus on developing data centers for HPC hosting may not become profitable in the future and may result in adverse consequences to our business, results of operations and financial condition.</w:t>
      </w:r>
    </w:p>
    <w:p>
      <w:pPr>
        <w:spacing w:after="0" w:line="11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are subject to risks and uncertainties of starting a new business, including the risk that we may never further develop or complete development of our proposed HPC hosting business. Although our construction and operations teams have prior experience in the HPC field and we believe focusing more on developing data centers for HPC companies will be beneficial to our stockholders, the HPC hosting business is novel and rapidly evolving. We have limited experience in developing an HPC hosting business and we have not previously constructed and operated an HPC data center; thus, there is no guarantee that we will successfully implement our development plans or that this business will become profitable in the future.</w:t>
      </w:r>
    </w:p>
    <w:p>
      <w:pPr>
        <w:spacing w:after="0" w:line="143"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Furthermore, we may experience difficulties with infrastructure development or modification, engineering, or design, which could result in excessive capital expenditures and significant delays. Our efforts to construct and operate HPC data centers may prove more expensive than we currently anticipate and may not result in increased revenue or profitability in the short term or at all.</w:t>
      </w:r>
    </w:p>
    <w:p>
      <w:pPr>
        <w:spacing w:after="0" w:line="14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have limited experience in developing an HPC hosting business and we have not previously constructed and operated an HPC data center, which may impact our efforts and our ability to accurately assess our prospects. The likelihood of our success must be considered in light of the expenses, difficulties, complications, problems and delays frequently encountered in connection with the expansion of a business and operating a business in an industry that is novel, competitive and rapidly evolving.</w:t>
      </w:r>
    </w:p>
    <w:p>
      <w:pPr>
        <w:spacing w:after="0" w:line="13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Our focus on developing and offering HPC hosting may also disrupt our bitcoin mining operations, divert our resources, and require significant management attention that would otherwise be available for overseeing and developing our existing bitcoin mining operations. There can be no assurance that we will ever operate an HPC hosting business profitably and it may be possible that a continued focus on operating bitcoin mining data centers would have been more profitable.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developments surrounding AI may negatively impact our HPC data center operations.</w:t>
      </w:r>
    </w:p>
    <w:p>
      <w:pPr>
        <w:spacing w:after="0" w:line="202"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regulatory landscape surrounding AI is evolving rapidly, and we anticipate increased scrutiny and potential regulation in the near and long term. These developments may affect our business and operations in ways that are difficult to predict.</w:t>
      </w:r>
    </w:p>
    <w:p>
      <w:pPr>
        <w:spacing w:after="0" w:line="121"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There are growing concerns about the ethical implications and potential misuse of the growing AI technologies and the AI landscape is facing challenges and uncertainties. The development of more advanced AI systems, such as large language models and generative AI, has raised concerns about potential misuse, bias, and the displacement of human workers. Governments and regulatory bodies are considering measures to ensure responsible development and deployment of AI systems, including guidelines for transparency, accountability, and fairness. In recent years, crypto mining has received increased attention from regulators with respect to technical and financial aspects of this industry. We expect that regulatory efforts in this area will continue to evolve and potentially affect our business.</w:t>
      </w:r>
    </w:p>
    <w:p>
      <w:pPr>
        <w:spacing w:after="0" w:line="14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As an HPC data center operator for AI companies, we are committed to maintaining a proactive and adaptive approach to regulatory compliance. We continue to monitor legislative and regulatory developments closely and engage in dialogue with relevant stakeholders to ensure our business practices align with the evolving legal and regulatory framework. However, there can be no assurance that our business will not be adversely impacted by future developments.</w:t>
      </w:r>
    </w:p>
    <w:p>
      <w:pPr>
        <w:spacing w:after="0" w:line="200" w:lineRule="exact"/>
        <w:rPr>
          <w:sz w:val="20"/>
          <w:szCs w:val="20"/>
          <w:color w:val="auto"/>
        </w:rPr>
      </w:pPr>
    </w:p>
    <w:p>
      <w:pPr>
        <w:spacing w:after="0" w:line="3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92" w:right="379" w:bottom="1440" w:gutter="0" w:footer="0" w:header="0"/>
        </w:sectPr>
      </w:pPr>
    </w:p>
    <w:bookmarkStart w:id="30" w:name="page31"/>
    <w:bookmarkEnd w:id="30"/>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may take significant time and expenditure to develop an HPC hosting business through continued development at our existing and planned sites, and our efforts may not be successful.</w:t>
      </w:r>
    </w:p>
    <w:p>
      <w:pPr>
        <w:spacing w:after="0" w:line="118" w:lineRule="exact"/>
        <w:rPr>
          <w:sz w:val="20"/>
          <w:szCs w:val="20"/>
          <w:color w:val="auto"/>
        </w:rPr>
      </w:pPr>
    </w:p>
    <w:p>
      <w:pPr>
        <w:jc w:val="both"/>
        <w:ind w:right="340" w:firstLine="648"/>
        <w:spacing w:after="0" w:line="257" w:lineRule="auto"/>
        <w:rPr>
          <w:sz w:val="20"/>
          <w:szCs w:val="20"/>
          <w:color w:val="auto"/>
        </w:rPr>
      </w:pPr>
      <w:r>
        <w:rPr>
          <w:rFonts w:ascii="Times New Roman" w:cs="Times New Roman" w:eastAsia="Times New Roman" w:hAnsi="Times New Roman"/>
          <w:sz w:val="18"/>
          <w:szCs w:val="18"/>
          <w:color w:val="auto"/>
        </w:rPr>
        <w:t>The continued development of our existing and planned facilities is subject to various factors beyond our control. There may be difficulties in integrating new equipment into existing infrastructure, constraints on our ability to connect to or procure the expected electricity supply capacity at our facilities, defects in design, construction or installed equipment, diversion of management resources, insufficient funding or other resource constraints.</w:t>
      </w:r>
    </w:p>
    <w:p>
      <w:pPr>
        <w:spacing w:after="0" w:line="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Actual costs for development may exceed our planned budget. In particular, our business strategy includes expanding and diversifying our revenue sources into a new market, HPC hosting. Our ability to execute on our HPC hosting business strategy could be challenging with our current data center designs and may require retrofits, alterations or other custom designed solutions to enable the operating environment to function for an HPC tenant, which may be cost prohibitive, if the operating environment or site is capable of doing so at all. Such alterations may require close collaboration with cooling experts, engineers and specialized vendors to ensure thermal management is aligned with specific hardware requirements.</w:t>
      </w:r>
    </w:p>
    <w:p>
      <w:pPr>
        <w:spacing w:after="0" w:line="146" w:lineRule="exact"/>
        <w:rPr>
          <w:sz w:val="20"/>
          <w:szCs w:val="20"/>
          <w:color w:val="auto"/>
        </w:rPr>
      </w:pPr>
    </w:p>
    <w:p>
      <w:pPr>
        <w:jc w:val="both"/>
        <w:ind w:right="20" w:firstLine="648"/>
        <w:spacing w:after="0" w:line="281" w:lineRule="auto"/>
        <w:rPr>
          <w:sz w:val="20"/>
          <w:szCs w:val="20"/>
          <w:color w:val="auto"/>
        </w:rPr>
      </w:pPr>
      <w:r>
        <w:rPr>
          <w:rFonts w:ascii="Times New Roman" w:cs="Times New Roman" w:eastAsia="Times New Roman" w:hAnsi="Times New Roman"/>
          <w:sz w:val="17"/>
          <w:szCs w:val="17"/>
          <w:color w:val="auto"/>
        </w:rPr>
        <w:t>We intend to expand by acquiring and developing additional sites, taking into account a number of important characteristics such as availability of renewable energy, electrical infrastructure and related costs, geographic location and the local regulatory environment. We may have difficulty finding sites that satisfy our requirements at a commercially viable price or our timing requirements. Furthermore, there may be significant competition for suitable data center sites, and government regulators, including local permitting officials, may restrict our ability to set up data center operations in certain locations.</w:t>
      </w:r>
    </w:p>
    <w:p>
      <w:pPr>
        <w:spacing w:after="0" w:line="137"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Leveraging sites that we have contractually secured may ultimately fail to complete due to factors beyond our control. In addition, the ability to secure connection agreements to access power sources and permits, approvals and/or licenses to construct and operate our facilities could be delayed in regulatory processes, may not be successful or may be cost prohibitive. Actions by government regulators, or the issuance of any new regulations, that restrict our ability to operate HPC data centers may reduce the availability and/or increase the cost of electricity in the geographic locations in which our operating facilities are located, or could otherwise adversely impact our business.</w:t>
      </w:r>
    </w:p>
    <w:p>
      <w:pPr>
        <w:spacing w:after="0" w:line="143" w:lineRule="exact"/>
        <w:rPr>
          <w:sz w:val="20"/>
          <w:szCs w:val="20"/>
          <w:color w:val="auto"/>
        </w:rPr>
      </w:pPr>
    </w:p>
    <w:p>
      <w:pPr>
        <w:ind w:right="240" w:firstLine="648"/>
        <w:spacing w:after="0" w:line="281" w:lineRule="auto"/>
        <w:rPr>
          <w:sz w:val="20"/>
          <w:szCs w:val="20"/>
          <w:color w:val="auto"/>
        </w:rPr>
      </w:pPr>
      <w:r>
        <w:rPr>
          <w:rFonts w:ascii="Times New Roman" w:cs="Times New Roman" w:eastAsia="Times New Roman" w:hAnsi="Times New Roman"/>
          <w:sz w:val="17"/>
          <w:szCs w:val="17"/>
          <w:color w:val="auto"/>
        </w:rPr>
        <w:t>Development and construction delays, cost overruns, changes in market circumstances, environmental or community constraints, an inability to continue to find suitable data center locations as part of our expansion and other factors may adversely affect our operations, expansion plans, financial position and financial performance. We will continue to review our expansion plans in light of evolving market conditions. Any such delays, and any failure to execute the construction of our data centers, could adversely impact our business, financial condition, cash flows and results of operations.</w:t>
      </w:r>
    </w:p>
    <w:p>
      <w:pPr>
        <w:spacing w:after="0" w:line="12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Expansion of our business strategy into the HPC data center market could increase competitive, operational, legal and regulatory risks to our business in ways we cannot predict.</w:t>
      </w:r>
    </w:p>
    <w:p>
      <w:pPr>
        <w:spacing w:after="0" w:line="132"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As we continue to enter into the HPC data center market, competitive, operational, legal and regulatory risks may be exacerbated as there is substantial uncertainty about the extent to which AI will result in changes that come with risks that we may not be able to anticipate, prevent, mitigate or remediate.</w:t>
      </w:r>
    </w:p>
    <w:p>
      <w:pPr>
        <w:spacing w:after="0" w:line="135"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We will face new sources of competition, new business models and new customer relationships, and our competitors may be larger, have longer operating histories and significantly greater resources than we do. In order to be successful, we will need to cultivate new industry relationships and strengthen existing relationships to bring any new solutions and offerings to market, and the success of any services we develop will depend on many factors, including demand for those solutions, our ability to win and maintain customers, and the cost, performance and perceived value of any such services. As a result, there can be no assurance that any HPC data centers we develop will be adopted by the market, or be profitable or viable.</w:t>
      </w:r>
    </w:p>
    <w:p>
      <w:pPr>
        <w:spacing w:after="0" w:line="143"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Our limited experience with respect to the provision of data center services could limit our ability to successfully execute on this growth strategy or adapt to market changes. If we are unsuccessful in continuing to develop HPC data centers, our business, results of operations and financial condition could be adversely affected. Further, an increased focus on HPC data centers could displace or reduce our existing operations, which may adversely affect our business, results of operations and financial condition.</w:t>
      </w:r>
    </w:p>
    <w:p>
      <w:pPr>
        <w:spacing w:after="0" w:line="153"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Our investments in developing HPC data centers may result in new or enhanced governmental or regulatory scrutiny, litigation, confidentiality or security risks, ethical concerns or other complications that could adversely affect our business, reputation, results of operations or financial condition.</w:t>
      </w:r>
    </w:p>
    <w:p>
      <w:pPr>
        <w:spacing w:after="0" w:line="200" w:lineRule="exact"/>
        <w:rPr>
          <w:sz w:val="20"/>
          <w:szCs w:val="20"/>
          <w:color w:val="auto"/>
        </w:rPr>
      </w:pPr>
    </w:p>
    <w:p>
      <w:pPr>
        <w:spacing w:after="0" w:line="3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2" w:right="359" w:bottom="1440" w:gutter="0" w:footer="0" w:header="0"/>
        </w:sectPr>
      </w:pPr>
    </w:p>
    <w:bookmarkStart w:id="31" w:name="page32"/>
    <w:bookmarkEnd w:id="31"/>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The increasing focus on the risks and strategic importance of certain AI services, such as AI cloud services, and AI or machine learning technologies, has already resulted in regulatory restrictions that target products and services capable of enabling or facilitating AI and machine learning, and may in the future result in additional restrictions or complex regulatory requirements impacting any offerings we may develop, including AI cloud services and other solutions. Complying with multiple evolving laws, rules and regulations from different jurisdictions related to new solutions are developed could increase the cost of doing business or may change the way HPC data centers operate in certain jurisdictions. We may not be able to adequately anticipate or respond to these evolving laws and regulations, and we may need to expend additional resources to adjust our offerings in certain jurisdictions if applicable legal frameworks are inconsistent across jurisdictions.</w:t>
      </w:r>
    </w:p>
    <w:p>
      <w:pPr>
        <w:spacing w:after="0" w:line="148"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For example, the European Union (“EU”) Artificial Intelligence Act (“EU AI Act”), which entered into force on August 1, 2024 and will become enforceable in a gradual manner between 2025 and 2027, establishes, among other things, a risk-based governance framework for regulating AI systems operating in the EU. There is a risk that the EU AI Act could have a negative impact on our current or future use of AI. For example, the EU AI Act prohibits certain uses of AI systems and places numerous obligations on providers and developers of permitted AI systems, with heightened requirements based on AI systems that are considered high risk. This regulatory framework is expected to have a material impact on the way AI is regulated in the EU and beyond. Similarly, other jurisdictions, such as Canada with its Artificial Intelligence and Data Act and several U.S. states have also implemented or are considering similar regulatory frameworks or laws governing the development and deployment of AI generally or in specific contexts, as well as critical infrastructure cybersecurity legislation or regulations relating to data flows. Specific to AI law, in April 2023, the U.S. Federal Trade Commission, Department of Justice, Consumer Financial Protection Bureau and Equal Employment Opportunity Commission issued a joint statement on AI enforcement, demonstrating their interest in monitoring the development and use of automated systems and enforcement of their respective laws and regulations. The Federal Trade Commission and certain state Attorneys General have pursued enforcement actions against companies offering AI products and services under consumer protection laws. Such regulatory frameworks, as well as developing or potentially conflicting regulatory guidance and judicial decisions in this area, as well as conflict between potentially competing legal regimes (including with respect to state laws that may conflict with federal AI policy), may introduce uncertainty, affect our use of AI and our ability to provide and to improve our products and solutions, require additional compliance measures and changes to our operations and processes, result in increased compliance costs and potential increases in civil claims against us and could have a material adverse effect on our business, financial condition and results of operations.</w:t>
      </w:r>
    </w:p>
    <w:p>
      <w:pPr>
        <w:spacing w:after="0" w:line="154"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Furthermore, concerns regarding third-party use of AI for purposes contrary to governmental, national security and societal interests, including concerns relating to the misuse of AI applications, models, and solutions, could result in restrictions on AI products. Any such restrictions could reduce the demand for our intended AI data center services, and negatively impact our business, financial condition and operating results, and damage our reputation.</w:t>
      </w:r>
    </w:p>
    <w:p>
      <w:pPr>
        <w:spacing w:after="0" w:line="14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It is also unclear how our status as an infrastructure provider for customers developing and deploying AI applications, as opposed to developing such applications ourselves, could affect the applicability of these existing or proposed regulatory frameworks and other restrictions with respect to any services we may offer from time to time. However, it is possible that such regimes will impose obligations on infrastructure providers, such as us, to oversee, monitor or restrict the use of AI systems that are trained or deployed on their systems, and/or to ensure compliance with such regulatory frameworks and other restrictions. If our customers violate existing or proposed regulatory regimes or other restrictions, or if they use our services for unlawful, harmful or non-compliant purposes, we could be subject to regulatory investigations, regulatory fines, reputational damage or contractual liability for any such actions, even if we do not control the customer applications. Further, potential HPC tenants may look to pass through their regulatory obligations and other liabilities to their outsourced data center providers, and we may not be able to limit our liability or damages in an event of loss suffered by such customers whether as a result of our breach of an agreement or otherwise.</w:t>
      </w:r>
    </w:p>
    <w:p>
      <w:pPr>
        <w:spacing w:after="0" w:line="148"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These competitive, operational, legal and regulatory risks are evolving and uncertain and could impact our business in ways we cannot predict. Any of the foregoing could limit our ability to expand our offering of HPC data centers and continue to grow our business, which could have a material adverse effect on prospects, results of operations and financial condition.</w:t>
      </w:r>
    </w:p>
    <w:p>
      <w:pPr>
        <w:spacing w:after="0" w:line="13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 highly-evolving regulatory landscape and any adverse changes to, or our failure to comply with, any laws and regulations could adversely affect our business, reputation, prospects or operations.</w:t>
      </w:r>
    </w:p>
    <w:p>
      <w:pPr>
        <w:spacing w:after="0" w:line="13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As we transition from bitcoin mining operations to HPC infrastructure services, we face evolving regulatory frameworks in multiple areas. Our HPC business is subject to data center regulations, energy and environmental regulations, and potentially AI-specific regulatory requirements depending on how our role as infrastructure provider is</w:t>
      </w:r>
    </w:p>
    <w:p>
      <w:pPr>
        <w:spacing w:after="0" w:line="200" w:lineRule="exact"/>
        <w:rPr>
          <w:sz w:val="20"/>
          <w:szCs w:val="20"/>
          <w:color w:val="auto"/>
        </w:rPr>
      </w:pPr>
    </w:p>
    <w:p>
      <w:pPr>
        <w:spacing w:after="0" w:line="3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32" w:name="page33"/>
    <w:bookmarkEnd w:id="32"/>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classified. During our transition period, we also remain subject to regulations affecting bitcoin mining operations. As cryptocurrencies have grown in both popularity and market size, governments around the world have reacted differently to cryptocurrencies; certain governments have deemed them illegal, and others have allowed their use and trade without restriction, while some jurisdictions, such as the United States, subject the mining, ownership and exchange of cryptocurrencies to certain, and in some cases overlapping, unclear and evolving regulatory requirements.</w:t>
      </w:r>
    </w:p>
    <w:p>
      <w:pPr>
        <w:spacing w:after="0" w:line="13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currently only operate in the United States, and do not currently have any plans to expand our operations beyond the United States. The complexity and evolving nature of our business and the significant uncertainty surrounding regulation of the HPC industry requires us to exercise our judgment as to whether certain laws, rules, and regulations apply to us, and it is possible that governmental bodies and regulators may disagree with our conclusions. To the extent we have not complied with such laws, rules, and regulations, we could be subject to significant fines, revocation of licenses, limitations on our products and services, reputational harm, and other regulatory consequences, each of which may be significant and could adversely affect our business, operating results, and financial condition.</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Framework</w:t>
      </w:r>
    </w:p>
    <w:p>
      <w:pPr>
        <w:spacing w:after="0" w:line="18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face electricity market risks relating to changes in laws, regulations and requirements of market operators, network operators and/or regulatory bodies, including with respect to interconnection of facilities of large electrical loads to the ERCOT grid (for example, via a process that may batch multiple large load interconnection requests), grid stability, voltage ride-through, frequency ride-through and curtailment obligations.</w:t>
      </w:r>
    </w:p>
    <w:p>
      <w:pPr>
        <w:spacing w:after="0" w:line="134"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 xml:space="preserve">Certain governments and regulators are increasingly focused on the energy and environmental impact of HPC services and bitcoin mining. This has led, and could lead, to new governmental measures regulating, restricting or prohibiting the use of electricity for data center operators in the HPC industry, or could result in increased power costs for these types of power consumers. See “— </w:t>
      </w:r>
      <w:r>
        <w:rPr>
          <w:rFonts w:ascii="Times New Roman" w:cs="Times New Roman" w:eastAsia="Times New Roman" w:hAnsi="Times New Roman"/>
          <w:sz w:val="18"/>
          <w:szCs w:val="18"/>
          <w:i w:val="1"/>
          <w:iCs w:val="1"/>
          <w:color w:val="auto"/>
        </w:rPr>
        <w:t>Operating HPC data centers is energy-intensive, which may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have a negative environmental impact. Changing environmental regulation and public energy policy may expose our business to new risks.</w:t>
      </w:r>
      <w:r>
        <w:rPr>
          <w:rFonts w:ascii="Times New Roman" w:cs="Times New Roman" w:eastAsia="Times New Roman" w:hAnsi="Times New Roman"/>
          <w:sz w:val="18"/>
          <w:szCs w:val="18"/>
          <w:color w:val="auto"/>
        </w:rPr>
        <w:t>” For example,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2025, the Texas legislature enacted legislation SB 6 to support ERCOT’s grid reliability by proposing minimum transmission rates on certain large loads and removing phantom loads from its interconnection queue to enhance accuracy of actual future load growth. SB 6 requires the PUCT and ERCOT to create new processes and impose new requirements for the interconnection of facilities with large electrical loads of at least 75 MWs to the ERCOT system. SB 6 also requires security type payments as part of the initial interconnection request, and creates a new approval that is required for co-location of generation with large loads. In addition, ERCOT has amended and continues to evaluate its processes for interconnection of large electrical loads to the ERCOT grid. In December 2025, ERCOT announced amendments to the approval process for large load interconnection requests and is designing and implementing a process that may batch multiple large load interconnection requests together to evaluate system impacts on a portfolio basis for purposes of transmission planning. These developments, along with potential requirements relating to grid stability, voltage ride-through, frequency ride-through and curtailment obligations, could increase costs, delay project timelines, or impose additional operational constraints. In 2024, the PUCT also required operators of large virtual currency mining operations connected to register their facilities with the PUCT. See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Government Regulation.</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environmental, health and safety laws and regulations, including applicable zoning, building-code and energy-efficiency standards and worker health and safety laws and regulations, and these laws and regulations and any changes to them may materially adversely affect our brand, reputation, business, results of operations and financial position.</w:t>
      </w:r>
    </w:p>
    <w:p>
      <w:pPr>
        <w:spacing w:after="0" w:line="13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and our operations and properties are subject to laws and regulations governing health and safety, the discharge of pollutants into the environment or otherwise relating to health, safety and environmental protection requirements in the jurisdictions in which we operate. These laws and regulations may impose numerous obligations that are applicable to us, including acquisition of a permit or other approval before conducting construction or regulated activities; restrictions on the types, quantities and concentration of materials that can be released into the environment; limitation or prohibition of construction and operating activities in environmentally sensitive areas, such as wetlands or areas with endangered plants or species; imposition of specific health and safety standards addressing worker protection from work related health and safety risks; imposition of certain zoning, building code and energy-efficiency standards for the sites at which we operate; and imposition of significant liabilities for pollution, including investigation, remedial and clean-up costs, which can be joint and several. Failure to comply with these requirements may expose us to fines, penalties and/or interruptions in our operations, among other sanctions, that could have a material adverse effect on our financial position, results of operations and cash flows. Failure to obtain, secure renewal of, or maintain, permits or tightening of</w:t>
      </w:r>
    </w:p>
    <w:p>
      <w:pPr>
        <w:spacing w:after="0" w:line="200" w:lineRule="exact"/>
        <w:rPr>
          <w:sz w:val="20"/>
          <w:szCs w:val="20"/>
          <w:color w:val="auto"/>
        </w:rPr>
      </w:pPr>
    </w:p>
    <w:p>
      <w:pPr>
        <w:spacing w:after="0" w:line="3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33" w:name="page34"/>
    <w:bookmarkEnd w:id="33"/>
    <w:p>
      <w:pPr>
        <w:ind w:right="220"/>
        <w:spacing w:after="0" w:line="261" w:lineRule="auto"/>
        <w:rPr>
          <w:sz w:val="20"/>
          <w:szCs w:val="20"/>
          <w:color w:val="auto"/>
        </w:rPr>
      </w:pPr>
      <w:r>
        <w:rPr>
          <w:rFonts w:ascii="Times New Roman" w:cs="Times New Roman" w:eastAsia="Times New Roman" w:hAnsi="Times New Roman"/>
          <w:sz w:val="18"/>
          <w:szCs w:val="18"/>
          <w:color w:val="auto"/>
        </w:rPr>
        <w:t>restrictions within our permits, or the failure to meet the zoning, building code, health and safety and energy-efficiency standards imposed by regulations applicable to our sites, could have a material adverse effect on our business, including our ability to recruit and retain personnel, or cause us to incur material expenses. Moreover, it is not uncommon for neighboring landowners, community groups, activists and other third parties to file claims for personal injury, property damage and nuisance allegedly caused by noise or the release of hazardous substances into the environment.</w:t>
      </w:r>
    </w:p>
    <w:p>
      <w:pPr>
        <w:spacing w:after="0" w:line="13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addition, a number of governments or governmental bodies have introduced or are contemplating environmental and energy legislative and regulatory changes in response to the increasing focus on power consumption required to operate industrial-scale data centers. A changing legislative environment could create economic and regulatory uncertainty for our business because the industries in which we operate, with their high energy demand, could become targets for future environmental and energy regulations.</w:t>
      </w:r>
    </w:p>
    <w:p>
      <w:pPr>
        <w:spacing w:after="0" w:line="13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trend of increased environmental regulation is not linear and can fluctuate depending on the administration and jurisdiction, even within the same county. For example, although the Trump Administration initially withdrew the U.S. from the Paris Agreement in November 2020, the U.S. reentered the Paris Agreement in February 2021 under the Biden Administration, but the Trump Administration again withdrew from the Paris Agreement on January 20, 2025. Though we are closely following developments in this area and changes in the regulatory landscape in the United States, we cannot predict with precision or quantify how or when challenges may arise and ultimately impact our business.</w:t>
      </w:r>
    </w:p>
    <w:p>
      <w:pPr>
        <w:spacing w:after="0" w:line="156"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Legislation and increased regulation regarding climate change could impose significant costs on us and our suppliers, including costs related to increased energy requirements, capital equipment, environmental monitoring and reporting, costs to purchase renewable energy credits or allowances, and other costs to comply with such regulations. Specifically, imposition of a tax or other regulatory fee in jurisdictions where we operate or on electricity that we purchase could result in substantially higher energy costs, and due to the significant amount of electrical power required to operate bitcoin mining machines, could in turn put our facilities at a competitive disadvantage. Any future climate change regulations could also negatively affect our ability to compete with companies situated in areas not subject to such limitations.</w:t>
      </w:r>
    </w:p>
    <w:p>
      <w:pPr>
        <w:spacing w:after="0" w:line="14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Given the political significance and uncertainty around the impact of climate change and how it should be addressed, we cannot predict how legislation and regulation will affect our financial condition, operating performance and ability to compete. Furthermore, even without such regulation, increasing awareness of climate change and any negative publicity in the global marketplace about potential impacts on climate change by us or other companies in our industry could harm our reputation. Any of the foregoing could have a material adverse effect on our financial position, prospects, results of operations and cash flows.</w:t>
      </w:r>
    </w:p>
    <w:p>
      <w:pPr>
        <w:spacing w:after="0" w:line="20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effective tax rates or adverse outcomes resulting from examination of our income or other tax returns could adversely affect our financial condition and results of operations.</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subject to income taxes in the United States, and our tax liabilities will be subject to the allocation of expenses in differing jurisdictions.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effective tax rates could be subject to volatility or adversely affected by a number of factors, including:</w:t>
      </w:r>
    </w:p>
    <w:p>
      <w:pPr>
        <w:spacing w:after="0" w:line="180"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timing and amount of the release of any tax valuation allowances;</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of stock-based compensation;</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intercompany restructurings;</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regulations or interpretations thereof; or</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rates in jurisdictions where we operate.</w:t>
      </w:r>
    </w:p>
    <w:p>
      <w:pPr>
        <w:spacing w:after="0" w:line="198"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In addition, we may be subject to audits of our income, sales and other transaction taxes by taxing authorities. Outcomes from these audits could have an adverse effect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certain tax attributes may be or become subject to limitation.</w:t>
      </w:r>
    </w:p>
    <w:p>
      <w:pPr>
        <w:spacing w:after="0" w:line="202" w:lineRule="exact"/>
        <w:rPr>
          <w:sz w:val="20"/>
          <w:szCs w:val="20"/>
          <w:color w:val="auto"/>
        </w:rPr>
      </w:pPr>
    </w:p>
    <w:p>
      <w:pPr>
        <w:ind w:right="220" w:firstLine="648"/>
        <w:spacing w:after="0" w:line="256" w:lineRule="auto"/>
        <w:rPr>
          <w:sz w:val="20"/>
          <w:szCs w:val="20"/>
          <w:color w:val="auto"/>
        </w:rPr>
      </w:pPr>
      <w:r>
        <w:rPr>
          <w:rFonts w:ascii="Times New Roman" w:cs="Times New Roman" w:eastAsia="Times New Roman" w:hAnsi="Times New Roman"/>
          <w:sz w:val="18"/>
          <w:szCs w:val="18"/>
          <w:color w:val="auto"/>
        </w:rPr>
        <w:t>Generally, U.S. federal net operating losses (“NOLs”) may be carried forward indefinitely and may offset up to 80% of taxable income (as calculated before taking the U.S. federal NOL carryforwards into account) in each year. However, our ability to use U.S. federal NOL carryforwards and certain other tax attributes to offset future taxable income may be limited. We currently have substantial U.S. federal NOL carryforwards and state tax attributes. Our ability to use these tax attributes to reduce future U.S. federal and state income tax obligations depends on many factors, including future taxable income, the timing of which is uncertain. In addition, our ability to use NOL carryforwards and other tax attributes may be subject to significant limitations under Section 382 of the Internal Revenue Code of 1986, as amended and corresponding provisions of state tax law.</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18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indebtedness and liabilities could limit the cash flow available for our operations, expose us to risks that could adversely affect our business, financial condition and results of operations and impair our ability to satisfy our obligations under the notes.</w:t>
      </w:r>
    </w:p>
    <w:p>
      <w:pPr>
        <w:spacing w:after="0" w:line="132"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2025, our total consolidated indebtedness amounted to $3,206 million. In May 2025 and September 2025, we completed offerings of our 2030 Convertible Notes and 2031 Convertible Notes, from which we incurred $172.5 million and $1,300.0 million of additional indebtedness, respectively. Additionally, in November 2025, Cipher Compute LLC, our wholly owned indirect subsidiary, incurred $1,733.0 million of indebtedness from offerings of $1,400.0 million and $333.0 million of our senior secured notes due 2030. Subsequent to December 31, 2025, Black Pearl Compute LLC, our wholly owned indirect subsidiary, incurred $2.0 billion of 6.125% senior secured notes due 2031. We may also incur additional indebtedness to meet future financing needs. Our indebtedness could have significant negative consequences for our security holders and our business, results of operations and financial condition by, among other things:</w:t>
      </w:r>
    </w:p>
    <w:p>
      <w:pPr>
        <w:spacing w:after="0" w:line="148"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economic and industry conditions;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 such as in the event of adverse changes to our credit ratings;</w:t>
      </w:r>
    </w:p>
    <w:p>
      <w:pPr>
        <w:spacing w:after="0" w:line="198"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substantial portion of our cash flow from operations to service our indebtedness, which will reduce the amount of cash available for other purposes;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to plan for, or react to, changes in our business;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diluting the interests of our existing stockholders as a result of issuing shares of our common stock upon conversion of the Convertible Notes; and</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possible competitive disadvantage with competitors that are less leveraged than us or have better access to capital.</w:t>
      </w:r>
    </w:p>
    <w:p>
      <w:pPr>
        <w:spacing w:after="0" w:line="18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ability to make scheduled payments of the principal of, to pay interest on or to refinance our indebtedness depends on our future performance, which is subject to economic, financial, competitive and other factors beyond our control. Our business may not generate sufficient funds, and we may otherwise be unable to maintain sufficient cash reserves, to pay amounts due under our indebtedness, including the Convertible Notes, and our cash needs may increase in the future. In addition, future indebtedness that we may incur may contain financial and other restrictive covenants that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and our other indebtedness becoming immediately payable in full.</w:t>
      </w:r>
    </w:p>
    <w:p>
      <w:pPr>
        <w:spacing w:after="0" w:line="38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to service all of our indebtedness and to fund our working capital and capital expenditures, and may be forced to take other actions to satisfy our obligations under our indebtedness that may not be successful.</w:t>
      </w:r>
    </w:p>
    <w:p>
      <w:pPr>
        <w:spacing w:after="0" w:line="18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Our ability to pay principal and interest on the senior secured notes incurred to finance the construction of the leased facilities will depend primarily upon revenue from our HPC leases. Until we complete construction of the data centers for our HPC tenants, we will not realize the full amount of projected revenue under our HPC leases. As a result, we</w:t>
      </w:r>
    </w:p>
    <w:p>
      <w:pPr>
        <w:spacing w:after="0" w:line="200" w:lineRule="exact"/>
        <w:rPr>
          <w:sz w:val="20"/>
          <w:szCs w:val="20"/>
          <w:color w:val="auto"/>
        </w:rPr>
      </w:pPr>
    </w:p>
    <w:p>
      <w:pPr>
        <w:spacing w:after="0" w:line="3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cannot assure you that our business will generate cash flow from operation of those HPC facilities on a timeline basis, or at all.</w:t>
      </w:r>
    </w:p>
    <w:p>
      <w:pPr>
        <w:spacing w:after="0" w:line="25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the event we are unable to complete construction of the data center for our HPC leases in a timely manner and, consequently, do not receive some or all of the contracted rent under our HPC leases, we may not have sufficient funds to service our obligations under the senior secured notes incurred to finance the construction of the leased facilities or our other debt obligations. If we cannot make scheduled payments on our indebtedness, we will be in default and holders of the notes and other debt obligations could declare all outstanding principal and interest to be due and payable, our secured creditors (including the holders of the notes) could foreclose against the assets securing their loans and the notes and we could be forced into bankruptcy or liquidation.</w:t>
      </w:r>
    </w:p>
    <w:p>
      <w:pPr>
        <w:spacing w:after="0" w:line="214"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We cannot assure you we will be able to access other sources of financing, in an amount sufficient to fund our liquidity needs, including the payment of principal and interest on the notes or our other indebtedness. If our cash flows and capital resources are insufficient to service our indebtedness, we may be forced to reduce or delay capital expenditures, sell assets, seek additional capital or restructure or refinance our indebtedness, including the notes. These alternative measures may not be successful and may not permit us to meet our scheduled debt service obligations. Our ability to restructure or refinance our debt will depend on the condition of the capital markets and our financial condition at such time, and there can be no guarantee that we will be able to access the capital markets on terms that are attractive or at all. Any refinancing of our debt could be at higher interest rates and may require us to comply with more onerous covenants, which could further restrict our business operations. We cannot assure you that we will be able to restructure or refinance any of our debt on commercially reasonable terms or at all. In addition, the terms of existing or future debt agreements may restrict us from adopting some of these alternatives. In the absence of such operating results and resources, we could face substantial liquidity problems and might be required to dispose of material assets or operations to meet our debt service and other obligations. We may not be able to consummate those dispositions for fair market value or at all. Furthermore, any proceeds that we could realize from any such dispositions may not be adequate to meet our debt service obligations then due. Our inability to generate sufficient cash flow to satisfy our debt obligations, or to refinance our indebtedness on commercially reasonable terms or at all, could result in a material adverse effect on our business, results of operations and financial condition and could negatively impact our ability to satisfy our obligations under the notes.</w:t>
      </w:r>
    </w:p>
    <w:p>
      <w:pPr>
        <w:spacing w:after="0" w:line="224"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If any of our indebtedness is accelerated, we may need to repay or refinance all or a portion of our other indebtedness before maturity. There can be no assurance that we will be able to obtain sufficient funds to enable us to repay or refinance our debt obligations on commercially reasonable terms, or at all.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debt agreements contain restrictions that will limit flexibility in operating our business.</w:t>
      </w:r>
    </w:p>
    <w:p>
      <w:pPr>
        <w:spacing w:after="0" w:line="25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indentures governing the senior secured notes contain, and any other existing or future indebtedness of ours would likely contain, a number of covenants that impose significant operating and financial restrictions on us, including restrictions on our and our subsidiaries’ ability to, among other things:</w:t>
      </w:r>
    </w:p>
    <w:p>
      <w:pPr>
        <w:spacing w:after="0" w:line="149"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 or guarantee indebtedness;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or make distributions in respect of, or repurchase or redeem, our capital stock or make other restricted payments;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certain debt;</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loans or certain investments;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certain assets;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on certain assets;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sell or otherwise dispose of all or substantially all of our assets;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our affiliates;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business activities other than the operation of the Barber Lake Facility or certain additional projects.</w:t>
      </w:r>
    </w:p>
    <w:p>
      <w:pPr>
        <w:spacing w:after="0" w:line="198"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As a result of these covenants, we are limited in the manner in which we conduct our business, and we may be unable to engage in favorable business activities or finance future operations or capital needs.</w:t>
      </w:r>
    </w:p>
    <w:p>
      <w:pPr>
        <w:spacing w:after="0" w:line="200" w:lineRule="exact"/>
        <w:rPr>
          <w:sz w:val="20"/>
          <w:szCs w:val="20"/>
          <w:color w:val="auto"/>
        </w:rPr>
      </w:pPr>
    </w:p>
    <w:p>
      <w:pPr>
        <w:spacing w:after="0" w:line="3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which may not be available on terms acceptable to us, or at all.</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From time to time, we may require additional capital to expand our operations or to respond to technological advancements, competitive dynamics or technologies, customer demands, business opportunities, challenges, acquisitions or unforeseen circumstances. Accordingly, we </w:t>
      </w:r>
      <w:r>
        <w:rPr>
          <w:rFonts w:ascii="Times New Roman" w:cs="Times New Roman" w:eastAsia="Times New Roman" w:hAnsi="Times New Roman"/>
          <w:sz w:val="18"/>
          <w:szCs w:val="18"/>
          <w:i w:val="1"/>
          <w:iCs w:val="1"/>
          <w:color w:val="auto"/>
        </w:rPr>
        <w:t>may</w:t>
      </w:r>
      <w:r>
        <w:rPr>
          <w:rFonts w:ascii="Times New Roman" w:cs="Times New Roman" w:eastAsia="Times New Roman" w:hAnsi="Times New Roman"/>
          <w:sz w:val="18"/>
          <w:szCs w:val="18"/>
          <w:color w:val="auto"/>
        </w:rPr>
        <w:t xml:space="preserve"> determine to engage in equity or debt financings or enter into credit facilities for the above-mentioned or other reasons. We may not be able to timely secure additional debt or equity financing on favorable terms, or at all. Our ability to obtain additional funds may also be affected by economic uncertainty and any disruptions in credit or capital markets as a result of geopolitical instability. See “—</w:t>
      </w:r>
      <w:r>
        <w:rPr>
          <w:rFonts w:ascii="Times New Roman" w:cs="Times New Roman" w:eastAsia="Times New Roman" w:hAnsi="Times New Roman"/>
          <w:sz w:val="18"/>
          <w:szCs w:val="18"/>
          <w:i w:val="1"/>
          <w:iCs w:val="1"/>
          <w:color w:val="auto"/>
        </w:rPr>
        <w:t>Any unfavorable global economic, business or political conditions, such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 geopolitical tensions, military conflicts, acts of terrorism, natural disasters, pandemics, trade restrictions, tariffs, or similar events could have material adverse effect on our business, financial condition and results of operations</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Furthermore, if we raise additional funds through equity financing, our existing stockholders could experience significant dilution. Any debt financing obtained by us in the future could also involve restrictive covenants relating to our capital raising activities and other financial and operational matters, which may make it more difficult for us to obtain additional capital and to pursue business opportunities. See “</w:t>
      </w:r>
      <w:r>
        <w:rPr>
          <w:rFonts w:ascii="Times New Roman" w:cs="Times New Roman" w:eastAsia="Times New Roman" w:hAnsi="Times New Roman"/>
          <w:sz w:val="18"/>
          <w:szCs w:val="18"/>
          <w:i w:val="1"/>
          <w:iCs w:val="1"/>
          <w:color w:val="auto"/>
        </w:rPr>
        <w:t>Risks Related to Our Indebtedness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 debt agreements contain restrictions that will limit flexibility in operating our business</w:t>
      </w:r>
      <w:r>
        <w:rPr>
          <w:rFonts w:ascii="Times New Roman" w:cs="Times New Roman" w:eastAsia="Times New Roman" w:hAnsi="Times New Roman"/>
          <w:sz w:val="18"/>
          <w:szCs w:val="18"/>
          <w:color w:val="auto"/>
        </w:rPr>
        <w:t>.” If we are unable to obtain adequate financing or financing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terms satisfactory to us, when we require it, our ability to continue to grow or support our business and to respond to business challenges could be significantly limited and it could have a material adverse effect on our business, prospects, financial condition, and operating results.</w:t>
      </w:r>
    </w:p>
    <w:p>
      <w:pPr>
        <w:spacing w:after="0" w:line="15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raise the funds necessary to repurchase the Convertible Notes for cash following a fundamental change or on a specified optional repurchase date or to pay any cash amounts due upon maturity or conversion of the Convertible Notes, and our other indebtedness may limit our ability to repurchase the Convertible Notes or to pay any cash amounts due upon their maturity or conversion.</w:t>
      </w:r>
    </w:p>
    <w:p>
      <w:pPr>
        <w:spacing w:after="0" w:line="134"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Holders of the Convertible Notes may, subject to limited exceptions, require us to repurchase their Convertible Notes on May 15, 2028 (for the 2030 Convertible Notes) and on October 1, 2029 (for the 2031 Convertible Notes), and following a fundamental change, at a cash repurchase price generally equal to the principal amount of the Convertible Notes to be repurchased, plus accrued and unpaid special interest and additional interest, if any. Upon maturity of the Convertible Notes, we must pay their principal amount and accrued and unpaid special interest and additional interest, if any, in cash, unless they have been previously repurchased, redeemed or converted.</w:t>
      </w:r>
    </w:p>
    <w:p>
      <w:pPr>
        <w:spacing w:after="0" w:line="143"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In addition, prior to the “reserved share effective date”, upon conversion, we will satisfy all of our conversion obligation in cash, subject to the “share settlement election exception”, and on or after the “reserved share effective date”, upon conversion, we will satisfy part or all of our conversion obligation in cash unless we elect to settle conversions solely in shares of our common stock.</w:t>
      </w:r>
    </w:p>
    <w:p>
      <w:pPr>
        <w:spacing w:after="0" w:line="149"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We may not have enough available cash or be able to obtain financing at the time we are required to repurchase the Convertible Notes or pay any cash amounts due upon their maturity or conversion. In addition, applicable law, regulatory authorities and the agreements that we may have in the future governing our other indebtedness may restrict our ability to repurchase the Convertible Notes or to pay any cash amounts due upon their maturity or conversion. Our failure to repurchase Convertible Notes or to pay any cash amounts due upon their maturity or conversion when required will constitute a default under the indenture. A default under the indenture or the fundamental change itself could also lead to a default under agreements governing our other indebtedness, which may result in that other indebtedness becoming immediately payable in full. We may not have sufficient funds to satisfy all amounts due under the other indebtedness and the Convertible Notes.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in the Convertible Notes indentures could delay or prevent an otherwise beneficial takeover of us.</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Certain provisions in the Convertible Notes and related indentures could make a third-party attempt to acquire us more difficult or expensive. For example, if a takeover constitutes a fundamental change, then noteholders will have the right to require us to repurchase their Convertible Notes for cash. In addition, if a takeover constitutes a make-whole fundamental change, then we may be required to temporarily increase the conversion rate. In either case, and in other cases, our obligations under the Convertible Notes and the indenture could increase the cost of acquiring us or otherwise discourage a third party from acquiring us or removing incumbent management, including in a transaction that noteholders or holders of our common stock may view as favorable.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conditional conversion feature of the Convertible Notes, if triggered, may adversely affect our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37" w:name="page38"/>
    <w:bookmarkEnd w:id="37"/>
    <w:p>
      <w:pPr>
        <w:ind w:firstLine="648"/>
        <w:spacing w:after="0" w:line="255" w:lineRule="auto"/>
        <w:rPr>
          <w:sz w:val="20"/>
          <w:szCs w:val="20"/>
          <w:color w:val="auto"/>
        </w:rPr>
      </w:pPr>
      <w:r>
        <w:rPr>
          <w:rFonts w:ascii="Times New Roman" w:cs="Times New Roman" w:eastAsia="Times New Roman" w:hAnsi="Times New Roman"/>
          <w:sz w:val="18"/>
          <w:szCs w:val="18"/>
          <w:color w:val="auto"/>
        </w:rPr>
        <w:t>In the event the conditional conversion feature of the Convertible Notes is triggered, holders of such notes will be entitled to convert the Convertible Notes at any time during specified periods at their option. If one or more holders elect to convert their Convertible Notes, (i) if the conversion date for such conversion is before the “reserved share effective date”, we will settle all of our conversion obligation through the payment of cash, subject to the “share settlement election exception”, and (ii) if the conversion date for such conversion is on or after the “reserved share effective date,” we may elect to settle all or a portion of our conversion obligation through the payment of cash, which could adversely affect our liquidity. In addition, even if holders do not elect to convert their Convertible Notes, we could be required under applicable accounting rules to reclassify all or a portion of the outstanding principal of the Convertible Notes as a current rather than long-term liability, which would result in a material reduction of our net working capital.</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accounting method for the Convertible Notes could adversely affect our reported financial condition and results.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accounting method for the Convertible Notes may adversely affect our reported earnings and financial condition.</w:t>
      </w:r>
    </w:p>
    <w:p>
      <w:pPr>
        <w:spacing w:after="0" w:line="198"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issuance costs for the Convertible Notes are treated as a debt discount for accounting purposes and will be amortized into interest expense over the term of the Convertible Notes. As a result of this amortization, the interest expense that we expect to recognize for the Convertible Notes for accounting purposes will be greater than the cash special interest or additional interest payments, if any, we will pay on the Convertible Notes, which will result in lower reported income.</w:t>
      </w:r>
    </w:p>
    <w:p>
      <w:pPr>
        <w:spacing w:after="0" w:line="13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Furthermore, if any of the conditions to the convertibility of the Convertible Notes is satisfied, then we may be required under applicable accounting standards to reclassify the liability carrying value of the Convertible Notes as a current, rather than a long-term, liability. This reclassification could be required even if no investors convert their Convertible Notes and could materially reduce our reported working capital.</w:t>
      </w:r>
    </w:p>
    <w:p>
      <w:pPr>
        <w:spacing w:after="0" w:line="200" w:lineRule="exact"/>
        <w:rPr>
          <w:sz w:val="20"/>
          <w:szCs w:val="20"/>
          <w:color w:val="auto"/>
        </w:rPr>
      </w:pPr>
    </w:p>
    <w:p>
      <w:pPr>
        <w:spacing w:after="0" w:line="3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6"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 and Warrants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been and may continue to be volatile.</w:t>
      </w:r>
    </w:p>
    <w:p>
      <w:pPr>
        <w:spacing w:after="0" w:line="18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has, at times, fluctuated significantly and could be subject to wide fluctuations in response to any of the risk factors listed in this “Risk Factors” section, and others, including:</w:t>
      </w:r>
    </w:p>
    <w:p>
      <w:pPr>
        <w:spacing w:after="0" w:line="135" w:lineRule="exact"/>
        <w:rPr>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us or by any securities analysts who might cover our stock;</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changes to laws in the U.S. or foreign jurisdictions relating to our business, or speculation regarding such changes;</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disruptions or other failures in the HPC data center infrastructure supply chain;</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or trends in the HPC or bitcoin mining space;</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market price and volume fluctuations of comparable companies;</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prices of bitcoin and other cryptocurrencies;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or divestitures;</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or announcements of investigations or regulatory scrutiny of its operations or lawsuits filed against us;</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key personnel;</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general perception of our business or management;</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w:t>
      </w:r>
    </w:p>
    <w:p>
      <w:pPr>
        <w:spacing w:after="0" w:line="184" w:lineRule="exact"/>
        <w:rPr>
          <w:rFonts w:ascii="Times New Roman" w:cs="Times New Roman" w:eastAsia="Times New Roman" w:hAnsi="Times New Roman"/>
          <w:sz w:val="18"/>
          <w:szCs w:val="18"/>
          <w:color w:val="auto"/>
        </w:rPr>
      </w:pPr>
    </w:p>
    <w:p>
      <w:pPr>
        <w:ind w:left="1300" w:right="180" w:hanging="644"/>
        <w:spacing w:after="0" w:line="282"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or our industry or positive or negative recommendations or withdrawal of research coverage by securities analysts;</w:t>
      </w:r>
    </w:p>
    <w:p>
      <w:pPr>
        <w:spacing w:after="0" w:line="13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global, political and economic conditions; and</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are beyond our control.</w:t>
      </w:r>
    </w:p>
    <w:p>
      <w:pPr>
        <w:spacing w:after="0" w:line="185"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In addition, in the past, stockholders have initiated class action lawsuits against public companies following periods of volatility in the market prices of these companies’ stock. Such litigation, if instituted against us, could cause it to incur substantial costs and divert management’s attention and resources from our business.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or the perception of future sales, by our stockholders in the public market could cause the market price for our common stock to decline.</w:t>
      </w:r>
    </w:p>
    <w:p>
      <w:pPr>
        <w:spacing w:after="0" w:line="189"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The sale of shares of our common stock in the public market, or the perception that such sales could occur, could harm the prevailing market price of shares of our common stock. These sales, or the possibility that these sales may occur, also might make it more difficult for us to sell equity securities in the future at a time and at a price that it deems appropriate.</w:t>
      </w:r>
    </w:p>
    <w:p>
      <w:pPr>
        <w:spacing w:after="0" w:line="131"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there are no current plans to pay cash dividends on our common stock for the foreseeable future, you may not receive any return on investment unless you sell our common stock for a price greater than that which you paid for it.</w:t>
      </w:r>
    </w:p>
    <w:p>
      <w:pPr>
        <w:spacing w:after="0" w:line="13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may retain future earnings, if any, for future operations, expansion and debt repayment and have no current plans to pay any cash dividends for the foreseeable future. Any decision to declare and pay dividends as a public company in the future will be made at the discretion of the Board and will depend on, among other things, our results of operations, financial condition, cash requirements, contractual restrictions and other factors that the Board may deem relevant. In addition, our ability to pay dividends may be limited by covenants of any existing and future outstanding indebtedness it or its subsidiaries incur. As a result, you may not receive any return on an investment in our common stock unless you sell your shares of common stock for a price greater than that which you paid for it.</w:t>
      </w: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2" w:right="359" w:bottom="1440" w:gutter="0" w:footer="0" w:header="0"/>
        </w:sectPr>
      </w:pPr>
    </w:p>
    <w:bookmarkStart w:id="39" w:name="page40"/>
    <w:bookmarkEnd w:id="39"/>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issue additional shares of our common stock or other equity securities without your approval, which would dilute your ownership interests and may depress the market price of our common stock.</w:t>
      </w:r>
    </w:p>
    <w:p>
      <w:pPr>
        <w:spacing w:after="0" w:line="118"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Pursuant to the Incentive Award Plan, approximately 7.0% of the fully diluted shares of our common stock was initially reserved for future issuance, which reserve amount has increased each year since then, and is subject to increase annually or from time to time in the discretion of the Compensation Committee of the Board of Directors. Shares registered under registration statements on Form S-8 filed with the SEC are available for sale in the open market.</w:t>
      </w:r>
    </w:p>
    <w:p>
      <w:pPr>
        <w:spacing w:after="0" w:line="13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addition, pursuant to an at-the-market offering agreement with Cantor Fitzgerald &amp; Co., Canaccord Genuity LLC, Needham &amp; Company, LLC, Compass Point Research &amp; Trading, LLC, Keefe, Bruyette &amp; Woods, Inc., Virtu Americas LLC and BTIG, LLC, we may, from time to time, sell shares of our common stock having an aggregate offering price of up to $600.0 million of Shares, which can be issued and sold pursuant to the Company’s shelf registration statement on Form S-3ASR, filed with the SEC on September 3, 2024, which became immediately effective upon filing. For further details, see “</w:t>
      </w:r>
      <w:r>
        <w:rPr>
          <w:rFonts w:ascii="Times New Roman" w:cs="Times New Roman" w:eastAsia="Times New Roman" w:hAnsi="Times New Roman"/>
          <w:sz w:val="18"/>
          <w:szCs w:val="18"/>
          <w:i w:val="1"/>
          <w:iCs w:val="1"/>
          <w:color w:val="auto"/>
        </w:rPr>
        <w:t>Management’s Discussion and Analysis of Financial Condition and Results of Operations—Liquidity and Capital Resources</w:t>
      </w:r>
      <w:r>
        <w:rPr>
          <w:rFonts w:ascii="Times New Roman" w:cs="Times New Roman" w:eastAsia="Times New Roman" w:hAnsi="Times New Roman"/>
          <w:sz w:val="18"/>
          <w:szCs w:val="18"/>
          <w:color w:val="auto"/>
        </w:rPr>
        <w:t>.” We may also issue additional shares of our common stock or other equity securities of equal or senior rank in the future in connection with, among other things, future acquisitions, joint ventures or repayment of outstanding indebtedness, without stockholder approval, in a number of circumstances.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issuance of additional shares or other equity securities of equal or senior rank would have the following effects:</w:t>
      </w:r>
    </w:p>
    <w:p>
      <w:pPr>
        <w:spacing w:after="0" w:line="185" w:lineRule="exact"/>
        <w:rPr>
          <w:sz w:val="20"/>
          <w:szCs w:val="20"/>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stockholders’ proportionate ownership interest in us will decrease;</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available per share, including for payment of dividends in the future, may decrease;</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voting strength of each previously outstanding our common stock may be diminished; and</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may decline.</w:t>
      </w:r>
    </w:p>
    <w:p>
      <w:pPr>
        <w:spacing w:after="0" w:line="185" w:lineRule="exact"/>
        <w:rPr>
          <w:sz w:val="20"/>
          <w:szCs w:val="20"/>
          <w:color w:val="auto"/>
        </w:rPr>
      </w:pPr>
    </w:p>
    <w:p>
      <w:pPr>
        <w:ind w:firstLine="1134"/>
        <w:spacing w:after="0" w:line="266" w:lineRule="auto"/>
        <w:rPr>
          <w:sz w:val="20"/>
          <w:szCs w:val="20"/>
          <w:color w:val="auto"/>
        </w:rPr>
      </w:pPr>
      <w:r>
        <w:rPr>
          <w:rFonts w:ascii="Times New Roman" w:cs="Times New Roman" w:eastAsia="Times New Roman" w:hAnsi="Times New Roman"/>
          <w:sz w:val="18"/>
          <w:szCs w:val="18"/>
          <w:color w:val="auto"/>
        </w:rPr>
        <w:t>In the future, we may also issue its securities in connection with investments or acquisitions. The amount of shares of our common stock issued in connection with an investment or acquisition could constitute a material portion of our then-outstanding shares of common stock. Any issuance of additional securities in connection with investments or acquisitions may result in additional dilution to our stockholders.</w:t>
      </w:r>
    </w:p>
    <w:p>
      <w:pPr>
        <w:spacing w:after="0" w:line="14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Certificate of Incorporation and under Delaware law could make an acquisition of Cipher, which may be beneficial to our stockholders, more difficult and may prevent attempts by our stockholders to replace or remove our current management.</w:t>
      </w:r>
    </w:p>
    <w:p>
      <w:pPr>
        <w:spacing w:after="0" w:line="11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contains provisions that may delay or prevent an acquisition of Cipher or a change in its management. These provisions may make it more difficult for stockholders to replace or remove members of the Board. Because the Board is responsible for appointing the members of the management team, these provisions could in turn frustrate or prevent any attempt by stockholders to replace or remove the current management. In addition, these provisions could limit the price that investors might be willing to pay in the future for shares of our common stock. Among other things, these provisions include:</w:t>
      </w:r>
    </w:p>
    <w:p>
      <w:pPr>
        <w:spacing w:after="0" w:line="143" w:lineRule="exact"/>
        <w:rPr>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of the liability of, and the indemnification of, its directors and officers;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actions by its stockholders except at an annual or special meeting of stockholders;</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actions by its stockholders by written consent; and</w:t>
      </w:r>
    </w:p>
    <w:p>
      <w:pPr>
        <w:spacing w:after="0" w:line="184" w:lineRule="exact"/>
        <w:rPr>
          <w:rFonts w:ascii="Times New Roman" w:cs="Times New Roman" w:eastAsia="Times New Roman" w:hAnsi="Times New Roman"/>
          <w:sz w:val="18"/>
          <w:szCs w:val="18"/>
          <w:color w:val="auto"/>
        </w:rPr>
      </w:pPr>
    </w:p>
    <w:p>
      <w:pPr>
        <w:jc w:val="both"/>
        <w:ind w:left="1300" w:right="80" w:hanging="644"/>
        <w:spacing w:after="0" w:line="266"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Board to issue preferred stock without stockholder approval, which could be used to institute a “poison pill” that would work to dilute the stock ownership of a potential hostile acquirer, effectively preventing acquisitions that have not been approved by the Board.</w:t>
      </w:r>
    </w:p>
    <w:p>
      <w:pPr>
        <w:spacing w:after="0" w:line="14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DGCL, which prohibits a person who owns 15% or more of its outstanding voting stock from merging or combining with us for a period of three years after the date of the transaction in which the person acquired 15% or more of our outstanding voting stock, unless the merger or combination is approved in a prescribed manner. This could discourage, delay or prevent a third party from acquiring or merging with us, whether or not it is desired by, or beneficial to, its stockholders. This could also have the effect of discouraging others from making tender offers for our common stock, including transactions that</w:t>
      </w:r>
    </w:p>
    <w:p>
      <w:pPr>
        <w:spacing w:after="0" w:line="200" w:lineRule="exact"/>
        <w:rPr>
          <w:sz w:val="20"/>
          <w:szCs w:val="20"/>
          <w:color w:val="auto"/>
        </w:rPr>
      </w:pPr>
    </w:p>
    <w:p>
      <w:pPr>
        <w:spacing w:after="0" w:line="3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92" w:right="379" w:bottom="1440" w:gutter="0" w:footer="0" w:header="0"/>
        </w:sectPr>
      </w:pPr>
    </w:p>
    <w:bookmarkStart w:id="40" w:name="page41"/>
    <w:bookmarkEnd w:id="40"/>
    <w:p>
      <w:pPr>
        <w:ind w:right="460"/>
        <w:spacing w:after="0" w:line="266" w:lineRule="auto"/>
        <w:rPr>
          <w:sz w:val="20"/>
          <w:szCs w:val="20"/>
          <w:color w:val="auto"/>
        </w:rPr>
      </w:pPr>
      <w:r>
        <w:rPr>
          <w:rFonts w:ascii="Times New Roman" w:cs="Times New Roman" w:eastAsia="Times New Roman" w:hAnsi="Times New Roman"/>
          <w:sz w:val="18"/>
          <w:szCs w:val="18"/>
          <w:color w:val="auto"/>
        </w:rPr>
        <w:t>may be in our stockholders’ best interests. Finally, these provisions establish advance notice requirements for nominations for election to the board of directors or for proposing matters that can be acted upon at stockholder meetings. These provisions would apply even if the offer may be considered beneficial by some stockholders.</w:t>
      </w:r>
    </w:p>
    <w:p>
      <w:pPr>
        <w:spacing w:after="0" w:line="13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provides that the Court of Chancery of the State of Delaware and the federal district courts of the United States of America will be the exclusive forums for substantially all disputes between us and our stockholders, which could limit its stockholders’ ability to obtain a favorable judicial forum for disputes with us or our directors, officers or employees.</w:t>
      </w:r>
    </w:p>
    <w:p>
      <w:pPr>
        <w:spacing w:after="0" w:line="134"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provides that the Court of Chancery of the State of Delaware will be the exclusive forum for the following types of actions or proceedings under Delaware statutory or common law:</w:t>
      </w:r>
    </w:p>
    <w:p>
      <w:pPr>
        <w:spacing w:after="0" w:line="135" w:lineRule="exact"/>
        <w:rPr>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breach of fiduciary duty;</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under the DGCL or the Governing Documents; and</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internal-affairs doctrine or otherwise related to our internal affairs.</w:t>
      </w:r>
    </w:p>
    <w:p>
      <w:pPr>
        <w:spacing w:after="0" w:line="18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To prevent having to litigate claims in multiple jurisdictions and the threat of inconsistent or contrary rulings by different courts, among other considerations, the Certificate of Incorporation further provides that the federal district courts of the United States of America will be the exclusive forum for resolving any complaint asserting a cause of action arising under the Securities Act. 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the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48"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potential disputes with us or our directors, officers or other employees, which may discourage lawsuits against us and our directors, officers and other employees. If a court were to find either exclusive-forum provision in the Certificate of Incorporation to be inapplicable or unenforceable in an action, we may incur further significant additional costs associated with resolving the dispute in other jurisdictions, all of which could harm our business.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market price of our securities may be volatile and, in the past, companies that have experienced volatility in the market price of their securities have been subject to securities class action litigation. We may be the target of this type of litigation in the future. Securities litigation against us could result in substantial costs and divert management’s attention from other business concerns, which could seriously harm its business.</w:t>
      </w:r>
    </w:p>
    <w:p>
      <w:pPr>
        <w:spacing w:after="0" w:line="13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issuance of shares of our common stock upon conversion of the Convertible Notes will dilute the ownership interests of our stockholders and could depress the trading price of our common stock.</w:t>
      </w:r>
    </w:p>
    <w:p>
      <w:pPr>
        <w:spacing w:after="0" w:line="132"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Upon conversion of the Convertible Notes being offered in the 2030 Convertible Notes offering or the 2031 Convertible Notes offering, we will satisfy part or all of our conversion obligations in shares of our common stock, unless we elect to settle conversions solely in cash. The issuance of shares of our common stock upon conversion of the Convertible Notes will dilute the ownership interests of our stockholders, which could depress the trading price of our common stock. In addition, the market’s expectation that conversions may occur could depress the trading price of our common stock even in the absence of actual conversions. Moreover, the expectation of conversions could encourage the short selling of our common stock, which could place further downward pressure on the trading price of our common stock.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capped call transactions may affect the value of the 2031 Convertible Notes and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41" w:name="page42"/>
    <w:bookmarkEnd w:id="41"/>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issuance of the 2031 Convertible Notes, we entered into privately negotiated capped call transactions with certain financial institutions (collectively, the “option counterparties”). The capped call transactions are generally expected to reduce the potential dilution to our common stock upon any conversion of the 2031 Convertible Notes and/or offset any potential cash payments we are required to make in excess of the principal amount of converted 2031 Convertible Notes, with such reduction and/or offset subject to a cap. In connection with establishing their initial hedges of the capped call transactions, the option counterparties entered into various derivative transactions, which may be exited in the future.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counterparty risk with respect to the capped call transactions and these capped call transactions may not operate as planned.</w:t>
      </w:r>
    </w:p>
    <w:p>
      <w:pPr>
        <w:spacing w:after="0" w:line="189" w:lineRule="exact"/>
        <w:rPr>
          <w:sz w:val="20"/>
          <w:szCs w:val="20"/>
          <w:color w:val="auto"/>
        </w:rPr>
      </w:pPr>
    </w:p>
    <w:p>
      <w:pPr>
        <w:ind w:right="20" w:firstLine="648"/>
        <w:spacing w:after="0" w:line="272" w:lineRule="auto"/>
        <w:rPr>
          <w:sz w:val="20"/>
          <w:szCs w:val="20"/>
          <w:color w:val="auto"/>
        </w:rPr>
      </w:pPr>
      <w:r>
        <w:rPr>
          <w:rFonts w:ascii="Times New Roman" w:cs="Times New Roman" w:eastAsia="Times New Roman" w:hAnsi="Times New Roman"/>
          <w:sz w:val="17"/>
          <w:szCs w:val="17"/>
          <w:color w:val="auto"/>
        </w:rPr>
        <w:t>The option counterparties are financial institutions, and we will be subject to the risk that any or all of them might default under the capped call transactions. Our exposure to the credit risk of the option counterparties will not be secured by any collateral. Past global economic conditions have resulted in the actual or perceived failure or financial difficulties of many financial institutions and could adversely affect the option counterparties’ performance under the capped call transactions. If an option counterparty becomes subject to insolvency proceedings, we will become an unsecured creditor in those proceedings with a claim equal to our exposure at that time under the capped call transactions with such option counterparty. Our exposure will depend on many factors but, generally, an increase in our exposure will be correlated to an increase in the market price and in the volatility of our common stock. In addition, upon a default by an option counterparty, we may suffer more dilution, the effect of which would not be compensated for, than we currently anticipate with respect to our common stock. We can provide no assurance as to the financial stability or viability of the option counterparties.</w:t>
      </w:r>
    </w:p>
    <w:p>
      <w:pPr>
        <w:spacing w:after="0" w:line="14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addition, the terms of the capped call transactions are complex, and they may not operate as planned. For example, the terms of these may be subject to adjustment, modification or, in some cases, renegotiation in the event of certain corporate and other transactions. Accordingly, the capped call transactions may not operate as we intend in the event that we are required to adjust the terms of such instruments as a result of transactions in the future or in the event of other unanticipated developments that may adversely affect the functioning of the capped call transactions.</w:t>
      </w:r>
    </w:p>
    <w:p>
      <w:pPr>
        <w:spacing w:after="0" w:line="13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capped call transactions are separate transactions (in each case entered into between us and the option counterparties), are not part of the terms of the 2031 Convertible Notes and will not change the holders’ rights under the 2031 Convertible Notes.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18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We have developed and implemented a cybersecurity risk management program intended to protect the confidentiality, integrity, and availability of our critical systems and information.</w:t>
      </w:r>
    </w:p>
    <w:p>
      <w:pPr>
        <w:spacing w:after="0" w:line="121" w:lineRule="exact"/>
        <w:rPr>
          <w:sz w:val="20"/>
          <w:szCs w:val="20"/>
          <w:color w:val="auto"/>
        </w:rPr>
      </w:pPr>
    </w:p>
    <w:p>
      <w:pPr>
        <w:ind w:right="660" w:firstLine="648"/>
        <w:spacing w:after="0" w:line="266" w:lineRule="auto"/>
        <w:rPr>
          <w:sz w:val="20"/>
          <w:szCs w:val="20"/>
          <w:color w:val="auto"/>
        </w:rPr>
      </w:pPr>
      <w:r>
        <w:rPr>
          <w:rFonts w:ascii="Times New Roman" w:cs="Times New Roman" w:eastAsia="Times New Roman" w:hAnsi="Times New Roman"/>
          <w:sz w:val="18"/>
          <w:szCs w:val="18"/>
          <w:color w:val="auto"/>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Key elements of our cybersecurity risk management program include:</w:t>
      </w:r>
    </w:p>
    <w:p>
      <w:pPr>
        <w:spacing w:after="0" w:line="185" w:lineRule="exact"/>
        <w:rPr>
          <w:sz w:val="20"/>
          <w:szCs w:val="20"/>
          <w:color w:val="auto"/>
        </w:rPr>
      </w:pPr>
    </w:p>
    <w:p>
      <w:pPr>
        <w:ind w:left="1140" w:right="260" w:hanging="484"/>
        <w:spacing w:after="0" w:line="282" w:lineRule="auto"/>
        <w:tabs>
          <w:tab w:leader="none" w:pos="11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assessments designed to help identify material risks from cybersecurity threats to our critical systems, information, services, and our broader enterprise IT environment;</w:t>
      </w:r>
    </w:p>
    <w:p>
      <w:pPr>
        <w:spacing w:after="0" w:line="121" w:lineRule="exact"/>
        <w:rPr>
          <w:rFonts w:ascii="Times New Roman" w:cs="Times New Roman" w:eastAsia="Times New Roman" w:hAnsi="Times New Roman"/>
          <w:sz w:val="18"/>
          <w:szCs w:val="18"/>
          <w:color w:val="auto"/>
        </w:rPr>
      </w:pPr>
    </w:p>
    <w:p>
      <w:pPr>
        <w:ind w:left="1140" w:right="560" w:hanging="484"/>
        <w:spacing w:after="0" w:line="282" w:lineRule="auto"/>
        <w:tabs>
          <w:tab w:leader="none" w:pos="11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including employees and external third party service providers, who are responsible for managing our cybersecurity risk assessment processes, our security controls, and our response to cybersecurity incidents;</w:t>
      </w:r>
    </w:p>
    <w:p>
      <w:pPr>
        <w:spacing w:after="0" w:line="13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external service providers, where appropriate, to assess, test or otherwise assist with aspects of our security controls;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42" w:name="page43"/>
    <w:bookmarkEnd w:id="42"/>
    <w:p>
      <w:pPr>
        <w:ind w:left="1140" w:hanging="484"/>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training of our employees, incident response personnel, and senior management;</w:t>
      </w:r>
    </w:p>
    <w:p>
      <w:pPr>
        <w:spacing w:after="0" w:line="18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response plan that includes procedures for responding to cybersecurity incidents; and</w:t>
      </w:r>
    </w:p>
    <w:p>
      <w:pPr>
        <w:spacing w:after="0" w:line="184" w:lineRule="exact"/>
        <w:rPr>
          <w:rFonts w:ascii="Times New Roman" w:cs="Times New Roman" w:eastAsia="Times New Roman" w:hAnsi="Times New Roman"/>
          <w:sz w:val="18"/>
          <w:szCs w:val="18"/>
          <w:color w:val="auto"/>
        </w:rPr>
      </w:pPr>
    </w:p>
    <w:p>
      <w:pPr>
        <w:ind w:left="1140" w:right="180" w:hanging="484"/>
        <w:spacing w:after="0" w:line="282" w:lineRule="auto"/>
        <w:tabs>
          <w:tab w:leader="none" w:pos="11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third-party risk management process for key service providers, suppliers, and vendors based on our assessment of their criticality to our operations and respective risk profile.</w:t>
      </w:r>
    </w:p>
    <w:p>
      <w:pPr>
        <w:spacing w:after="0" w:line="135"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We have not identified risks from known cybersecurity threats, including as a result of any prior cybersecurity incidents, that have materially affected us, including our operations, business strategy, results of operations, or financial condition. We face risks from cybersecurity threats that, if realized, are reasonably likely to materially affect us, including our operations, business strategy, results of operations, or financial condition. See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Factors—Risks Related to Our Business, Industry and Operations— If we or our third-party providers fail to protect our information technology systems, digital assets or confidential information, or experience cybersecurity incidents, our business, operating results, financial condition and reputation could be materially harmed</w:t>
      </w:r>
      <w:r>
        <w:rPr>
          <w:rFonts w:ascii="Times New Roman" w:cs="Times New Roman" w:eastAsia="Times New Roman" w:hAnsi="Times New Roman"/>
          <w:sz w:val="18"/>
          <w:szCs w:val="18"/>
          <w:color w:val="auto"/>
        </w:rPr>
        <w: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18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Our Board considers cybersecurity risk as part of its risk oversight function and has delegated to the Audit Committee oversight of cybersecurity and other information technology risks. The Audit Committee oversees management’s implementation of our cybersecurity risk management program.</w:t>
      </w:r>
    </w:p>
    <w:p>
      <w:pPr>
        <w:spacing w:after="0" w:line="135"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Audit Committee receives regular reports from management on our cybersecurity risks. In addition, management updates the Committee, where it deems appropriate, regarding any cybersecurity incidents it considers to be significant or potentially significant.</w:t>
      </w:r>
    </w:p>
    <w:p>
      <w:pPr>
        <w:spacing w:after="0" w:line="121"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Audit Committee reports to the full Board regarding its activities, including those related to cybersecurity. The full Board also receives briefings from management on our cyber risk management program. Board members receive presentations on cybersecurity topics from our management team, internal security staff or external experts as part of the Board’s continuing education on topics that impact public companies. Members of the Audit Committee have experience in overseeing and managing cybersecurity and data privacy risks.</w:t>
      </w:r>
    </w:p>
    <w:p>
      <w:pPr>
        <w:spacing w:after="0" w:line="13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Our management team is responsible for assessing and managing our material risks from cybersecurity threats. The team has primary responsibility for our overall cybersecurity risk management program and supervises both our internal cybersecurity personnel and our retained external cybersecurity consultants. Members of our management team have prior work experience in supervising and implementing cybersecurity risk mitigation efforts in highly-regulated industries. Our internal cybersecurity personnel, including our Chief Information Security Officer (CISO), and retained external cybersecurity consultants also have a breadth of expertise across core cybersecurity disciplines including governance, risk, compliance, and security architecture.</w:t>
      </w:r>
    </w:p>
    <w:p>
      <w:pPr>
        <w:spacing w:after="0" w:line="16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Our management team takes steps to stay informed and monitors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IT environment.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2025, we lease office space in New York, New York, Charleston, South Carolina, and Denver, Colorado.</w:t>
      </w:r>
    </w:p>
    <w:p>
      <w:pPr>
        <w:spacing w:after="0" w:line="19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lease land for data center facilities in West Texas, and own land options in Texas and Ohio for additional sites. See Item 1. Business for further descriptions of our facilities and sites.</w:t>
      </w:r>
    </w:p>
    <w:p>
      <w:pPr>
        <w:spacing w:after="0" w:line="121"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Management believes its facilities are adequate for the Company’s near-term needs and that should it be needed, suitable additional or alternative space will be available to accommodate our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are not a party to any material pending legal proceedings. From time to time, we may be subject to legal proceedings and claims arising in the ordinary course of business. The outcome of any such claims or proceedings, regardless of the merits, is inherently uncertain.</w:t>
      </w:r>
    </w:p>
    <w:p>
      <w:pPr>
        <w:spacing w:after="0" w:line="200" w:lineRule="exact"/>
        <w:rPr>
          <w:sz w:val="20"/>
          <w:szCs w:val="20"/>
          <w:color w:val="auto"/>
        </w:rPr>
      </w:pPr>
    </w:p>
    <w:p>
      <w:pPr>
        <w:spacing w:after="0" w:line="3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96" w:right="3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ectPr>
          <w:pgSz w:w="11900" w:h="16838" w:orient="portrait"/>
          <w:cols w:equalWidth="0" w:num="1">
            <w:col w:w="10139"/>
          </w:cols>
          <w:pgMar w:left="320" w:top="1292" w:right="1440" w:bottom="1440" w:gutter="0" w:footer="0" w:header="0"/>
        </w:sectPr>
      </w:pP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92" w:right="1440" w:bottom="1440" w:gutter="0" w:footer="0" w:header="0"/>
          <w:type w:val="continuous"/>
        </w:sectPr>
      </w:pPr>
    </w:p>
    <w:bookmarkStart w:id="44" w:name="page45"/>
    <w:bookmarkEnd w:id="44"/>
    <w:p>
      <w:pPr>
        <w:spacing w:after="0" w:line="27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ind w:right="1720"/>
        <w:spacing w:after="0" w:line="464"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ind w:left="660"/>
        <w:spacing w:after="0"/>
        <w:rPr>
          <w:sz w:val="20"/>
          <w:szCs w:val="20"/>
          <w:color w:val="auto"/>
        </w:rPr>
      </w:pPr>
      <w:r>
        <w:rPr>
          <w:rFonts w:ascii="Times New Roman" w:cs="Times New Roman" w:eastAsia="Times New Roman" w:hAnsi="Times New Roman"/>
          <w:sz w:val="18"/>
          <w:szCs w:val="18"/>
          <w:color w:val="auto"/>
        </w:rPr>
        <w:t>Our common stock is listed and traded on the Nasdaq Stock Exchange under the symbols “CIFR”.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02"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As of February 24, 2026, there were 16 holders of record of our common stock. Such numbers do not include beneficial owners holding our securities through nominee names. The actual number of stockholders is greater than this number of record holders, and includes stockholders who are beneficial owners but whose shares are held in street name by brokers or other nominees.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dividends on our capital stock, and we do not currently intend to pay any cash dividends for the foreseeable future. We expect to retain future earnings, if any, to fund the development and growth of our business. Any future determination to pay dividends on our common stock will be at the discretion of the Board and will depend upon, among other factors, our financial condition, operating results, current and anticipated cash needs, plans for expansion and other factors that the Board may deem relevant.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31F20"/>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2026 Proxy Statement and is incorporated herein by reference.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bookmarkStart w:id="45" w:name="page46"/>
    <w:bookmarkEnd w:id="45"/>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87" w:lineRule="exact"/>
        <w:rPr>
          <w:sz w:val="20"/>
          <w:szCs w:val="20"/>
          <w:color w:val="auto"/>
        </w:rPr>
      </w:pPr>
    </w:p>
    <w:p>
      <w:pPr>
        <w:ind w:right="1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management’s discussion and analysis covers the years ended December 31 2025 and 2024. You should read the following discussion and analysis of our financial condition and results of operations together with our consolidated financial statements and related notes included elsewhere in this Annual Report.</w:t>
      </w:r>
    </w:p>
    <w:p>
      <w:pPr>
        <w:spacing w:after="0" w:line="133" w:lineRule="exact"/>
        <w:rPr>
          <w:sz w:val="20"/>
          <w:szCs w:val="20"/>
          <w:color w:val="auto"/>
        </w:rPr>
      </w:pPr>
    </w:p>
    <w:p>
      <w:pPr>
        <w:ind w:right="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For discussion around our results of operations for the year ended December 31, 2024 and a comparison of our results of operations for the year ended December 31, 2024 and year ended December 31, 2023, see Item 7, Management’s Discussion and Analysis of Financial Condition and Results of Operations of our Annual report on Form 10-K for fiscal year ended December 31, 2024 filed with the SEC on February 25, 2025.</w:t>
      </w:r>
    </w:p>
    <w:p>
      <w:pPr>
        <w:spacing w:after="0" w:line="108" w:lineRule="exact"/>
        <w:rPr>
          <w:sz w:val="20"/>
          <w:szCs w:val="20"/>
          <w:color w:val="auto"/>
        </w:rPr>
      </w:pPr>
    </w:p>
    <w:p>
      <w:pPr>
        <w:jc w:val="both"/>
        <w:ind w:right="280" w:firstLine="648"/>
        <w:spacing w:after="0" w:line="236" w:lineRule="exact"/>
        <w:rPr>
          <w:sz w:val="20"/>
          <w:szCs w:val="20"/>
          <w:color w:val="auto"/>
        </w:rPr>
      </w:pPr>
      <w:r>
        <w:rPr>
          <w:rFonts w:ascii="Times New Roman" w:cs="Times New Roman" w:eastAsia="Times New Roman" w:hAnsi="Times New Roman"/>
          <w:sz w:val="18"/>
          <w:szCs w:val="18"/>
          <w:i w:val="1"/>
          <w:iCs w:val="1"/>
          <w:color w:val="auto"/>
        </w:rPr>
        <w:t>This discussion contains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based upon current plans, expectations and beliefs involving risks and uncertainties. Our actual results may differ materially from those anticipated in these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as a result of various factors, including those set forth in Part II, Item 1A, “Risk Factors” and other factors set forth in other parts of this Annual Report.</w:t>
      </w:r>
    </w:p>
    <w:p>
      <w:pPr>
        <w:spacing w:after="0" w:line="156" w:lineRule="exact"/>
        <w:rPr>
          <w:sz w:val="20"/>
          <w:szCs w:val="20"/>
          <w:color w:val="auto"/>
        </w:rPr>
      </w:pPr>
    </w:p>
    <w:p>
      <w:pPr>
        <w:ind w:right="3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Annual Report to the “Company,” “Cipher,” “Cipher Digital,” “we,” “us” or “our” refers to Cipher Digital Inc. and its consolidated subsidiaries, unless otherwise indicated.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are dedicated to developing and operating industrial-scale data centers engineered for next-generation computing at the highest standards of innovation, precision, and excellence. Over the past several years, we have intentionally evolved from a pure-play bitcoin miner into a vertically integrated data center development and operations platform focused on energy-intensive compute infrastructure. Our vertical integration spans critical stages of the data center value chain, including land and power origination and interconnection, site development, data center design and construction, oversight and ongoing facility operations.</w:t>
      </w:r>
    </w:p>
    <w:p>
      <w:pPr>
        <w:spacing w:after="0" w:line="143"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Fundamentally, we bring together construction, engineering, operations, power, real estate and technology expertise to deliver high quality, purpose-built data centers that meet tenants’ needs. Our in-house teams source and control industrial-scale sites with access to substantial electric power capacity, advance grid interconnection and substation development, and manage the design and construction of data center campuses. We also operate and maintain energy-intensive data center facilities, leveraging operational expertise developed through our employees’ extensive experience managing Tier III HPC data centers and large, flexible electrical loads. Against a backdrop of increasing demand for AI technology and access to energized HPC data centers to meet consumers’ demands for such technology, we believe we play an important part of the AI economy and we expect to benefit from powerful, long-term growth drivers.</w:t>
      </w:r>
    </w:p>
    <w:p>
      <w:pPr>
        <w:spacing w:after="0" w:line="148"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While bitcoin mining has been an important component of our business model in prior years, our strategy increasingly emphasizes the development of industrial-scale data centers that can be leased to hyperscalers and other HPC customers under long-term contracts, while retaining the flexibility to deploy bitcoin mining as an interim or complementary use of power.</w:t>
      </w:r>
    </w:p>
    <w:p>
      <w:pPr>
        <w:spacing w:after="0" w:line="14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February 20, 2026, we changed our name to “Cipher Digital Inc.” Rebranding to “Cipher Digital” aligns with our corporate strategy to scale into a leading HPC data center developer and operator, as we leverage our existing site pipeline and source additional sites, partnering with premier tenants, and developing and operating industry-leading data centers purpose-built for HPC. Our goal is to monetize our power assets and manage capital efficiently through market cycles in order to align our infrastructure with the growing global demand for AI-driven compute capacity.</w:t>
      </w:r>
    </w:p>
    <w:p>
      <w:pPr>
        <w:spacing w:after="0" w:line="139" w:lineRule="exact"/>
        <w:rPr>
          <w:sz w:val="20"/>
          <w:szCs w:val="20"/>
          <w:color w:val="auto"/>
        </w:rPr>
      </w:pPr>
    </w:p>
    <w:p>
      <w:pPr>
        <w:ind w:right="140" w:firstLine="648"/>
        <w:spacing w:after="0" w:line="289" w:lineRule="auto"/>
        <w:rPr>
          <w:sz w:val="20"/>
          <w:szCs w:val="20"/>
          <w:color w:val="auto"/>
        </w:rPr>
      </w:pPr>
      <w:r>
        <w:rPr>
          <w:rFonts w:ascii="Times New Roman" w:cs="Times New Roman" w:eastAsia="Times New Roman" w:hAnsi="Times New Roman"/>
          <w:sz w:val="17"/>
          <w:szCs w:val="17"/>
          <w:color w:val="auto"/>
        </w:rPr>
        <w:t>Our data center portfolio consists of 4.2 gigawatts (“GW”) of capacity across 10 sites, at various stages of interconnection. We are currently developing 600 MW of HPC data center facilities across two sites for hyperscaler tenants, and we currently operate approximately 207 MW of power at one bitcoin mining data center in Texas. We also maintain a pipeline of approximately 3.4 GW across seven sites in Texas and one additional site in Ohio.</w:t>
      </w:r>
    </w:p>
    <w:p>
      <w:pPr>
        <w:spacing w:after="0" w:line="11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believe we have secured key HPC leases for our data centers and expect to continue to do so for the additional sites in our portfolio due to several key strengths and strategies. We believe we have a demonstrated ability to source high-quality sites suitable for HPC tenants, with characteristics like proximity to major metropolitan areas, ample acreage, diverse fiber routes, and available interconnection infrastructure. We have experienced in-house construction, engineering</w:t>
      </w:r>
    </w:p>
    <w:p>
      <w:pPr>
        <w:spacing w:after="0" w:line="200" w:lineRule="exact"/>
        <w:rPr>
          <w:sz w:val="20"/>
          <w:szCs w:val="20"/>
          <w:color w:val="auto"/>
        </w:rPr>
      </w:pPr>
    </w:p>
    <w:p>
      <w:pPr>
        <w:spacing w:after="0" w:line="3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6" w:name="page47"/>
    <w:bookmarkEnd w:id="46"/>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operations teams and project management competencies. We have demonstrated an ability to access and manage capital in a disciplined manner.</w:t>
      </w:r>
    </w:p>
    <w:p>
      <w:pPr>
        <w:spacing w:after="0" w:line="18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 significant component of our current and future growth is expected to be generated through the development of our existing portfolio and acquisition of new sites. We are focused on developing the remaining sites in our pipeline for future HPC tenants, and evaluating additional sites, locations, and partnerships to expand our pipeline that are suitable for HPC tenants. From time to time, we may also look to sell individual assets that we do not consider to be core to our business and growth strategy. For further details on our pipeline of future sites that we expect to be suitable for HPC, see “</w:t>
      </w:r>
      <w:r>
        <w:rPr>
          <w:rFonts w:ascii="Times New Roman" w:cs="Times New Roman" w:eastAsia="Times New Roman" w:hAnsi="Times New Roman"/>
          <w:sz w:val="18"/>
          <w:szCs w:val="18"/>
          <w:i w:val="1"/>
          <w:iCs w:val="1"/>
          <w:color w:val="auto"/>
        </w:rPr>
        <w:t>Business—Site Pipeline</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and Restated Charter</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February 20, 2026, our board of directors approved an amendment to our Second Amended and Restated Certificate of Incorporation to change the name of the company to “Cipher Digital Inc.” The amendment became effective upon filing with the Delaware Secretary of State on February 20, 2026.</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and Restated Bylaws</w:t>
      </w:r>
    </w:p>
    <w:p>
      <w:pPr>
        <w:spacing w:after="0" w:line="200"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On February 20, 2026, the Board of Directors approved and adopted amendments to the Company’s Amended and Restated Bylaws (the “Bylaws”), effective immediately. The Bylaws were amended and restated to change the name of the company to “Cipher Digital Inc.”</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WindHQ JV Sites Sale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February 19, 2026, we sold our 49% interests in our WindHQ JV sites to Canaan U.S.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Factors Affecting Our Results of Operations</w:t>
      </w:r>
    </w:p>
    <w:p>
      <w:pPr>
        <w:spacing w:after="0" w:line="18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We believe that our performance and future success depend on a number of factors that present significant opportunities for us. These factors also pose risks and challenges, including those discussed in Part I, Item 1A. “Risk Factors” of this Annual Report.</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Ability to Expand HPC Business and Secure Customers.</w:t>
      </w:r>
    </w:p>
    <w:p>
      <w:pPr>
        <w:spacing w:after="0" w:line="200"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Our growth strategies include pursuing expansion and diversification of our revenue streams into new markets. Pursuant to that strategy, in 2025, we increased our focus on diversification into HPC data centers and signed two HPC tenants for a total of 600 MW of data center capacity. We believe we may be able to leverage some of our existing infrastructure and expertise to develop those data centers and future ones. As we enter into new markets for HPC data centers, we will face new sources of competition, new business models and new tenant relationships. Our strategy may not be successful as a result of a number of factors described under “Item 1A. </w:t>
      </w:r>
      <w:r>
        <w:rPr>
          <w:rFonts w:ascii="Times New Roman" w:cs="Times New Roman" w:eastAsia="Times New Roman" w:hAnsi="Times New Roman"/>
          <w:sz w:val="18"/>
          <w:szCs w:val="18"/>
          <w:i w:val="1"/>
          <w:iCs w:val="1"/>
          <w:color w:val="auto"/>
        </w:rPr>
        <w:t>Risk Factors—Risks Related to HPC—Our increased focus on developing data centers for HPC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hosting may not become profitable in the future and may result in adverse consequences to our business, results of operations and financial condition</w:t>
      </w:r>
      <w:r>
        <w:rPr>
          <w:rFonts w:ascii="Times New Roman" w:cs="Times New Roman" w:eastAsia="Times New Roman" w:hAnsi="Times New Roman"/>
          <w:sz w:val="18"/>
          <w:szCs w:val="18"/>
          <w:color w:val="auto"/>
        </w:rPr>
        <w: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Annual Report. Our efforts to diversify our revenue streams may distract management, require significant additional capital, expose us to new competition and market dynamics, and increase our cost of doing business.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Regulation.</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As a data center operator in an energy-intensive industry like HPC, we take a proactive and adaptive approach to regulatory compliance by closely monitoring legislative and regulatory developments and engaging with relevant stakeholders to align our business practices with an evolving legal framework. Our operations are subject to a broad range of U.S. federal, state, and local laws and regulations, including oversight by the SEC, CFTC, FTC, FinCEN, and comparable authorities in other jurisdictions. While the regulatory environment remains complex and rapidly changing, we remain committed to responsible, innovative operations and to maintaining compliance amid regulatory uncertainty.</w:t>
      </w:r>
    </w:p>
    <w:p>
      <w:pPr>
        <w:spacing w:after="0" w:line="156"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As laws and regulations continue to evolve, we may become subject to additional requirements that could affect our mining, data center, and hosting activities. The primary legislative efforts that affect us have been those on the state level, particularly in Texas where our operations are most concentrated. Recently, there have been several legislative and regulatory efforts to manage power consumption and support grid reliability, which affect our business as an operator of industrial-scale data centers. In 2025, the Texas legislature enacted legislation SB 6 to support ERCOT’s grid reliability by proposing minimum transmission rates on certain large loads and removing phantom loads from its interconnection queue to enhance accuracy of actual future load growth. SB 6 requires the PUCT and ERCOT to create new processes and impose new requirements for the interconnection of facilities with large electrical loads of at least 75 MWs to the ERCOT system. SB 6 also requires security type payments as part of the initial interconnection request, and creates a new approval that is required for co-location of generation with large loads. In addition, ERCOT has amended and continues to evaluate its processes for interconnection of large electrical loads to the ERCOT grid. In December 2025, ERCOT announced amendments to the approval process for large load interconnection requests and is designing and implementing a process that may batch multiple large load interconnection requests together to evaluate system impacts on a portfolio basis for purposes of transmission planning. These developments, along with potential requirements relating to grid stability, voltage ride-through, frequency ride-through and curtailment obligations, could increase costs, delay project timelines, or impose additional operational constraints. In 2024, the PUCT also required operators of large virtual currency mining operations connected to register their facilities with the PUCT. For additional discussion regarding our belief about the potential risks existing and future regulation pose to our business, see “</w:t>
      </w:r>
      <w:r>
        <w:rPr>
          <w:rFonts w:ascii="Times New Roman" w:cs="Times New Roman" w:eastAsia="Times New Roman" w:hAnsi="Times New Roman"/>
          <w:sz w:val="18"/>
          <w:szCs w:val="18"/>
          <w:i w:val="1"/>
          <w:iCs w:val="1"/>
          <w:color w:val="auto"/>
        </w:rPr>
        <w:t>Risk Factors—Risks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to Regulatory Framework.</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Bitcoin Mining Transition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light of our expansion into HPC data center construction, we expect bitcoin mining dynamics, such as bitcoin price volatility, block reward reductions, and transaction fees, to play a lesser role in our operations going forward. Historically, our revenues have been derived primarily from bitcoin mining activities, consisting of block rewards and transaction fees earned for validating transactions on the Bitcoin network. Both block rewards and transaction fees are directly influenced by the market price of bitcoin, which has been highly volatile. As a result, the economic viability of bitcoin mining has historically depended on both bitcoin market conditions and the efficiency with which we are able to deploy and operate our mining fleet.</w:t>
      </w:r>
    </w:p>
    <w:p>
      <w:pPr>
        <w:spacing w:after="0" w:line="15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Additionally, mining bitcoin is a highly power-intensive process, requiring substantial and continuous electrical power to operate mining equipment. Historically, maintaining cost efficiency—particularly with respect to power—has been critical to remaining competitive for our bitcoin mining operations as network hashrate and mining difficulty</w:t>
      </w:r>
    </w:p>
    <w:p>
      <w:pPr>
        <w:spacing w:after="0" w:line="200" w:lineRule="exact"/>
        <w:rPr>
          <w:sz w:val="20"/>
          <w:szCs w:val="20"/>
          <w:color w:val="auto"/>
        </w:rPr>
      </w:pPr>
    </w:p>
    <w:p>
      <w:pPr>
        <w:spacing w:after="0" w:line="3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2" w:right="359" w:bottom="1440" w:gutter="0" w:footer="0" w:header="0"/>
        </w:sectPr>
      </w:pPr>
    </w:p>
    <w:bookmarkStart w:id="48" w:name="page49"/>
    <w:bookmarkEnd w:id="48"/>
    <w:p>
      <w:pPr>
        <w:ind w:right="200"/>
        <w:spacing w:after="0" w:line="266" w:lineRule="auto"/>
        <w:rPr>
          <w:sz w:val="20"/>
          <w:szCs w:val="20"/>
          <w:color w:val="auto"/>
        </w:rPr>
      </w:pPr>
      <w:r>
        <w:rPr>
          <w:rFonts w:ascii="Times New Roman" w:cs="Times New Roman" w:eastAsia="Times New Roman" w:hAnsi="Times New Roman"/>
          <w:sz w:val="18"/>
          <w:szCs w:val="18"/>
          <w:color w:val="auto"/>
        </w:rPr>
        <w:t>increased. Our bitcoin mining data center is located in West Texas, a region that we believe offers site development potential and access to competitively priced electrical power. We believe our power purchase arrangement has supported our cost discipline and differentiated us from certain competitors. However, our results may be affected by fluctuations in wholesale and retail power markets.</w:t>
      </w:r>
    </w:p>
    <w:p>
      <w:pPr>
        <w:spacing w:after="0" w:line="13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Because the number of bitcoin mined is directly related to the size and efficiency of a miner’s fleet, maintaining competitiveness in a rising network hashrate and difficulty environment has required continued investment in increasingly sophisticated mining equipment. We believe our focus on cost discipline, mining efficiency and controlled access to low-cost power has been a key competitive advantage, supported by capital investments in state-of-the-art miners, strong supply-chain relationships, and active fleet management as equipment ages along the obsolescence curve. However, in light of our expansion into HPC data center development, bitcoin mining dynamics, including bitcoin price volatility, block reward reductions, transaction fee variability, network hashrate growth, exposure to power market pricing, and the need for continual reinvestment in mining hardware, are expected to play a diminishing role in our operations over time. As we continue to pivot toward data center and HPC hosting services, we expect our revenue profile and operating results to become less dependent on bitcoin-specific factors, and more influenced by long-term leases with hyperscaler tenants, power procurement strategies, and broader data center market conditions, although bitcoin mining dynamics has affected our results during recent years and may continue to affect our results during this transition period.</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Competition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Our business environment is constantly evolving. In the past few years there have been many new entrants and existing competitors in the bitcoin mining space and a general increase in the competition for industrial-scale bitcoin mining companies with whom we compete over aspects of our industry, such as hashrate and power capacity. Additionally, there have been new entrants in the data center space, such as HPC companies, with whom we may compete over power availability. As the </w:t>
      </w:r>
      <w:r>
        <w:rPr>
          <w:rFonts w:ascii="Times New Roman" w:cs="Times New Roman" w:eastAsia="Times New Roman" w:hAnsi="Times New Roman"/>
          <w:sz w:val="18"/>
          <w:szCs w:val="18"/>
          <w:color w:val="231F20"/>
        </w:rPr>
        <w:t>competition</w:t>
      </w:r>
      <w:r>
        <w:rPr>
          <w:rFonts w:ascii="Times New Roman" w:cs="Times New Roman" w:eastAsia="Times New Roman" w:hAnsi="Times New Roman"/>
          <w:sz w:val="18"/>
          <w:szCs w:val="18"/>
          <w:color w:val="auto"/>
        </w:rPr>
        <w:t xml:space="preserve"> for power capacity and data center locations continues to increase, we have been able to capitalize on our commitment to innovation and flexibility by expanding our business to include data center construction for industries beyond bitcoin mining, such as HPC hosting. See “</w:t>
      </w:r>
      <w:r>
        <w:rPr>
          <w:rFonts w:ascii="Times New Roman" w:cs="Times New Roman" w:eastAsia="Times New Roman" w:hAnsi="Times New Roman"/>
          <w:sz w:val="18"/>
          <w:szCs w:val="18"/>
          <w:i w:val="1"/>
          <w:iCs w:val="1"/>
          <w:color w:val="auto"/>
        </w:rPr>
        <w:t>Risk Factors — Risks Related to Our Business, Industry and Operations — We operate in a highly competitive, rapidly evolving industry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if we are unable to respond to our competitors effectively, it could have a material adverse effect on our business, results of operations, and financial condition</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Global Supply Chain Constraints.</w:t>
      </w:r>
    </w:p>
    <w:p>
      <w:pPr>
        <w:spacing w:after="0" w:line="18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operations of our facilities and our other expansion plans require specialized equipment, large quantities of construction materials and other component parts that can be difficult to source. We may experience disruptions to our business operations resulting from delays in construction and obtaining necessary equipment in a timely fashion due to global supply chain delays caused by geopolitical unrest, global pandemics, or other factors. Global supply logistics have caused delays across all channels of distribution, and we have also experienced delays in certain of our miner delivery schedules. Additionally, the global supply chain for data center construction equipment, such as transformers and substations, is presently further constrained due to unprecedented demand. Based on our current assessments, we do not expect any material impact on long-term development, operations, or liquidity. However, we continue to monitor developments in the global supply chain and assess their potential impact on our operations and expansion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96" w:right="379" w:bottom="1440" w:gutter="0" w:footer="0" w:header="0"/>
        </w:sectPr>
      </w:pPr>
    </w:p>
    <w:bookmarkStart w:id="49" w:name="page50"/>
    <w:bookmarkEnd w:id="49"/>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Bitcoin Inventory</w:t>
      </w:r>
    </w:p>
    <w:p>
      <w:pPr>
        <w:spacing w:after="0" w:line="18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our Bitcoin inventory for the year ended December 31, 2025, including bitcoin production and sales of bitcoin (dollar amounts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60" w:type="dxa"/>
            <w:vAlign w:val="bottom"/>
          </w:tcPr>
          <w:p>
            <w:pPr>
              <w:spacing w:after="0"/>
              <w:rPr>
                <w:sz w:val="20"/>
                <w:szCs w:val="20"/>
                <w:color w:val="auto"/>
              </w:rPr>
            </w:pPr>
          </w:p>
        </w:tc>
        <w:tc>
          <w:tcPr>
            <w:tcW w:w="168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280" w:type="dxa"/>
            <w:vAlign w:val="bottom"/>
          </w:tcPr>
          <w:p>
            <w:pPr>
              <w:spacing w:after="0"/>
              <w:rPr>
                <w:sz w:val="20"/>
                <w:szCs w:val="20"/>
                <w:color w:val="auto"/>
              </w:rPr>
            </w:pPr>
          </w:p>
        </w:tc>
        <w:tc>
          <w:tcPr>
            <w:tcW w:w="13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Amounts</w:t>
            </w:r>
          </w:p>
        </w:tc>
        <w:tc>
          <w:tcPr>
            <w:tcW w:w="0" w:type="dxa"/>
            <w:vAlign w:val="bottom"/>
          </w:tcPr>
          <w:p>
            <w:pPr>
              <w:spacing w:after="0"/>
              <w:rPr>
                <w:sz w:val="1"/>
                <w:szCs w:val="1"/>
                <w:color w:val="auto"/>
              </w:rPr>
            </w:pPr>
          </w:p>
        </w:tc>
      </w:tr>
      <w:tr>
        <w:trPr>
          <w:trHeight w:val="27"/>
        </w:trPr>
        <w:tc>
          <w:tcPr>
            <w:tcW w:w="796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Opening balance</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92,651</w:t>
            </w:r>
          </w:p>
        </w:tc>
        <w:tc>
          <w:tcPr>
            <w:tcW w:w="0" w:type="dxa"/>
            <w:vAlign w:val="bottom"/>
          </w:tcPr>
          <w:p>
            <w:pPr>
              <w:spacing w:after="0"/>
              <w:rPr>
                <w:sz w:val="1"/>
                <w:szCs w:val="1"/>
                <w:color w:val="auto"/>
              </w:rPr>
            </w:pPr>
          </w:p>
        </w:tc>
      </w:tr>
      <w:tr>
        <w:trPr>
          <w:trHeight w:val="243"/>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Bitcoin received from equity investees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25,813</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Bitcoin received from mining activities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199,579</w:t>
            </w:r>
          </w:p>
        </w:tc>
        <w:tc>
          <w:tcPr>
            <w:tcW w:w="0" w:type="dxa"/>
            <w:vAlign w:val="bottom"/>
          </w:tcPr>
          <w:p>
            <w:pPr>
              <w:spacing w:after="0"/>
              <w:rPr>
                <w:sz w:val="1"/>
                <w:szCs w:val="1"/>
                <w:color w:val="auto"/>
              </w:rPr>
            </w:pPr>
          </w:p>
        </w:tc>
      </w:tr>
      <w:tr>
        <w:trPr>
          <w:trHeight w:val="243"/>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Bitcoin received from loan</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16,551</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Bitcoin paid for interest on loan</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43"/>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sales of bitcoin</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(214,737)</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Spot bitcoin purchases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0" w:type="dxa"/>
            <w:vAlign w:val="bottom"/>
          </w:tcPr>
          <w:p>
            <w:pPr>
              <w:spacing w:after="0"/>
              <w:rPr>
                <w:sz w:val="1"/>
                <w:szCs w:val="1"/>
                <w:color w:val="auto"/>
              </w:rPr>
            </w:pPr>
          </w:p>
        </w:tc>
      </w:tr>
      <w:tr>
        <w:trPr>
          <w:trHeight w:val="243"/>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Realized gains on sale of bitcoin</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7,126</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losses on fair value of bitcoin</w:t>
            </w:r>
          </w:p>
        </w:tc>
        <w:tc>
          <w:tcPr>
            <w:tcW w:w="1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(41,603)</w:t>
            </w:r>
          </w:p>
        </w:tc>
        <w:tc>
          <w:tcPr>
            <w:tcW w:w="0" w:type="dxa"/>
            <w:vAlign w:val="bottom"/>
          </w:tcPr>
          <w:p>
            <w:pPr>
              <w:spacing w:after="0"/>
              <w:rPr>
                <w:sz w:val="1"/>
                <w:szCs w:val="1"/>
                <w:color w:val="auto"/>
              </w:rPr>
            </w:pPr>
          </w:p>
        </w:tc>
      </w:tr>
      <w:tr>
        <w:trPr>
          <w:trHeight w:val="243"/>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Realized loss on bitcoin transferred to collateral, net</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Bitcoin transferred from collateral, net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40,925</w:t>
            </w:r>
          </w:p>
        </w:tc>
        <w:tc>
          <w:tcPr>
            <w:tcW w:w="0" w:type="dxa"/>
            <w:vAlign w:val="bottom"/>
          </w:tcPr>
          <w:p>
            <w:pPr>
              <w:spacing w:after="0"/>
              <w:rPr>
                <w:sz w:val="1"/>
                <w:szCs w:val="1"/>
                <w:color w:val="auto"/>
              </w:rPr>
            </w:pPr>
          </w:p>
        </w:tc>
      </w:tr>
      <w:tr>
        <w:trPr>
          <w:trHeight w:val="26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125,400</w:t>
            </w:r>
          </w:p>
        </w:tc>
        <w:tc>
          <w:tcPr>
            <w:tcW w:w="0" w:type="dxa"/>
            <w:vAlign w:val="bottom"/>
          </w:tcPr>
          <w:p>
            <w:pPr>
              <w:spacing w:after="0"/>
              <w:rPr>
                <w:sz w:val="1"/>
                <w:szCs w:val="1"/>
                <w:color w:val="auto"/>
              </w:rPr>
            </w:pPr>
          </w:p>
        </w:tc>
      </w:tr>
      <w:tr>
        <w:trPr>
          <w:trHeight w:val="21"/>
        </w:trPr>
        <w:tc>
          <w:tcPr>
            <w:tcW w:w="796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44</w:t>
            </w: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796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96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current revenue consists of bitcoin earned through mining activities at the Odessa and Black Pearl Facilities. We currently participate in third-party mining pools to mine bitcoin. The provision of computing power in accordance with the mining pool operator’s terms of service is the only performance obligation in our contract with the mining pool operator. We are entitled to a fractional share of the set cryptocurrency award from the mining pool operator (referred to as a “block reward”) and potentially transaction fees generated from blockchain users and distributed to individual miners by the mining pool operator.</w:t>
      </w:r>
    </w:p>
    <w:p>
      <w:pPr>
        <w:spacing w:after="0" w:line="15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Our fractional share of the block reward is based on the proportion of computing power we contributed to the mining pool operator to the total computing power contributed by all mining pool participants in solving the current algorithm, over the contract term. The block reward is pre-determined in the protocol governing the relevant blockchain. Our proportionate share of transaction fees is based on our </w:t>
      </w:r>
      <w:r>
        <w:rPr>
          <w:rFonts w:ascii="Times New Roman" w:cs="Times New Roman" w:eastAsia="Times New Roman" w:hAnsi="Times New Roman"/>
          <w:sz w:val="18"/>
          <w:szCs w:val="18"/>
          <w:color w:val="231F20"/>
        </w:rPr>
        <w:t>contributed share of hashrate as a percentage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of total network hashrate during the contract term. The </w:t>
      </w:r>
      <w:r>
        <w:rPr>
          <w:rFonts w:ascii="Times New Roman" w:cs="Times New Roman" w:eastAsia="Times New Roman" w:hAnsi="Times New Roman"/>
          <w:sz w:val="18"/>
          <w:szCs w:val="18"/>
          <w:color w:val="000000"/>
        </w:rPr>
        <w:t>transaction fees are the aggregate fees paid by parties whose transactions are included in the block.</w:t>
      </w:r>
      <w:r>
        <w:rPr>
          <w:rFonts w:ascii="Times New Roman" w:cs="Times New Roman" w:eastAsia="Times New Roman" w:hAnsi="Times New Roman"/>
          <w:sz w:val="18"/>
          <w:szCs w:val="18"/>
          <w:color w:val="231F20"/>
        </w:rPr>
        <w:t xml:space="preserve"> Bitcoin earned is </w:t>
      </w:r>
      <w:r>
        <w:rPr>
          <w:rFonts w:ascii="Times New Roman" w:cs="Times New Roman" w:eastAsia="Times New Roman" w:hAnsi="Times New Roman"/>
          <w:sz w:val="18"/>
          <w:szCs w:val="18"/>
          <w:color w:val="000000"/>
        </w:rPr>
        <w:t>measured at fair value at contract inception and is recognized in revenue over the contract term as hashrate is provided.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Cost of revenue consists of direct production costs of bitcoin mining operations, primarily electricity expenses, as well as other facilities costs, but excludes depreciation which is separately stated.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18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Compensation and benefits includes payroll and payroll-related expenses, as well as stock based compensation awarded to employees of the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02"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represent insurance expense, rent expense, professional fees, including accounting and audit, consulting, legal, public relations and/or investor relations expenses, non-income taxes and licenses, travel, and other expenses. We expect our administrative fees to remain high as we incur the ongoing costs of operating as a public company, including increased director and officer insurance costs, and increased travel and conference participation expenses.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w:t>
      </w:r>
    </w:p>
    <w:p>
      <w:pPr>
        <w:spacing w:after="0" w:line="189" w:lineRule="exact"/>
        <w:rPr>
          <w:sz w:val="20"/>
          <w:szCs w:val="20"/>
          <w:color w:val="auto"/>
        </w:rPr>
      </w:pPr>
    </w:p>
    <w:p>
      <w:pPr>
        <w:jc w:val="both"/>
        <w:ind w:right="40" w:firstLine="648"/>
        <w:spacing w:after="0" w:line="258" w:lineRule="auto"/>
        <w:rPr>
          <w:sz w:val="20"/>
          <w:szCs w:val="20"/>
          <w:color w:val="auto"/>
        </w:rPr>
      </w:pPr>
      <w:r>
        <w:rPr>
          <w:rFonts w:ascii="Times New Roman" w:cs="Times New Roman" w:eastAsia="Times New Roman" w:hAnsi="Times New Roman"/>
          <w:sz w:val="18"/>
          <w:szCs w:val="18"/>
          <w:color w:val="auto"/>
        </w:rPr>
        <w:t>Our depreciation expense consists mainly of depreciation for our miners and mining equipment, as well as depreciation associated with leasehold improvements and other capitalized assets. We capitalize the cost of our mining machines and record depreciation expense on a straight-line basis over the estimated useful life of the machines, which is generally 3 years. Leasehold improvements include capitalized asset retirement costs, which are amortized over the estimated useful life of the related asset. All other leasehold improvements are depreciated over the lesser of the estimated useful life of the asset or the remaining life of the related lease.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derivative asset and power sales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 in fair value of derivative asset represents the changes in fair value of the Luminant Power Agreement recorded during the reporting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 losses of equity investees</w:t>
      </w:r>
    </w:p>
    <w:p>
      <w:pPr>
        <w:spacing w:after="0" w:line="20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Equity in losses of equity investees includes our share of the losses recorded by Alborz LLC, Bear LLC and Chief Mountain LLC. Additionally, it includes the losses that we recognized upon our contributions of miners to these equity investees, due to the miners having a lower fair value at the time of the contributions than our costs paid to obtain them, which resulted in basis differences between the cost of the investments on our consolidated balance sheet and the amount of our underlying equity in the net assets of the investee attributed to the miners. We are accreting these basis differences and recognizing the accretion as a reduction to our share of the losses recognized by Alborz LLC, Bear LLC and Chief Mountain LLC within the equity in losses of equity investees on the consolidated statements of operations over the depreciation period for the miners.</w:t>
      </w: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92" w:right="3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fair value of bitcoin and realized gain/loss on sale of bitcoin</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All of our bitcoin is recorded as a current asset on our consolidated balance sheet as we expect to begin regularly exchanging our bitcoin held for fiat currency to fund our operating expenses. We adopted ASU 2023-08 </w:t>
      </w:r>
      <w:r>
        <w:rPr>
          <w:rFonts w:ascii="Times New Roman" w:cs="Times New Roman" w:eastAsia="Times New Roman" w:hAnsi="Times New Roman"/>
          <w:sz w:val="18"/>
          <w:szCs w:val="18"/>
          <w:i w:val="1"/>
          <w:iCs w:val="1"/>
          <w:color w:val="auto"/>
        </w:rPr>
        <w:t>Accounting for and Disclosure of Crypto Assets</w:t>
      </w:r>
      <w:r>
        <w:rPr>
          <w:rFonts w:ascii="Times New Roman" w:cs="Times New Roman" w:eastAsia="Times New Roman" w:hAnsi="Times New Roman"/>
          <w:sz w:val="18"/>
          <w:szCs w:val="18"/>
          <w:color w:val="auto"/>
        </w:rPr>
        <w:t xml:space="preserve"> (“ASU 2023-08”) effective January 1, 2023, which requires cryptocurrencies to be measured at fair value each reporting period with changes in fair value being reported in net income.</w:t>
      </w:r>
    </w:p>
    <w:p>
      <w:pPr>
        <w:spacing w:after="0" w:line="135"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bitcoin has been highly volatile since we began to obtain bitcoin through our operating activities, which has impacted our operating results and we expect volatility in the fair value of bitcoin to continue for the foreseeable future.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8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Our provision for income taxes primarily consists of U.S. deferred federal taxes. A valuation allowance is recorded against substantially all of our net deferred tax assets, which are composed primarily of federal and state net operating loss carryforwards, stock-based compensation, intangible assets other than goodwill, investments in joint ventures and lease liabilities; in addition, we have deferred tax liabilities resulting from our derivative and right-to-use assets. Our ability to offset our deferred tax liabilities with our deferred tax assets is limited due to restrictions on the ability to offset taxable income by more than eighty percent with federal net operating losses. As a result, we have recorded a deferred tax liability for the amount of future taxable income that is not expected to be covered by net operating losses. We evaluate our ability to recognize our deferred tax assets annually by considering all positive and negative evidence available as proscribed by the Financial Accounting Standards Board (“FASB”) under its general principles of Accounting Standards Codification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52" w:name="page53"/>
    <w:bookmarkEnd w:id="52"/>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indicated (in thousands):</w:t>
      </w:r>
    </w:p>
    <w:p>
      <w:pPr>
        <w:spacing w:after="0" w:line="241" w:lineRule="exact"/>
        <w:rPr>
          <w:sz w:val="20"/>
          <w:szCs w:val="20"/>
          <w:color w:val="auto"/>
        </w:rPr>
      </w:pPr>
    </w:p>
    <w:tbl>
      <w:tblPr>
        <w:tblLayout w:type="fixed"/>
        <w:tblInd w:w="700" w:type="dxa"/>
        <w:tblCellMar>
          <w:top w:w="0" w:type="dxa"/>
          <w:left w:w="0" w:type="dxa"/>
          <w:bottom w:w="0" w:type="dxa"/>
          <w:right w:w="0" w:type="dxa"/>
        </w:tblCellMar>
      </w:tblPr>
      <w:tr>
        <w:trPr>
          <w:trHeight w:val="225"/>
        </w:trPr>
        <w:tc>
          <w:tcPr>
            <w:tcW w:w="466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r>
      <w:tr>
        <w:trPr>
          <w:trHeight w:val="237"/>
        </w:trPr>
        <w:tc>
          <w:tcPr>
            <w:tcW w:w="46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 bitcoin mining</w:t>
            </w:r>
          </w:p>
        </w:tc>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223,942</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151,270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126,842</w:t>
            </w:r>
          </w:p>
        </w:tc>
      </w:tr>
      <w:tr>
        <w:trPr>
          <w:trHeight w:val="213"/>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operating (expenses) income</w:t>
            </w:r>
          </w:p>
        </w:tc>
        <w:tc>
          <w:tcPr>
            <w:tcW w:w="10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53"/>
        </w:trPr>
        <w:tc>
          <w:tcPr>
            <w:tcW w:w="4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Cost of revenue</w:t>
            </w:r>
          </w:p>
        </w:tc>
        <w:tc>
          <w:tcPr>
            <w:tcW w:w="10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(81,216)</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(62,364)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(50,309)</w:t>
            </w:r>
          </w:p>
        </w:tc>
      </w:tr>
      <w:tr>
        <w:trPr>
          <w:trHeight w:val="233"/>
        </w:trPr>
        <w:tc>
          <w:tcPr>
            <w:tcW w:w="4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10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(79,129)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(60,796)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(57,399)</w:t>
            </w:r>
          </w:p>
        </w:tc>
      </w:tr>
      <w:tr>
        <w:trPr>
          <w:trHeight w:val="253"/>
        </w:trPr>
        <w:tc>
          <w:tcPr>
            <w:tcW w:w="4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(36,382)</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(32,655)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(27,796)</w:t>
            </w:r>
          </w:p>
        </w:tc>
      </w:tr>
      <w:tr>
        <w:trPr>
          <w:trHeight w:val="233"/>
        </w:trPr>
        <w:tc>
          <w:tcPr>
            <w:tcW w:w="4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(198,973)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(102,448)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(59,093)</w:t>
            </w:r>
          </w:p>
        </w:tc>
      </w:tr>
      <w:tr>
        <w:trPr>
          <w:trHeight w:val="253"/>
        </w:trPr>
        <w:tc>
          <w:tcPr>
            <w:tcW w:w="4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Change in fair value of power purchase agreement</w:t>
            </w:r>
          </w:p>
        </w:tc>
        <w:tc>
          <w:tcPr>
            <w:tcW w:w="10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(28,860)</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26,836</w:t>
            </w:r>
          </w:p>
        </w:tc>
      </w:tr>
      <w:tr>
        <w:trPr>
          <w:trHeight w:val="233"/>
        </w:trPr>
        <w:tc>
          <w:tcPr>
            <w:tcW w:w="4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Power sales</w:t>
            </w:r>
          </w:p>
        </w:tc>
        <w:tc>
          <w:tcPr>
            <w:tcW w:w="10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9,941</w:t>
            </w:r>
          </w:p>
        </w:tc>
      </w:tr>
      <w:tr>
        <w:trPr>
          <w:trHeight w:val="253"/>
        </w:trPr>
        <w:tc>
          <w:tcPr>
            <w:tcW w:w="4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Equity in losses of equity investees</w:t>
            </w:r>
          </w:p>
        </w:tc>
        <w:tc>
          <w:tcPr>
            <w:tcW w:w="10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(20,822)</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(2,530)</w:t>
            </w:r>
          </w:p>
        </w:tc>
      </w:tr>
      <w:tr>
        <w:trPr>
          <w:trHeight w:val="233"/>
        </w:trPr>
        <w:tc>
          <w:tcPr>
            <w:tcW w:w="4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Unrealized (losses) gains on fair value of bitcoin</w:t>
            </w:r>
          </w:p>
        </w:tc>
        <w:tc>
          <w:tcPr>
            <w:tcW w:w="10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(41,603)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3,299</w:t>
            </w:r>
          </w:p>
        </w:tc>
      </w:tr>
      <w:tr>
        <w:trPr>
          <w:trHeight w:val="253"/>
        </w:trPr>
        <w:tc>
          <w:tcPr>
            <w:tcW w:w="4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Realized gains on sale of bitcoin</w:t>
            </w:r>
          </w:p>
        </w:tc>
        <w:tc>
          <w:tcPr>
            <w:tcW w:w="10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7,126</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51,548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7,739</w:t>
            </w:r>
          </w:p>
        </w:tc>
      </w:tr>
      <w:tr>
        <w:trPr>
          <w:trHeight w:val="237"/>
        </w:trPr>
        <w:tc>
          <w:tcPr>
            <w:tcW w:w="46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Other operating (losses) gains</w:t>
            </w:r>
          </w:p>
        </w:tc>
        <w:tc>
          <w:tcPr>
            <w:tcW w:w="10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(173,516)</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3,333</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2,355</w:t>
            </w:r>
          </w:p>
        </w:tc>
      </w:tr>
      <w:tr>
        <w:trPr>
          <w:trHeight w:val="237"/>
        </w:trPr>
        <w:tc>
          <w:tcPr>
            <w:tcW w:w="4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10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(645,505)</w:t>
            </w:r>
          </w:p>
        </w:tc>
        <w:tc>
          <w:tcPr>
            <w:tcW w:w="1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(194,969)</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(146,957)</w:t>
            </w:r>
          </w:p>
        </w:tc>
      </w:tr>
      <w:tr>
        <w:trPr>
          <w:trHeight w:val="236"/>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10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(421,563)</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(43,699)</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(20,115)</w:t>
            </w: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3"/>
        </w:trPr>
        <w:tc>
          <w:tcPr>
            <w:tcW w:w="4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Interest income</w:t>
            </w:r>
          </w:p>
        </w:tc>
        <w:tc>
          <w:tcPr>
            <w:tcW w:w="10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19,479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r>
      <w:tr>
        <w:trPr>
          <w:trHeight w:val="253"/>
        </w:trPr>
        <w:tc>
          <w:tcPr>
            <w:tcW w:w="4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Interest expense</w:t>
            </w:r>
          </w:p>
        </w:tc>
        <w:tc>
          <w:tcPr>
            <w:tcW w:w="10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(36,559)</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(1,999)</w:t>
            </w:r>
          </w:p>
        </w:tc>
      </w:tr>
      <w:tr>
        <w:trPr>
          <w:trHeight w:val="233"/>
        </w:trPr>
        <w:tc>
          <w:tcPr>
            <w:tcW w:w="4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10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19,290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r>
      <w:tr>
        <w:trPr>
          <w:trHeight w:val="246"/>
        </w:trPr>
        <w:tc>
          <w:tcPr>
            <w:tcW w:w="4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expense</w:t>
            </w:r>
          </w:p>
        </w:tc>
        <w:tc>
          <w:tcPr>
            <w:tcW w:w="10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(406,204)</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(2,544)</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36"/>
        </w:trPr>
        <w:tc>
          <w:tcPr>
            <w:tcW w:w="46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other expense</w:t>
            </w:r>
          </w:p>
        </w:tc>
        <w:tc>
          <w:tcPr>
            <w:tcW w:w="10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(403,994)</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(2,095)</w:t>
            </w:r>
          </w:p>
        </w:tc>
      </w:tr>
      <w:tr>
        <w:trPr>
          <w:trHeight w:val="24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taxes</w:t>
            </w:r>
          </w:p>
        </w:tc>
        <w:tc>
          <w:tcPr>
            <w:tcW w:w="10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(825,557)</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(44,317)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(22,210)</w:t>
            </w:r>
          </w:p>
        </w:tc>
      </w:tr>
      <w:tr>
        <w:trPr>
          <w:trHeight w:val="233"/>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income tax expense</w:t>
            </w:r>
          </w:p>
        </w:tc>
        <w:tc>
          <w:tcPr>
            <w:tcW w:w="10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24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benefit (expense)</w:t>
            </w:r>
          </w:p>
        </w:tc>
        <w:tc>
          <w:tcPr>
            <w:tcW w:w="10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4,269</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(3,366)</w:t>
            </w:r>
          </w:p>
        </w:tc>
      </w:tr>
      <w:tr>
        <w:trPr>
          <w:trHeight w:val="237"/>
        </w:trPr>
        <w:tc>
          <w:tcPr>
            <w:tcW w:w="46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Total income tax benefit (expense)</w:t>
            </w:r>
          </w:p>
        </w:tc>
        <w:tc>
          <w:tcPr>
            <w:tcW w:w="10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3,313</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(3,567)</w:t>
            </w:r>
          </w:p>
        </w:tc>
      </w:tr>
      <w:tr>
        <w:trPr>
          <w:trHeight w:val="23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(822,244)</w:t>
            </w:r>
          </w:p>
        </w:tc>
        <w:tc>
          <w:tcPr>
            <w:tcW w:w="1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(44,635)</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(25,777)</w:t>
            </w:r>
          </w:p>
        </w:tc>
      </w:tr>
      <w:tr>
        <w:trPr>
          <w:trHeight w:val="263"/>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Net loss attributable to redeemable noncontrolling interest</w:t>
            </w:r>
          </w:p>
        </w:tc>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available for common stockholders</w:t>
            </w:r>
          </w:p>
        </w:tc>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(822,244)</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(44,635)</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(25,777)</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Comparative Results for the Year Ended December 31, 2025 and 2024</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Revenue for the year ended December 31, 2025 was $223.9 million, compared to $151.3 million for the year ended December 31, 2024, and was generated from bitcoin mining operations at the Odessa and Black Pearl Facilities. The increase year over year was primarily driven by an increase in the average bitcoin price in the current year, partially offset by a decrease in the amount of bitcoin mined as a result of the bitcoin halving in April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0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Cost of revenue for the year ended December 31, 2025 was $81.2 million, compared with $62.4 million for the year ended December 31, 2024, and consisted primarily of power costs at our data centers. The increase is primarily due to increased power costs at the Black Pearl Facility which commenced mining operations in July 2025.</w:t>
      </w:r>
    </w:p>
    <w:p>
      <w:pPr>
        <w:spacing w:after="0" w:line="200" w:lineRule="exact"/>
        <w:rPr>
          <w:sz w:val="20"/>
          <w:szCs w:val="20"/>
          <w:color w:val="auto"/>
        </w:rPr>
      </w:pPr>
    </w:p>
    <w:p>
      <w:pPr>
        <w:spacing w:after="0" w:line="3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53" w:name="page54"/>
    <w:bookmarkEnd w:id="53"/>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87" w:lineRule="exact"/>
        <w:rPr>
          <w:sz w:val="20"/>
          <w:szCs w:val="20"/>
          <w:color w:val="auto"/>
        </w:rPr>
      </w:pPr>
    </w:p>
    <w:p>
      <w:pPr>
        <w:ind w:right="800" w:firstLine="648"/>
        <w:spacing w:after="0" w:line="282" w:lineRule="auto"/>
        <w:rPr>
          <w:sz w:val="20"/>
          <w:szCs w:val="20"/>
          <w:color w:val="auto"/>
        </w:rPr>
      </w:pPr>
      <w:r>
        <w:rPr>
          <w:rFonts w:ascii="Times New Roman" w:cs="Times New Roman" w:eastAsia="Times New Roman" w:hAnsi="Times New Roman"/>
          <w:sz w:val="18"/>
          <w:szCs w:val="18"/>
          <w:color w:val="auto"/>
        </w:rPr>
        <w:t>Compensation and benefits for the year ended December 31, 2025 was $79.1 million, an increase from $60.8 million for the year ended December 31, 2024, driven by an increase in headcount.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00"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for the year ended December 31, 2025 was $36.4 million, an increase of $3.7 million compared to $32.7 million for the year ended December 31, 2024. The increase was primarily driven by an increase in legal fees related to strategic initiatives, including our lease negotiations and financing transactions.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87"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Depreciation and amortization for the year ended December 31, 2025 was $199.0 million, an increase of $96.6 million compared to Depreciation and amortization of $102.4 million for the year ended December 31, 2024. The increase was primarily due to increased miners, and mining equipment at the Odessa Facility as a result of the Odessa fleet upgrade in the fourth quarter of 2024, increased fixed assets placed into service as a result of the Black Pearl Facility commencing operations in July 2025, and the change in the estimated useful life of our miners from five years to three years as of June 1, 2024.</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power purchase agreement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Change in fair value of power purchase agreement was a $28.9 million decrease for the year ended December 31, 2025 and was driven by the fair value of the Luminant Power Agreement. The estimated fair value of our power purchase agreement was derived from Level 2 and Level 3 inputs, and, due to a lack of quoted prices for similar type assets, is classified in Level 3 of the fair value hierarchy. Specifically, the discounted cash flow estimation models contain quoted spot and forward prices for electricity, as well as estimated usage rates consistent with the terms of the Luminant Power Agreement.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Power sales</w:t>
      </w:r>
    </w:p>
    <w:p>
      <w:pPr>
        <w:spacing w:after="0" w:line="20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At our Odessa Facility, we sell excess electricity that is available under the Luminant Power Agreement, but not needed in our mining operations, back to the ERCOT market through Luminant. We sold power for proceeds of $7.9 million and $5.4 million for the year ended December 31, 2025, and 2024, respectively. Power sales fluctuate each period based on power and bitcoin prices, which are volatile.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 losses of equity investees</w:t>
      </w:r>
    </w:p>
    <w:p>
      <w:pPr>
        <w:spacing w:after="0" w:line="18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Equity in losses of equity investees totaled $20.8 million for the year ended December 31, 2025 compared to $0.4 million for the year ended December 31, 2024. Equity in losses of equity investees consists of our 49% share in the losses generated by our three partially-owned bitcoin mining sites, and the accretion of the basis differences in our investments in the equity investees. For the year ended December 31, 2025, we recognized approximately $4.0 million as our 49% share of a one-time impairment charge on the miners of Alborz LLC, net of accretion.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Unrealized (losses) gains on fair value of bitcoin</w:t>
      </w:r>
    </w:p>
    <w:p>
      <w:pPr>
        <w:spacing w:after="0" w:line="18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Unrealized losses on fair value of bitcoin totaled $41.6 million for the year ended December 31, 2025, compared to Unrealized gains on fair value of bitcoin of $11.3 million for the year ended December 31, 2024. Unrealized (losses) gains on fair value of bitcoin is driven by the cost of bitcoin mined compared to the price of bitcoin at the end of the period.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Realized gains on sale of bitcoin</w:t>
      </w:r>
    </w:p>
    <w:p>
      <w:pPr>
        <w:spacing w:after="0" w:line="200"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Realized gains on sale of bitcoin totaled $7.1 million for the year ended December 31, 2025 compared to $51.5 million in the prior year period. In both periods, this is driven by selling bitcoin above our cost basis.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(income)</w:t>
      </w:r>
    </w:p>
    <w:p>
      <w:pPr>
        <w:spacing w:after="0" w:line="18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Other expense totaled $404.0 million for the year ended December 31, 2025, compared to $0.6 million of Other income for the year ended December 31, 2024. Other expense in the current year contains the loss on fair value of the embedded derivative component of our 2031 Convertible Notes of $450.4 million, which was required to be classified as a</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54" w:name="page55"/>
    <w:bookmarkEnd w:id="54"/>
    <w:p>
      <w:pPr>
        <w:spacing w:after="0" w:line="1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derivative at fair value until we obtained sufficient authorized shares to settle the convertible notes in common stock, partially offset by the gain in fair value of $45.1 million on our capped calls which were also required to be classified as a derivative at fair value until we obtained approval to increase the authorized shares, and the gain on fair value of our Warrant liability of $19.3 million.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benefit (expense)</w:t>
      </w:r>
    </w:p>
    <w:p>
      <w:pPr>
        <w:spacing w:after="0" w:line="187"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we recorded a provision for income taxes of $3.3 million as a result of projected taxable income for the current year in the jurisdictions which we operate. For the year ended December 31, 2024, we recorded a provision for income taxes of $0.3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Cash used in operations was $207.9 million for the year ended December 31, 2025. As of December 31, 2025, we had cash and cash equivalents of $628.3 million, total stockholders’ equity of $805.5 million and an accumulated deficit of $1,003.7 million. We fund operations primarily through a combination of at-the-market stock issuances, short-term and long-term financing arrangements, and bitcoin sales.</w:t>
      </w:r>
    </w:p>
    <w:p>
      <w:pPr>
        <w:spacing w:after="0" w:line="135"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have established an at-the-market sales agreement with Cantor Fitzgerald &amp; Co., Canaccord Genuity LLC, Needham &amp; Company, LLC, Compass Point Research &amp; Trading, LLC, Keefe, Bruyette &amp; Woods, Inc., Virtu Americas LLC, and BTIG, LLC (each, an “Agent” and, together, the “Agents”), pursuant to which we may, from time to time, sell shares of our common stock having an aggregate offering price of up to $725.7 million. For the year ended December 31, 2025, we received net proceeds on sales of 33.3 million shares of common stock under the Amended and Restated Sales Agreement of approximately $195.5 million (net of commissions and expenses) at an average net selling price of $5.88 per share. For more information on our at-the-market sales agreement and our at-the-market offerings, see </w:t>
      </w:r>
      <w:r>
        <w:rPr>
          <w:rFonts w:ascii="Times New Roman" w:cs="Times New Roman" w:eastAsia="Times New Roman" w:hAnsi="Times New Roman"/>
          <w:sz w:val="18"/>
          <w:szCs w:val="18"/>
          <w:i w:val="1"/>
          <w:iCs w:val="1"/>
          <w:color w:val="auto"/>
        </w:rPr>
        <w:t>Note 17. Stockholders’ Equity</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We have a master loan agreement with Coinbase Credit, Inc., as lender, and Coinbase, Inc., as lending service provider. Pursuant to the master loan agreement, we currently have a secured line of credit up to $25.0 million (the “Coinbase Overnight Credit Facility”), subject to credit review. We will not incur commitment fees for unused portions of the Coinbase Overnight Credit Facility. The borrowing rate on amounts drawn against the Coinbase Overnight Credit Facility is determined on the basis of the Federal Funds Target Rate - Upper Bound, plus 2.5%, calculated daily based on a 365-day year and payable monthly for the duration of the loan. Borrowings under the Coinbase Overnight Credit Facility are available on demand, open term, and collateralized by bitcoin transferred to the lending service provider’s platform. As of December 31, 2025 we had nothing drawn on the Coinbase Overnight Credit Facility.</w:t>
      </w:r>
    </w:p>
    <w:p>
      <w:pPr>
        <w:spacing w:after="0" w:line="148"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also have a $100.0 million secured credit facility with Two Prime Lending Limited (“Two Prime Credit Facility”). Borrowings on this facility will be backed by the Company’s bitcoin held in a triparty account. We have not drawn on the Two Prime Credit Facility, and as such we had nothing outstanding on this facility as of December 31, 2025.</w:t>
      </w:r>
    </w:p>
    <w:p>
      <w:pPr>
        <w:spacing w:after="0" w:line="135"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On May 22, 2025, we issued $172.5 million principal amount of convertible notes due in 2030 with an interest rate of 1.75% (the “2030 Convertible Notes”). The 2030 Convertible Notes are senior, unsecured obligations with interest due semiannually on May 15 and November 15 each year beginning on November 15, 2025.</w:t>
      </w:r>
    </w:p>
    <w:p>
      <w:pPr>
        <w:spacing w:after="0" w:line="14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September 30, 2025, we issued an aggregate principal amount of $1,300.0 million of 0.00% Convertible Senior Notes due 2031 (the “2031 Convertible Notes” and together with the 2030 Convertible Notes, the “Convertible Notes”). With the net proceeds of the 2031 Convertible Notes, we funded capped call transactions which are generally expected to reduce the potential dilution of the Company’s common stock that will initially underlie the 2031 Convertible Notes, and expect to use the remaining proceeds to finance a portion of the construction at the Barber Lake Facility, continue to develop our sites, and for general corporate purposes.</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For more information on our 2030 Convertible Notes and 2031 Convertible Notes, see </w:t>
      </w:r>
      <w:r>
        <w:rPr>
          <w:rFonts w:ascii="Times New Roman" w:cs="Times New Roman" w:eastAsia="Times New Roman" w:hAnsi="Times New Roman"/>
          <w:sz w:val="18"/>
          <w:szCs w:val="18"/>
          <w:i w:val="1"/>
          <w:iCs w:val="1"/>
          <w:color w:val="auto"/>
        </w:rPr>
        <w:t>Note 16. Debt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Management believes that our existing financial resources, combined with projected cash and bitcoin inflows from our data centers, our intent and ability to sell bitcoin received or earned, and our intent and ability to sell common stock through at-the-market offerings will be sufficient to enable us to meet our operating and capital requirements for at least 12 months from the date the consolidated financial statements included in this Annual Report are issued and the foreseeable future.</w:t>
      </w:r>
    </w:p>
    <w:p>
      <w:pPr>
        <w:spacing w:after="0" w:line="200" w:lineRule="exact"/>
        <w:rPr>
          <w:sz w:val="20"/>
          <w:szCs w:val="20"/>
          <w:color w:val="auto"/>
        </w:rPr>
      </w:pPr>
    </w:p>
    <w:p>
      <w:pPr>
        <w:spacing w:after="0" w:line="3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92"/>
        </w:trPr>
        <w:tc>
          <w:tcPr>
            <w:tcW w:w="800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w w:val="99"/>
              </w:rPr>
              <w:t>The following table summarizes our sources and uses of cash for the periods indicated (in thousands):</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45"/>
        </w:trPr>
        <w:tc>
          <w:tcPr>
            <w:tcW w:w="5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
        </w:trPr>
        <w:tc>
          <w:tcPr>
            <w:tcW w:w="58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5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97"/>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5860" w:type="dxa"/>
            <w:vAlign w:val="bottom"/>
            <w:tcBorders>
              <w:bottom w:val="single" w:sz="8" w:color="CCEC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CFF"/>
            </w:tcBorders>
            <w:shd w:val="clear" w:color="auto" w:fill="CCECFF"/>
          </w:tcPr>
          <w:p>
            <w:pPr>
              <w:ind w:left="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00" w:type="dxa"/>
            <w:vAlign w:val="bottom"/>
            <w:tcBorders>
              <w:bottom w:val="single" w:sz="8" w:color="CCECFF"/>
            </w:tcBorders>
            <w:shd w:val="clear" w:color="auto" w:fill="CCEC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(207,938)</w:t>
            </w:r>
          </w:p>
        </w:tc>
        <w:tc>
          <w:tcPr>
            <w:tcW w:w="100" w:type="dxa"/>
            <w:vAlign w:val="bottom"/>
            <w:tcBorders>
              <w:bottom w:val="single" w:sz="8" w:color="CCECFF"/>
            </w:tcBorders>
            <w:shd w:val="clear" w:color="auto" w:fill="CCECFF"/>
          </w:tcPr>
          <w:p>
            <w:pPr>
              <w:spacing w:after="0"/>
              <w:rPr>
                <w:sz w:val="21"/>
                <w:szCs w:val="21"/>
                <w:color w:val="auto"/>
              </w:rPr>
            </w:pPr>
          </w:p>
        </w:tc>
        <w:tc>
          <w:tcPr>
            <w:tcW w:w="300" w:type="dxa"/>
            <w:vAlign w:val="bottom"/>
            <w:tcBorders>
              <w:bottom w:val="single" w:sz="8" w:color="CCECFF"/>
            </w:tcBorders>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(87,511)</w:t>
            </w:r>
          </w:p>
        </w:tc>
        <w:tc>
          <w:tcPr>
            <w:tcW w:w="100" w:type="dxa"/>
            <w:vAlign w:val="bottom"/>
          </w:tcPr>
          <w:p>
            <w:pPr>
              <w:spacing w:after="0"/>
              <w:rPr>
                <w:sz w:val="21"/>
                <w:szCs w:val="21"/>
                <w:color w:val="auto"/>
              </w:rPr>
            </w:pPr>
          </w:p>
        </w:tc>
        <w:tc>
          <w:tcPr>
            <w:tcW w:w="380" w:type="dxa"/>
            <w:vAlign w:val="bottom"/>
            <w:tcBorders>
              <w:bottom w:val="single" w:sz="8" w:color="CCECFF"/>
            </w:tcBorders>
            <w:shd w:val="clear" w:color="auto" w:fill="CCEC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(94,241)</w:t>
            </w:r>
          </w:p>
        </w:tc>
      </w:tr>
      <w:tr>
        <w:trPr>
          <w:trHeight w:val="243"/>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52,755</w:t>
            </w:r>
          </w:p>
        </w:tc>
      </w:tr>
      <w:tr>
        <w:trPr>
          <w:trHeight w:val="27"/>
        </w:trPr>
        <w:tc>
          <w:tcPr>
            <w:tcW w:w="5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860" w:type="dxa"/>
            <w:vAlign w:val="bottom"/>
            <w:tcBorders>
              <w:bottom w:val="single" w:sz="8" w:color="CCECFF"/>
            </w:tcBorders>
            <w:shd w:val="clear" w:color="auto" w:fill="CCECFF"/>
          </w:tcPr>
          <w:p>
            <w:pPr>
              <w:ind w:left="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00" w:type="dxa"/>
            <w:vAlign w:val="bottom"/>
            <w:tcBorders>
              <w:bottom w:val="single" w:sz="8" w:color="CCECFF"/>
            </w:tcBorders>
            <w:shd w:val="clear" w:color="auto" w:fill="CCECFF"/>
          </w:tcPr>
          <w:p>
            <w:pPr>
              <w:spacing w:after="0"/>
              <w:rPr>
                <w:sz w:val="23"/>
                <w:szCs w:val="23"/>
                <w:color w:val="auto"/>
              </w:rPr>
            </w:pPr>
          </w:p>
        </w:tc>
        <w:tc>
          <w:tcPr>
            <w:tcW w:w="13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3,189,203</w:t>
            </w:r>
          </w:p>
        </w:tc>
        <w:tc>
          <w:tcPr>
            <w:tcW w:w="100" w:type="dxa"/>
            <w:vAlign w:val="bottom"/>
            <w:tcBorders>
              <w:bottom w:val="single" w:sz="8" w:color="CCECFF"/>
            </w:tcBorders>
            <w:shd w:val="clear" w:color="auto" w:fill="CCECFF"/>
          </w:tcPr>
          <w:p>
            <w:pPr>
              <w:spacing w:after="0"/>
              <w:rPr>
                <w:sz w:val="23"/>
                <w:szCs w:val="23"/>
                <w:color w:val="auto"/>
              </w:rPr>
            </w:pPr>
          </w:p>
        </w:tc>
        <w:tc>
          <w:tcPr>
            <w:tcW w:w="300" w:type="dxa"/>
            <w:vAlign w:val="bottom"/>
            <w:tcBorders>
              <w:bottom w:val="single" w:sz="8" w:color="CCECFF"/>
            </w:tcBorders>
            <w:shd w:val="clear" w:color="auto" w:fill="CCECFF"/>
          </w:tcPr>
          <w:p>
            <w:pPr>
              <w:spacing w:after="0"/>
              <w:rPr>
                <w:sz w:val="23"/>
                <w:szCs w:val="23"/>
                <w:color w:val="auto"/>
              </w:rPr>
            </w:pPr>
          </w:p>
        </w:tc>
        <w:tc>
          <w:tcPr>
            <w:tcW w:w="14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213,512</w:t>
            </w:r>
          </w:p>
        </w:tc>
        <w:tc>
          <w:tcPr>
            <w:tcW w:w="100" w:type="dxa"/>
            <w:vAlign w:val="bottom"/>
          </w:tcPr>
          <w:p>
            <w:pPr>
              <w:spacing w:after="0"/>
              <w:rPr>
                <w:sz w:val="23"/>
                <w:szCs w:val="23"/>
                <w:color w:val="auto"/>
              </w:rPr>
            </w:pPr>
          </w:p>
        </w:tc>
        <w:tc>
          <w:tcPr>
            <w:tcW w:w="380" w:type="dxa"/>
            <w:vAlign w:val="bottom"/>
            <w:tcBorders>
              <w:bottom w:val="single" w:sz="8" w:color="CCECFF"/>
            </w:tcBorders>
            <w:shd w:val="clear" w:color="auto" w:fill="CCECFF"/>
          </w:tcPr>
          <w:p>
            <w:pPr>
              <w:spacing w:after="0"/>
              <w:rPr>
                <w:sz w:val="23"/>
                <w:szCs w:val="23"/>
                <w:color w:val="auto"/>
              </w:rPr>
            </w:pPr>
          </w:p>
        </w:tc>
        <w:tc>
          <w:tcPr>
            <w:tcW w:w="13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115,664</w:t>
            </w:r>
          </w:p>
        </w:tc>
      </w:tr>
      <w:tr>
        <w:trPr>
          <w:trHeight w:val="237"/>
        </w:trPr>
        <w:tc>
          <w:tcPr>
            <w:tcW w:w="5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increase (decrease) in cash and cash equivalents, and restricted cash</w:t>
            </w: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2,644,654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(66,128)</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74,178</w:t>
            </w:r>
          </w:p>
        </w:tc>
      </w:tr>
      <w:tr>
        <w:trPr>
          <w:trHeight w:val="27"/>
        </w:trPr>
        <w:tc>
          <w:tcPr>
            <w:tcW w:w="58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58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0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increased by $120.4 million to $207.9 million for the year ended December 31, 2025 from $87.5 million for the year ended December 31, 2024. We incurred a net loss of $822.2 million for the year ended December 31, 2025, compared to a net loss of $44.6 million for the year ended December 31, 2024, representing an increase of $777.6 million. Cash flows used in operating activities was impacted by a $657.2 million increase in non-cash items, primarily driven by the change in fair value of embedded derivative of $450.4 million, impairment of long-lived assets of $45.3 million, write-down of assets held for sale of $96.1 million, $96.5 million increase in depreciation, an increase of $20.4 million in equity in losses of equity investees, partially offset by an increase of $72.6 million in non-cash consideration received for services and a decrease of $19.0 million in the change in fair value of our warrants. Additionally, changes in assets and liabilities resulted in an increase in cash used of $86.4 million between the year ended December 31, 2025 and 2024.</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8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Cash used in investing activities increased by $144.5 million to $336.6 million of net cash used in investing activities for the year ended December 31, 2025 compared to $192.1 million of net cash used in investing activities for the year ended December 31, 2024. This change primarily related to an increase of $348.4 million in purchases of property and equipment related to building out the Black Pearl and Barber Lake Facilities and new miner purchases, partially offset by a decrease of $158.1 million in deposits on equipment and an increase of $65.9 million in proceeds from the sale of bitcoin.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Cash flows provided by financing activities increased by $2,975.7 million to $3,189.2 million net cash provided by financing activities for the year ended December 31, 2025 from $213.5 million net cash provided by financing activities for the year ended December 31, 2024. This change was primarily driven by $3,145.8 million of proceeds from the issuance of notes, net of issuance costs, and $50.0 million of proceeds from treasury stock reissued for PIPE investment, partially offset by a $26.2 million decrease in proceeds from the issuance of common stock, a $61.9 million increase in cash used to repurchase common shares to pay employee withholding taxes, and $82.7 million of cash used in the purchase of capped call options during the year ended December 31, 2025.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Commitments</w:t>
      </w:r>
    </w:p>
    <w:p>
      <w:pPr>
        <w:spacing w:after="0" w:line="202"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On December 17, 2021, we entered into a lease agreement for office space, amended in the second quarter of 2024, with a term through May 2029. Monthly rent payments associated with the amended lease are approximately $0.2 million.</w:t>
      </w:r>
    </w:p>
    <w:p>
      <w:pPr>
        <w:spacing w:after="0" w:line="121"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also entered into a series of agreements with affiliates of Luminant ET Services Company LLC (“Luminant”), including the Lease Agreement dated June 29, 2021, with amendment and restatement on July 9, 2021 (as amended and restated, the “Luminant Lease Agreement”). The Luminant Lease Agreement leases a plot of land to us where our data center, ancillary infrastructure and electrical system (the “Interconnection Electrical Facilities” or “substation”) have been set up for our Odessa Facility. We entered into the Luminant Lease Agreement and the Luminant Purchase and Sale Agreement to build the infrastructure necessary to support our planned operations. Management determined that the Luminant Lease Agreement and the Luminant Purchase and Sale Agreement should be combined for accounting purposes under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(collectively, the “Combined Luminant Lease Agreement”) and that amounts</w:t>
      </w:r>
    </w:p>
    <w:p>
      <w:pPr>
        <w:spacing w:after="0" w:line="200" w:lineRule="exact"/>
        <w:rPr>
          <w:sz w:val="20"/>
          <w:szCs w:val="20"/>
          <w:color w:val="auto"/>
        </w:rPr>
      </w:pPr>
    </w:p>
    <w:p>
      <w:pPr>
        <w:spacing w:after="0" w:line="3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exchanged under the combined contract should be allocated to the various components of the overall transaction based on relative fair values.</w:t>
      </w:r>
    </w:p>
    <w:p>
      <w:pPr>
        <w:spacing w:after="0" w:line="185"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Our management determined that the Combined Luminant Lease Agreement contains two lease components; and the components should be accounted for together as a single lease component, because the effect of accounting for the land lease separately would be insignificant.</w:t>
      </w:r>
    </w:p>
    <w:p>
      <w:pPr>
        <w:spacing w:after="0" w:line="121"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Combined Luminant Lease Agreement commenced on November 22, 2022 and has an initial term of five years, with renewal provisions that are aligned with the Luminant Power Agreement. Financing for use of the land and substation is provided by Luminant affiliates. Despite lease commencement in November 2022, we had not been required by Luminant to make any lease payments for the substation prior to July 2023, therefore we accrued amounts due under the Combined Luminant Lease Agreement in accrued expenses and other current liabilities on its consolidated balance sheet.</w:t>
      </w:r>
    </w:p>
    <w:p>
      <w:pPr>
        <w:spacing w:after="0" w:line="15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On August 23, 2023, we entered into a second amendment of the Luminant Lease Agreement, the terms of which included an amended payment schedule, reflecting monthly installments of principal and interest totaling $19.7 million on an undiscounted basis, due over the remaining four-year period starting in July 2023. This amendment did not have a material impact on our consolidated financial statements.</w:t>
      </w:r>
    </w:p>
    <w:p>
      <w:pPr>
        <w:spacing w:after="0" w:line="13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At the end of the lease term for the Interconnection Electrical Facilities, the substation will be sold back to Luminant’s affiliate, Vistra Operations Company, LLC at a price to be determined based upon bids obtained in the secondary market.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0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This press release includes supplemental financial measures for Adjusted Earnings (Loss) and Adjusted Earnings (Loss) per share - diluted, in each case that exclude the impact of (i) the non-cash change in fair value of derivative asset, (ii) share-based compensation expense, (iii) depreciation and amortization, (iv) deferred income tax expense, (v) nonrecurring gains and losses, (vi) the non-cash change in fair value of warrant liability, (vii) non-cash losses related to miners reclassified as held for sale, (viii) impairment of long-lived assets, and (ix) non-cash disposal of miners. These supplemental financial measures are not measurements of financial performance under accounting principles generally accepted in the United States (“GAAP”) and, as a result, these supplemental financial measures may not be comparable to similarly titled measures of other companies. Management uses these non-GAAP financial measures internally to help understand, manage, and evaluate our business performance and to help make operating decisions. We believe the use of these non-GAAP financial measures can also facilitate comparison of our operating results to those of our competitors by excluding certain items that vary in our industry based on company policy.</w:t>
      </w:r>
    </w:p>
    <w:p>
      <w:pPr>
        <w:spacing w:after="0" w:line="14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Non-GAAP financial measures are subject to material limitations as they are not in accordance with, or a substitute for, measurements prepared in accordance with GAAP. For example, we expect that share-based compensation expense, which is excluded from the non-GAAP financial measure, will continue to be a significant recurring expense over the coming years and is an important part of the compensation provided to certain employees, officers and directors. Similarly, we expect that depreciation and amortization will continue to be a recurring expense over the term of the useful life of the related assets. Our non-GAAP financial measures are not meant to be considered in isolation and should be read only in conjunction with our consolidated financial statements included elsewhere in this Annual Report, which have been prepared in accordance with GAAP. We rely primarily on such consolidated financial statements to understand, manage and evaluate our business performance and use the non-GAAP financial measures only supplementally.</w:t>
      </w:r>
    </w:p>
    <w:p>
      <w:pPr>
        <w:spacing w:after="0" w:line="151"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our Adjusted Earnings (loss) to the most directly comparable GAAP measure for the periods indicated (in thousands):</w:t>
      </w:r>
    </w:p>
    <w:p>
      <w:pPr>
        <w:spacing w:after="0" w:line="200" w:lineRule="exact"/>
        <w:rPr>
          <w:sz w:val="20"/>
          <w:szCs w:val="20"/>
          <w:color w:val="auto"/>
        </w:rPr>
      </w:pPr>
    </w:p>
    <w:p>
      <w:pPr>
        <w:spacing w:after="0" w:line="3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57" w:name="page58"/>
    <w:bookmarkEnd w:id="57"/>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0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r>
      <w:tr>
        <w:trPr>
          <w:trHeight w:val="236"/>
        </w:trPr>
        <w:tc>
          <w:tcPr>
            <w:tcW w:w="60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7"/>
        </w:trPr>
        <w:tc>
          <w:tcPr>
            <w:tcW w:w="60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Reconciliation of Adjusted Earnings:</w:t>
            </w: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(822,244)</w:t>
            </w:r>
          </w:p>
        </w:tc>
        <w:tc>
          <w:tcPr>
            <w:tcW w:w="5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(44,635)</w:t>
            </w:r>
          </w:p>
        </w:tc>
        <w:tc>
          <w:tcPr>
            <w:tcW w:w="14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(25,777)</w:t>
            </w:r>
          </w:p>
        </w:tc>
      </w:tr>
      <w:tr>
        <w:trPr>
          <w:trHeight w:val="27"/>
        </w:trPr>
        <w:tc>
          <w:tcPr>
            <w:tcW w:w="6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Change in fair value of power purchase agreement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28,860</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7,921</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(26,836)</w:t>
            </w:r>
          </w:p>
        </w:tc>
      </w:tr>
      <w:tr>
        <w:trPr>
          <w:trHeight w:val="243"/>
        </w:trPr>
        <w:tc>
          <w:tcPr>
            <w:tcW w:w="6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52,787</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42,132</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38,470</w:t>
            </w:r>
          </w:p>
        </w:tc>
      </w:tr>
      <w:tr>
        <w:trPr>
          <w:trHeight w:val="27"/>
        </w:trPr>
        <w:tc>
          <w:tcPr>
            <w:tcW w:w="6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198,973</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102,448</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59,093</w:t>
            </w:r>
          </w:p>
        </w:tc>
      </w:tr>
      <w:tr>
        <w:trPr>
          <w:trHeight w:val="243"/>
        </w:trPr>
        <w:tc>
          <w:tcPr>
            <w:tcW w:w="6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Deferred income tax (benefit) expense</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(4,269)</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w:t>
            </w:r>
          </w:p>
        </w:tc>
      </w:tr>
      <w:tr>
        <w:trPr>
          <w:trHeight w:val="27"/>
        </w:trPr>
        <w:tc>
          <w:tcPr>
            <w:tcW w:w="6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losses (gains) - nonrecurring</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416,688</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w:t>
            </w:r>
          </w:p>
        </w:tc>
      </w:tr>
      <w:tr>
        <w:trPr>
          <w:trHeight w:val="243"/>
        </w:trPr>
        <w:tc>
          <w:tcPr>
            <w:tcW w:w="6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(19,290)</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7"/>
        </w:trPr>
        <w:tc>
          <w:tcPr>
            <w:tcW w:w="6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miners held for sale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96,056</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Impairment of long lived assets</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45,317</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Disposal of miners</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29,358</w:t>
            </w:r>
          </w:p>
        </w:tc>
        <w:tc>
          <w:tcPr>
            <w:tcW w:w="1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0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Adjusted (loss) earnings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22,236</w:t>
            </w:r>
          </w:p>
        </w:tc>
        <w:tc>
          <w:tcPr>
            <w:tcW w:w="1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106,679</w:t>
            </w:r>
          </w:p>
        </w:tc>
        <w:tc>
          <w:tcPr>
            <w:tcW w:w="1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46,204</w:t>
            </w:r>
          </w:p>
        </w:tc>
      </w:tr>
      <w:tr>
        <w:trPr>
          <w:trHeight w:val="21"/>
        </w:trPr>
        <w:tc>
          <w:tcPr>
            <w:tcW w:w="6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our Adjusted Earnings (loss) per share - diluted to the most directly comparable GAAP measure for the periods indicated:</w:t>
      </w:r>
    </w:p>
    <w:p>
      <w:pPr>
        <w:spacing w:after="0" w:line="178"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30480</wp:posOffset>
            </wp:positionV>
            <wp:extent cx="328295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06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7"/>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Adjusted Earnings per share - diluted:</w:t>
            </w:r>
          </w:p>
        </w:tc>
        <w:tc>
          <w:tcPr>
            <w:tcW w:w="10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 diluted</w:t>
            </w:r>
          </w:p>
        </w:tc>
        <w:tc>
          <w:tcPr>
            <w:tcW w:w="1080" w:type="dxa"/>
            <w:vAlign w:val="bottom"/>
          </w:tcPr>
          <w:p>
            <w:pPr>
              <w:jc w:val="right"/>
              <w:ind w:right="87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(2.15)</w:t>
            </w:r>
          </w:p>
        </w:tc>
        <w:tc>
          <w:tcPr>
            <w:tcW w:w="160" w:type="dxa"/>
            <w:vAlign w:val="bottom"/>
          </w:tcPr>
          <w:p>
            <w:pPr>
              <w:spacing w:after="0"/>
              <w:rPr>
                <w:sz w:val="21"/>
                <w:szCs w:val="21"/>
                <w:color w:val="auto"/>
              </w:rPr>
            </w:pPr>
          </w:p>
        </w:tc>
        <w:tc>
          <w:tcPr>
            <w:tcW w:w="1060" w:type="dxa"/>
            <w:vAlign w:val="bottom"/>
          </w:tcPr>
          <w:p>
            <w:pPr>
              <w:jc w:val="right"/>
              <w:ind w:right="87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27"/>
        </w:trPr>
        <w:tc>
          <w:tcPr>
            <w:tcW w:w="6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power purchase agreement per diluted share</w:t>
            </w:r>
          </w:p>
        </w:tc>
        <w:tc>
          <w:tcPr>
            <w:tcW w:w="10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0.07</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r>
      <w:tr>
        <w:trPr>
          <w:trHeight w:val="24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 per diluted share</w:t>
            </w:r>
          </w:p>
        </w:tc>
        <w:tc>
          <w:tcPr>
            <w:tcW w:w="1080" w:type="dxa"/>
            <w:vAlign w:val="bottom"/>
          </w:tcPr>
          <w:p>
            <w:pPr>
              <w:spacing w:after="0"/>
              <w:rPr>
                <w:sz w:val="21"/>
                <w:szCs w:val="21"/>
                <w:color w:val="auto"/>
              </w:rPr>
            </w:pPr>
          </w:p>
        </w:tc>
        <w:tc>
          <w:tcPr>
            <w:tcW w:w="5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0.14</w:t>
            </w: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7"/>
        </w:trPr>
        <w:tc>
          <w:tcPr>
            <w:tcW w:w="6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per diluted share</w:t>
            </w:r>
          </w:p>
        </w:tc>
        <w:tc>
          <w:tcPr>
            <w:tcW w:w="10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0.52</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r>
      <w:tr>
        <w:trPr>
          <w:trHeight w:val="24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(benefit) expense per diluted share</w:t>
            </w:r>
          </w:p>
        </w:tc>
        <w:tc>
          <w:tcPr>
            <w:tcW w:w="1080" w:type="dxa"/>
            <w:vAlign w:val="bottom"/>
          </w:tcPr>
          <w:p>
            <w:pPr>
              <w:spacing w:after="0"/>
              <w:rPr>
                <w:sz w:val="21"/>
                <w:szCs w:val="2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7"/>
        </w:trPr>
        <w:tc>
          <w:tcPr>
            <w:tcW w:w="6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losses (gains) - nonrecurring per diluted share</w:t>
            </w:r>
          </w:p>
        </w:tc>
        <w:tc>
          <w:tcPr>
            <w:tcW w:w="10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4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liability per diluted share</w:t>
            </w:r>
          </w:p>
        </w:tc>
        <w:tc>
          <w:tcPr>
            <w:tcW w:w="1080" w:type="dxa"/>
            <w:vAlign w:val="bottom"/>
          </w:tcPr>
          <w:p>
            <w:pPr>
              <w:spacing w:after="0"/>
              <w:rPr>
                <w:sz w:val="21"/>
                <w:szCs w:val="2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(0.05)</w:t>
            </w: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miners held for sale per diluted share</w:t>
            </w:r>
          </w:p>
        </w:tc>
        <w:tc>
          <w:tcPr>
            <w:tcW w:w="10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0.25</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long lived assets per diluted share</w:t>
            </w:r>
          </w:p>
        </w:tc>
        <w:tc>
          <w:tcPr>
            <w:tcW w:w="1080" w:type="dxa"/>
            <w:vAlign w:val="bottom"/>
          </w:tcPr>
          <w:p>
            <w:pPr>
              <w:spacing w:after="0"/>
              <w:rPr>
                <w:sz w:val="21"/>
                <w:szCs w:val="21"/>
                <w:color w:val="auto"/>
              </w:rPr>
            </w:pPr>
          </w:p>
        </w:tc>
        <w:tc>
          <w:tcPr>
            <w:tcW w:w="5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0.12</w:t>
            </w: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Disposal of miners per diluted share</w:t>
            </w:r>
          </w:p>
        </w:tc>
        <w:tc>
          <w:tcPr>
            <w:tcW w:w="10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0.08</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earnings per diluted share</w:t>
            </w:r>
          </w:p>
        </w:tc>
        <w:tc>
          <w:tcPr>
            <w:tcW w:w="1080" w:type="dxa"/>
            <w:vAlign w:val="bottom"/>
            <w:tcBorders>
              <w:top w:val="single" w:sz="8" w:color="auto"/>
              <w:bottom w:val="single" w:sz="8" w:color="auto"/>
            </w:tcBorders>
          </w:tcPr>
          <w:p>
            <w:pPr>
              <w:jc w:val="right"/>
              <w:ind w:right="87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0.06</w:t>
            </w:r>
          </w:p>
        </w:tc>
        <w:tc>
          <w:tcPr>
            <w:tcW w:w="16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ind w:right="87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0.17</w:t>
            </w:r>
          </w:p>
        </w:tc>
      </w:tr>
      <w:tr>
        <w:trPr>
          <w:trHeight w:val="20"/>
        </w:trPr>
        <w:tc>
          <w:tcPr>
            <w:tcW w:w="60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expenses during the reporting period. As of, and for the year ended December 31, 2025, the most significant estimates inherent in the preparation of our consolidated financial statements include, but are not limited to, those related to equity instruments issued in share-based compensation arrangements, valuations of level 3 assets and liabilities, determination of our asset retirement obligations, impairment on long-lived assets, and the valuation allowance associated with our deferred tax assets.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61"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the notes to our consolidated financial statements included elsewhere in this Annual Report, we believe that the following critical accounting policies are most important to understanding and evaluating our reported and future financial results.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8" w:name="page59"/>
    <w:bookmarkEnd w:id="58"/>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Information regarding recent accounting pronouncements applicable to us, adopted and not yet adopted as of the date of this report, is included in Note 2 to our consolidated financial statements located in “Part IV - Financial Statements, Item 1. Financial Statements” in this Annual Report.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0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Our financial assets and liabilities are accounted for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which defines fair value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requires an entity to maximize the use of observable inputs when measuring fair value and classifies those inputs into three levels:</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Observable inputs, such as quoted prices in active markets for identical assets and liabilities.</w:t>
      </w:r>
    </w:p>
    <w:p>
      <w:pPr>
        <w:spacing w:after="0" w:line="185" w:lineRule="exact"/>
        <w:rPr>
          <w:sz w:val="20"/>
          <w:szCs w:val="20"/>
          <w:color w:val="auto"/>
        </w:rPr>
      </w:pPr>
    </w:p>
    <w:p>
      <w:pPr>
        <w:ind w:left="660" w:right="60"/>
        <w:spacing w:after="0" w:line="266" w:lineRule="auto"/>
        <w:rPr>
          <w:sz w:val="20"/>
          <w:szCs w:val="20"/>
          <w:color w:val="auto"/>
        </w:rPr>
      </w:pPr>
      <w:r>
        <w:rPr>
          <w:rFonts w:ascii="Times New Roman" w:cs="Times New Roman" w:eastAsia="Times New Roman" w:hAnsi="Times New Roman"/>
          <w:sz w:val="18"/>
          <w:szCs w:val="18"/>
          <w:color w:val="auto"/>
        </w:rPr>
        <w:t>Level 2 – Inputs other than Level 1 inputs that are either directly or indirectly observable, such as quoted prices for similar assets or liabilities; quoted prices in markets that are not active; or other inputs that are observable or can be corroborated by observable market data for substantially the full term of the instrument’s anticipated life.</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 – Unobservable inputs in which there is little or no market data, which require the reporting entity to develop its own assumptions.</w:t>
      </w:r>
    </w:p>
    <w:p>
      <w:pPr>
        <w:spacing w:after="0" w:line="18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To the extent the valuation is based on models or inputs that are less observable or unobservable in the market, the determination of fair values requires more judgment. Accordingly, the degree of judgment exercised by management in determining fair value is greatest for instruments categorized as Level 3. A financial instrument’s level within the fair value hierarchy is based on the lowest level of any input that is significant to the fair value measurement.</w:t>
      </w:r>
    </w:p>
    <w:p>
      <w:pPr>
        <w:spacing w:after="0" w:line="139"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The carrying values reported in our consolidated balance sheets for cash (excluding cash equivalents which are recorded at fair value on a recurring basis), accounts payable and accrued expenses and other current liabilities are reasonable estimates of their fair values due to the short-term nature of these items.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Bitcoin</w:t>
      </w:r>
    </w:p>
    <w:p>
      <w:pPr>
        <w:spacing w:after="0" w:line="18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Bitcoin are included in current assets on our consolidated balance sheets. Bitcoin received through our wholly-owned mining activities are accounted for in connection with our revenue recognition policy. Bitcoin awarded to us as distributions-in-kind from equity investees are accounted for in accordance with ASC 845, </w:t>
      </w:r>
      <w:r>
        <w:rPr>
          <w:rFonts w:ascii="Times New Roman" w:cs="Times New Roman" w:eastAsia="Times New Roman" w:hAnsi="Times New Roman"/>
          <w:sz w:val="18"/>
          <w:szCs w:val="18"/>
          <w:i w:val="1"/>
          <w:iCs w:val="1"/>
          <w:color w:val="auto"/>
        </w:rPr>
        <w:t>Nonmonetary Transactions</w:t>
      </w:r>
      <w:r>
        <w:rPr>
          <w:rFonts w:ascii="Times New Roman" w:cs="Times New Roman" w:eastAsia="Times New Roman" w:hAnsi="Times New Roman"/>
          <w:sz w:val="18"/>
          <w:szCs w:val="18"/>
          <w:color w:val="auto"/>
        </w:rPr>
        <w:t>, and recorded at fair value upon receipt.</w:t>
      </w:r>
    </w:p>
    <w:p>
      <w:pPr>
        <w:spacing w:after="0" w:line="133"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Bitcoin we hold is accounted for under ASC 350-60, </w:t>
      </w:r>
      <w:r>
        <w:rPr>
          <w:rFonts w:ascii="Times New Roman" w:cs="Times New Roman" w:eastAsia="Times New Roman" w:hAnsi="Times New Roman"/>
          <w:sz w:val="18"/>
          <w:szCs w:val="18"/>
          <w:i w:val="1"/>
          <w:iCs w:val="1"/>
          <w:color w:val="auto"/>
        </w:rPr>
        <w:t>Crypto Assets</w:t>
      </w:r>
      <w:r>
        <w:rPr>
          <w:rFonts w:ascii="Times New Roman" w:cs="Times New Roman" w:eastAsia="Times New Roman" w:hAnsi="Times New Roman"/>
          <w:sz w:val="18"/>
          <w:szCs w:val="18"/>
          <w:color w:val="auto"/>
        </w:rPr>
        <w:t xml:space="preserve"> (“ASC 350-60”)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issued by the FASB in December 2023. Intangible assets under the scope of this subtopic are measured at fair value on our consolidated balance sheet. We determine the fair value of our bitcoin on a nonrecurring basis in accordance with ASC 820 based on quoted prices on the active trading platform (Level 1 inputs). Prior to the adoption of ASU 2023-08, bitcoin was accounted for as an intangible asset subject to impairment. Upon adoption of ASC 350-60 on January 1, 2023, we recorded an opening adjustment to retained earnings of $0.2 million.</w:t>
      </w:r>
    </w:p>
    <w:p>
      <w:pPr>
        <w:spacing w:after="0" w:line="15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Bitcoin awarded to us through our mining activities are included as an adjustment to reconcile net loss to cash used in operating activities on the consolidated statements of cash flows. Proceeds from sales of bitcoin sold nearly immediately are included within cash flows from operating activities, and proceeds from bitcoin held for over one week are included within cash flow from investing activities on the consolidated statements of cash flows and any realized gains or losses from such sales are included in costs and operating expenses (income) on the consolidated statements of operations. The receipt of bitcoin as distributions-in-kind from equity investees are included within investing activities on the consolidated statements of cash flows. Bitcoin are sold on a first-in-first-out (“FIFO”) basis.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asset</w:t>
      </w:r>
    </w:p>
    <w:p>
      <w:pPr>
        <w:spacing w:after="0" w:line="18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Management determined that, as of July 1, 2022, the Luminant Power Agreement meets the definition of a derivative under ASC 815,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Hedging</w:t>
      </w:r>
      <w:r>
        <w:rPr>
          <w:rFonts w:ascii="Times New Roman" w:cs="Times New Roman" w:eastAsia="Times New Roman" w:hAnsi="Times New Roman"/>
          <w:sz w:val="18"/>
          <w:szCs w:val="18"/>
          <w:color w:val="auto"/>
        </w:rPr>
        <w:t>. Because we have the ability to sell our electricity rather than take physical delivery, physical delivery is not probable through the entirety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contract and therefore, management does not believe the normal purchases and normal sales scope exception applies to the Luminant Power Agreement. Accordingly,</w:t>
      </w:r>
    </w:p>
    <w:p>
      <w:pPr>
        <w:spacing w:after="0" w:line="200" w:lineRule="exact"/>
        <w:rPr>
          <w:sz w:val="20"/>
          <w:szCs w:val="20"/>
          <w:color w:val="auto"/>
        </w:rPr>
      </w:pPr>
    </w:p>
    <w:p>
      <w:pPr>
        <w:spacing w:after="0" w:line="3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59" w:name="page60"/>
    <w:bookmarkEnd w:id="59"/>
    <w:p>
      <w:pPr>
        <w:spacing w:after="0" w:line="1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Luminant Power Agreement (the non-hedging derivative contract) is recorded at an estimated fair value each reporting period with the change in the fair value recorded in change in fair value of derivative asset in the consolidated statements of operations.</w:t>
      </w:r>
    </w:p>
    <w:p>
      <w:pPr>
        <w:spacing w:after="0" w:line="121" w:lineRule="exact"/>
        <w:rPr>
          <w:sz w:val="20"/>
          <w:szCs w:val="20"/>
          <w:color w:val="auto"/>
        </w:rPr>
      </w:pPr>
    </w:p>
    <w:p>
      <w:pPr>
        <w:ind w:right="220" w:firstLine="648"/>
        <w:spacing w:after="0" w:line="254" w:lineRule="auto"/>
        <w:rPr>
          <w:sz w:val="20"/>
          <w:szCs w:val="20"/>
          <w:color w:val="auto"/>
        </w:rPr>
      </w:pPr>
      <w:r>
        <w:rPr>
          <w:rFonts w:ascii="Times New Roman" w:cs="Times New Roman" w:eastAsia="Times New Roman" w:hAnsi="Times New Roman"/>
          <w:sz w:val="18"/>
          <w:szCs w:val="18"/>
          <w:color w:val="auto"/>
        </w:rPr>
        <w:t>The estimated fair value of our derivative asset was derived from Level 2 and Level 3 inputs (i.e., unobservable inputs) due to a lack of quoted prices for similar type assets and as such, is classified in Level 3 of the fair value hierarchy. Specifically, the discounted cash flow estimation models contain quoted spot and forward prices for electricity, as well as estimated usage rates consistent with the terms of the Luminant Power Agreement, the initial term of which is five years. The valuations performed by the third-party valuation firm engaged by management utilized pre-tax discount rates of 4.80% and 5.96% as of December 31, 2025 and December 31, 2024, respectively, and include observable market inputs, but also include unobservable inputs based on qualitative judgment related to company-specific risk factors. Unrealized gains associated with the derivative asset within the Level 3 category include changes in fair value that were attributable to amendments to the Luminant Power Agreement, changes to the quoted forward electricity rates, as well as unobservable inputs (e.g., changes in estimated usage rates and discount rate assumptions).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obligations</w:t>
      </w:r>
    </w:p>
    <w:p>
      <w:pPr>
        <w:spacing w:after="0" w:line="20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Asset retirement obligations relate to the legal obligations associated with the retirement of long-lived assets that result from the construction, development and/or normal operation of a long-lived asset. We currently have asset retirement obligations (“ARO”) recorded related to the construction of data centers and installation of the related electrical infrastructure at the Odessa and Black Pearl Facilities. ASC 410, </w:t>
      </w:r>
      <w:r>
        <w:rPr>
          <w:rFonts w:ascii="Times New Roman" w:cs="Times New Roman" w:eastAsia="Times New Roman" w:hAnsi="Times New Roman"/>
          <w:sz w:val="18"/>
          <w:szCs w:val="18"/>
          <w:i w:val="1"/>
          <w:iCs w:val="1"/>
          <w:color w:val="auto"/>
        </w:rPr>
        <w:t>Asset Retirement and Environmental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Obligations, </w:t>
      </w:r>
      <w:r>
        <w:rPr>
          <w:rFonts w:ascii="Times New Roman" w:cs="Times New Roman" w:eastAsia="Times New Roman" w:hAnsi="Times New Roman"/>
          <w:sz w:val="18"/>
          <w:szCs w:val="18"/>
          <w:color w:val="auto"/>
        </w:rPr>
        <w:t>requires an entity to record the fair value of a liability for an ARO in the period in which it is incurred if a reasonable estimate of fair value can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made. Due to the long lead time involved until decommissioning activities occur, we use a present value technique to estimate the liability. A liability for the fair value of the ARO based on the expected present value of estimated future decommissioning costs with a corresponding increase to the carrying value of the related long-lived asset (leasehold improvements) recorded upon commencement of the respective site leases. The estimated capitalized asset retirement costs are depreciated using the straight-line method over the estimated remaining useful life of the related long-lived asset, with such depreciation included in depreciation expense in the consolidated statements of operations. The AROs are accreted based on the original discount rate and is recognized as an increase in the carrying amount of the liability and as a charge to accretion expense, which is included in depreciation expense in the consolidated statements of operations. Annually, or more frequently if an event occurs that would dictate a change in assumptions or estimates underlying the obligation, management reassesses the AROs to determine whether any revisions to the obligation are necessary. Revisions to the estimated AROs for items such as (i) new liabilities incurred, (ii) liabilities settled during the period and (iii) revisions to estimated future cash flow requirements (if any), will result in adjustments to the related capitalized asset and corresponding liability.</w:t>
      </w:r>
    </w:p>
    <w:p>
      <w:pPr>
        <w:spacing w:after="0" w:line="15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 order to determine the fair value of an ARO, management makes certain estimates and assumptions including, among other things, projected cash flows, the borrowing interest rate and an assessment of market conditions that could significantly impact the estimated fair value. These estimates and assumptions are subjective.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equity investees</w:t>
      </w:r>
    </w:p>
    <w:p>
      <w:pPr>
        <w:spacing w:after="0" w:line="202"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account for investments using the equity method of accounting if the investments provide us with the ability to exercise significant influence, but not control, over our investees. Significant influence is generally deemed to exist if we have an ownership interest in the voting stock of an investee of between 20 percent and 50 percent, or an ownership interest greater than three to five percent in certain partnerships, unincorporated joint ventures and limited liability companies, although other factors are considered in determining whether the equity method of accounting is appropriate. Under this method, an investment in the common stock of an investee (including a joint venture) shall be initially measured and recorded at cost; however, an investor shall initially measure at fair value an investment in the common stock of an investee (including a joint venture) recognized upon the derecognition of a distinct nonfinancial asset at the time that control over the distinct nonfinancial asset is transferred to the equity investee, such as that which occurs upon our transfer of miners and mining equipment to a joint venture.</w:t>
      </w:r>
    </w:p>
    <w:p>
      <w:pPr>
        <w:spacing w:after="0" w:line="151"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Our investments are subsequently adjusted to recognize our share of net income or losses as they occur. We also adjust our investments upon receipt of bitcoin from an equity investee, which is accounted for as a distribution-in-kind. Our share of investees’ earnings or losses is recorded, net of taxes, within equity in losses of equity investees on the consolidated statements of operations. Additionally, our interest in the net assets of our equity method investees is reflected on the consolidated balance sheets. If, upon our contribution of nonfinancial assets to a joint venture, there is any difference between the cost of the investment and the amount of the underlying equity in the net assets of the investee, the difference</w:t>
      </w:r>
    </w:p>
    <w:p>
      <w:pPr>
        <w:spacing w:after="0" w:line="200" w:lineRule="exact"/>
        <w:rPr>
          <w:sz w:val="20"/>
          <w:szCs w:val="20"/>
          <w:color w:val="auto"/>
        </w:rPr>
      </w:pPr>
    </w:p>
    <w:p>
      <w:pPr>
        <w:spacing w:after="0" w:line="3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is required to be accounted for as if the investee were a consolidated subsidiary. If the difference is assigned to depreciable or amortizable assets or liabilities, then the difference should be amortized or accreted in connection with the equity earnings based on our proportionate share of the investee’s net income or loss. If we are unable to relate the difference to specific accounts of the investee, the difference should be considered goodwill.</w:t>
      </w:r>
    </w:p>
    <w:p>
      <w:pPr>
        <w:spacing w:after="0" w:line="135"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We consider whether the fair value of our equity method investments have declined below their carrying values whenever adverse events or changes in circumstances indicate that recorded values may not be recoverable. If we considered any such decline to be other than temporary (based on various factors, including historical financial results, success of the mining operations and the overall health of the investee’s industry), then we would record a write-down to the estimated fair value.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02"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Management reviews long-lived assets, including leases and investments, for impairment whenever events or changes in circumstances indicate that the carrying amount of an asset, asset group, or investment may not be recoverable.</w:t>
      </w:r>
    </w:p>
    <w:p>
      <w:pPr>
        <w:spacing w:after="0" w:line="12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Recoverability of assets to be held and used are measured by a comparison of the carrying amount of an asset to undiscounted future cash flows expected to be generated by the asset. Because the impairment test for long-lived assets held in use is based on estimated undiscounted cash flows, there may be instances where an asset or asset group is not considered impaired, even when its fair value may be less than its carrying value, because the asset or asset group is recoverable based on the cash flows to be generated over the estimated life of the asset or asset group. If such assets are considered to be impaired, the impairment to be recognized is measured by the amount by which the carrying amount of the assets exceeds the fair value of the assets.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0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account for leases in accordance with ASC 842. Accordingly, management determines whether an arrangement contains a lease at the inception of the arrangement. If a lease is determined to exist, the term of such lease is assessed based on the date on which the underlying asset is made available for our use by the lessor. Management’s assessment of the lease term reflects the non-cancelable term of the lease, inclusive of any rent-free periods and/or periods covered by early-termination options which we are reasonably certain of not exercising, as well as periods covered by renewal options which we are reasonably certain of exercising. We also determine lease classification as either operating or finance at lease commencement, which governs the pattern of expense recognition and the presentation reflected in the consolidated statements of operations over the lease term.</w:t>
      </w:r>
    </w:p>
    <w:p>
      <w:pPr>
        <w:spacing w:after="0" w:line="14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For leases with a term exceeding 12 months, a lease liability is recorded on our consolidated balance sheet at lease commencement reflecting the present value of our fixed minimum payment obligations over the lease term. A corresponding right-of-use (“ROU”) asset equal to the initial lease liability is also recorded, adjusted for any accrued or prepaid rents and/or unamortized initial direct costs incurred in connection with execution of the lease and reduced by any lease incentives received. For purposes of measuring the present value of our fixed payment obligations for a given lease, we use our incremental borrowing rate, determined based on information available at lease commencement, if rates implicit in our leasing arrangements are not readily determinable. Our incremental borrowing rate reflects the rate we would pay to borrow on a secured basis and incorporates the term and economic environment of the associated lease. ROU assets will be reviewed for impairment, consistent with other long-lived assets, whenever events or changes in circumstances indicate that the carrying amount of an asset may not be recoverable.</w:t>
      </w:r>
    </w:p>
    <w:p>
      <w:pPr>
        <w:spacing w:after="0" w:line="151"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Lease expense for operating leases is recognized on a straight-line basis over the lease term as an operating expense while the expense for finance leases is recognized as depreciation expense and interest expense using the interest method of recognition. For leases with a term of 12 months or less, any fixed payments are recognized on a straight-line basis over the lease term and are not recognized on our consolidated balance sheets as an accounting policy election. Leases qualifying for the short-term lease exception are insignificant. Variable lease costs are expensed as incurred and are not included in the measurement of ROU assets and lease liabilities.</w:t>
      </w:r>
    </w:p>
    <w:p>
      <w:pPr>
        <w:spacing w:after="0" w:line="156"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ASC 842 provides practical expedients for an entity’s ongoing accounting. We elected the practical expedient not to separate lease and non-lease components for all leases, which means all consideration that is fixed, or in-substance fixed, relating to the non-lease components will be captured as part of our lease components for balance sheet purposes.</w:t>
      </w:r>
    </w:p>
    <w:p>
      <w:pPr>
        <w:spacing w:after="0" w:line="200" w:lineRule="exact"/>
        <w:rPr>
          <w:sz w:val="20"/>
          <w:szCs w:val="20"/>
          <w:color w:val="auto"/>
        </w:rPr>
      </w:pPr>
    </w:p>
    <w:p>
      <w:pPr>
        <w:spacing w:after="0" w:line="3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1" w:name="page62"/>
    <w:bookmarkEnd w:id="61"/>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7" w:lineRule="exact"/>
        <w:rPr>
          <w:sz w:val="20"/>
          <w:szCs w:val="20"/>
          <w:color w:val="auto"/>
        </w:rPr>
      </w:pPr>
    </w:p>
    <w:p>
      <w:pPr>
        <w:jc w:val="both"/>
        <w:ind w:right="80" w:firstLine="648"/>
        <w:spacing w:after="0" w:line="267" w:lineRule="auto"/>
        <w:rPr>
          <w:sz w:val="20"/>
          <w:szCs w:val="20"/>
          <w:color w:val="auto"/>
        </w:rPr>
      </w:pPr>
      <w:r>
        <w:rPr>
          <w:rFonts w:ascii="Times New Roman" w:cs="Times New Roman" w:eastAsia="Times New Roman" w:hAnsi="Times New Roman"/>
          <w:sz w:val="18"/>
          <w:szCs w:val="18"/>
          <w:color w:val="auto"/>
        </w:rPr>
        <w:t xml:space="preserve">We recognize revenue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The core principle of the revenue standard is that a company should recognize revenue to depict the transfer of promised goods or services to customers in an amount that reflects the consideration to which the company expects to be entitled in exchange for those goods or services. The following five steps are applied to achieve that core principle:</w:t>
      </w:r>
    </w:p>
    <w:p>
      <w:pPr>
        <w:spacing w:after="0" w:line="135" w:lineRule="exact"/>
        <w:rPr>
          <w:sz w:val="20"/>
          <w:szCs w:val="20"/>
          <w:color w:val="auto"/>
        </w:rPr>
      </w:pPr>
    </w:p>
    <w:p>
      <w:pPr>
        <w:ind w:left="1140" w:hanging="484"/>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1: Identify the contract with the customer</w:t>
      </w:r>
    </w:p>
    <w:p>
      <w:pPr>
        <w:spacing w:after="0" w:line="198"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2: Identify the performance obligations in the contract</w:t>
      </w:r>
    </w:p>
    <w:p>
      <w:pPr>
        <w:spacing w:after="0" w:line="18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3: Determine the transaction price</w:t>
      </w:r>
    </w:p>
    <w:p>
      <w:pPr>
        <w:spacing w:after="0" w:line="18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4: Allocate the transaction price to the performance obligations in the contract</w:t>
      </w:r>
    </w:p>
    <w:p>
      <w:pPr>
        <w:spacing w:after="0" w:line="198"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5: Recognize revenue when the company satisfies a performance obligation</w:t>
      </w:r>
    </w:p>
    <w:p>
      <w:pPr>
        <w:spacing w:after="0" w:line="185"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In order to identify the performance obligations in a contract with a customer, a company must assess the promised goods or services in the contract and identify each promised good or service that is distinct. A performance obligation meets ASC 606’s definition of a “distinct” good or service (or bundle of goods or services) if both of the following criteria are met: The customer can benefit from the good or service either on its own or together with other resources that are readily available to the customer (i.e., the good or service is capable of being distinct), and the entity’s promise to transfer the good or service to the customer is separately identifiable from other promises in the contract (i.e., the promise to transfer the good or service is distinct within the context of the contract).</w:t>
      </w:r>
    </w:p>
    <w:p>
      <w:pPr>
        <w:spacing w:after="0" w:line="14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If a good or service is not distinct, the good or service is combined with other promised goods or services until a bundle of goods or services is identified that is distinct. The transaction price is the amount of consideration to which an entity expects to be entitled in exchange for transferring promised goods or services to a customer. The consideration promised in a contract with a customer may include fixed amounts, variable amounts, or both. When determining the transaction price, an entity must consider the effects of all of the following:</w:t>
      </w:r>
    </w:p>
    <w:p>
      <w:pPr>
        <w:spacing w:after="0" w:line="153" w:lineRule="exact"/>
        <w:rPr>
          <w:sz w:val="20"/>
          <w:szCs w:val="20"/>
          <w:color w:val="auto"/>
        </w:rPr>
      </w:pPr>
    </w:p>
    <w:p>
      <w:pPr>
        <w:ind w:left="1140" w:hanging="484"/>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consideration</w:t>
      </w:r>
    </w:p>
    <w:p>
      <w:pPr>
        <w:spacing w:after="0" w:line="18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Constraining estimates of variable consideration</w:t>
      </w:r>
    </w:p>
    <w:p>
      <w:pPr>
        <w:spacing w:after="0" w:line="18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 significant financing component in the contract</w:t>
      </w:r>
    </w:p>
    <w:p>
      <w:pPr>
        <w:spacing w:after="0" w:line="198"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consideration</w:t>
      </w:r>
    </w:p>
    <w:p>
      <w:pPr>
        <w:spacing w:after="0" w:line="18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payable to a customer</w:t>
      </w:r>
    </w:p>
    <w:p>
      <w:pPr>
        <w:spacing w:after="0" w:line="18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Variable consideration is included in the transaction price only to the extent that it is probable that a significant reversal in the amount of cumulative revenue recognized will not occur when the uncertainty associated with the variable consideration is subsequently resolved. The transaction price is allocated to each performance obligation on a relative standalone selling price basis. The standalone selling price is the price at which we would sell a promised service separately to a customer. The relative selling price for each performance obligation is estimated using observable objective evidence if it is available. If observable objective evidence is not available, we use our best estimate of the selling price for the promised service. In instances where we do not sell a service separately, establishing standalone selling price requires significant judgment. We estimate the standalone selling price by considering available information, prioritizing observable inputs such as historical sales, internally approved pricing guidelines and objectives, and the underlying cost of delivering the performance obligation. The transaction price allocated to each performance obligation is recognized when that performance obligation is satisfied, at a point in time or over time as appropriate.</w:t>
      </w:r>
    </w:p>
    <w:p>
      <w:pPr>
        <w:spacing w:after="0" w:line="161"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Management judgment is required when determining the following: when variable consideration is no longer probable of significant reversal (and hence can be included in revenue); whether certain revenue should be presented gross or net of certain related costs; when a promised service transfers to the customer; and the applicable method of measuring progress for services transferred to the customer over time.</w:t>
      </w:r>
    </w:p>
    <w:p>
      <w:pPr>
        <w:spacing w:after="0" w:line="135"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We enter into bitcoin mining pools by executing a contract, which may be amended from time to time, with a mining pool operator to provide computing power to the mining pool. Providing computing power to a mining pool</w:t>
      </w:r>
    </w:p>
    <w:p>
      <w:pPr>
        <w:spacing w:after="0" w:line="200" w:lineRule="exact"/>
        <w:rPr>
          <w:sz w:val="20"/>
          <w:szCs w:val="20"/>
          <w:color w:val="auto"/>
        </w:rPr>
      </w:pPr>
    </w:p>
    <w:p>
      <w:pPr>
        <w:spacing w:after="0" w:line="3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2" w:name="page63"/>
    <w:bookmarkEnd w:id="62"/>
    <w:p>
      <w:pPr>
        <w:spacing w:after="0" w:line="18"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operator for the purpose of cryptocurrency transaction verification is an output of our ordinary activities. The contract is terminable at any time by either party with no substantive termination penalty. Our enforceable right to compensation begins when, and lasts for as long as, we provide computing power to the mining pool operator; our performance obligation extends over the contract term given our continuous provision of hashrate. This period of time corresponds with the period of service for which the mining pool operator determines compensation due to us. Given cancellation terms of the contract, and our customary business practice, the contract effectively provides us with the option to renew for successive contract terms of 24 hours. The options to renew are not material rights because they are offered at the standalone selling price of computing power. We elected the optional exemption to not disclose the transaction price allocated to remaining performance obligations that are part of a contract that has an original expected duration of one year or less.</w:t>
      </w:r>
    </w:p>
    <w:p>
      <w:pPr>
        <w:spacing w:after="0" w:line="131" w:lineRule="exact"/>
        <w:rPr>
          <w:sz w:val="20"/>
          <w:szCs w:val="20"/>
          <w:color w:val="auto"/>
        </w:rPr>
      </w:pPr>
    </w:p>
    <w:p>
      <w:pPr>
        <w:ind w:right="180"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provision of computing power in accordance with the mining pool operator’s terms of service is the only performance obligation in our contract with the mining pool operator, our customer. In exchange for providing computing power pursuant to the mining pool’s terms of service, we are entitled to noncash consideration in the form of bitcoin, measured under the Full Pay Per Share (“FPPS”) approach. Under the FPPS approach, we are entitled to a fractional share of the fixed bitcoin award from the mining pool operator (referred to as a “block reward”) and potentially transaction fees generated from (paid by) blockchain users and distributed (paid out) to individual miners by the mining pool operator. Our fractional share of the block reward is based on the proportion of computing power we contributed to the mining pool operator to the total computing power contributed by all mining pool participants in solving the current algorithm, over the contract term. We are entitled to our relative share of consideration even if a block is not successfully placed. In other words, we receive consideration once after the end of each 24-hour contract period, regardless of whether the pool successfully places a block. Our proportionate share of transaction fees is based on our </w:t>
      </w:r>
      <w:r>
        <w:rPr>
          <w:rFonts w:ascii="Times New Roman" w:cs="Times New Roman" w:eastAsia="Times New Roman" w:hAnsi="Times New Roman"/>
          <w:sz w:val="18"/>
          <w:szCs w:val="18"/>
          <w:color w:val="231F20"/>
        </w:rPr>
        <w:t>contributed share of hashrate as a percentage of total network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hashrate during the contract term.</w:t>
      </w:r>
    </w:p>
    <w:p>
      <w:pPr>
        <w:spacing w:after="0" w:line="154"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Noncash consideration is measured at fair value at contract inception. Fair value of the bitcoin consideration is determined using the quoted price on our principal market for bitcoin at the beginning of the contract period at the single bitcoin level (one bitcoin). This amount is recognized in revenue over the contract term as hashrate is provided. Changes in the fair value of the noncash consideration due to form of the consideration (changes in the market price of bitcoin) are not included in the transaction price and hence are not included in revenue. Changes in fair value of the noncash consideration post-contract inception that are due to reasons other than form of consideration (other than changes in the market value of bitcoin) are measured based on the guidance on variable consideration, including the constraint on estimates of variable consideration.</w:t>
      </w:r>
    </w:p>
    <w:p>
      <w:pPr>
        <w:spacing w:after="0" w:line="16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231F20"/>
        </w:rPr>
        <w:t>Because the consideration to which we expect to be entitled for providing computing power is entirely variable, as well as being noncash consideration, we assess the estimated amount of the variable noncash consideration at contract inception and subsequently, to determine when and to what extent it is probable that a significant reversal in the amount of cumulative revenue recognized will not occur once the uncertainty associated with the variable consideration is subsequently resolved (the “constraint”). Only when significant revenue reversal is concluded probable of not occurring can estimated variable consideration be included in revenue. Based on evaluation of likelihood and magnitude of a reversal in applying the constraint, the estimated variable noncash consideration is constrained from inclusion in revenue until the end of the contract term, when the underlying uncertainties have been resolved and number of bitcoin to which we are entitled becomes known.</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is no significant financing component in these transactions.</w:t>
      </w:r>
    </w:p>
    <w:p>
      <w:pPr>
        <w:spacing w:after="0" w:line="18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Our ability to satisfy the performance obligation under our contract with a mining pool operator to provide computing power may be contracted to various third parties and there is a risk that if these parties are unable to perform or curtail their operations, our revenue and operating results may be affected. Please see “</w:t>
      </w:r>
      <w:r>
        <w:rPr>
          <w:rFonts w:ascii="Times New Roman" w:cs="Times New Roman" w:eastAsia="Times New Roman" w:hAnsi="Times New Roman"/>
          <w:sz w:val="18"/>
          <w:szCs w:val="18"/>
          <w:i w:val="1"/>
          <w:iCs w:val="1"/>
          <w:color w:val="auto"/>
        </w:rPr>
        <w:t>Business— Business Agreements—Luminant Power Agreement</w:t>
      </w:r>
      <w:r>
        <w:rPr>
          <w:rFonts w:ascii="Times New Roman" w:cs="Times New Roman" w:eastAsia="Times New Roman" w:hAnsi="Times New Roman"/>
          <w:sz w:val="18"/>
          <w:szCs w:val="18"/>
          <w:color w:val="auto"/>
        </w:rPr>
        <w:t>” for additional information about our power arrangements.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borrowings</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Short-term borrowings includes debt with maturity dates less than one year. We elected the fair value option for debt denominated in bitcoin. The change in fair value for bitcoin denominated debt is recorded in Other income (expense).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0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account for all share-based payments to employees, consultants and directors, which may include grants of stock options, stock appreciation rights, restricted stock awards, and restricted stock units (“RSUs”) to be recognized in the consolidated financial statements, based on their respective grant date fair values. As of December 31, 2023, we have</w:t>
      </w:r>
    </w:p>
    <w:p>
      <w:pPr>
        <w:spacing w:after="0" w:line="200" w:lineRule="exact"/>
        <w:rPr>
          <w:sz w:val="20"/>
          <w:szCs w:val="20"/>
          <w:color w:val="auto"/>
        </w:rPr>
      </w:pPr>
    </w:p>
    <w:p>
      <w:pPr>
        <w:spacing w:after="0" w:line="3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awarded only RSUs with service-based vesting conditions (“Service-Based RSUs”) and performance-based RSUs with market-based vesting conditions (“Performance-Based RSUs”). Compensation expense for all awards is amortized based upon a graded vesting method over the estimated requisite service period. All share-based compensation expenses are recorded in Compensation and benefits in the consolidated statements of operations. Forfeitures are recorded as they occur.</w:t>
      </w:r>
    </w:p>
    <w:p>
      <w:pPr>
        <w:spacing w:after="0" w:line="13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fair value of Service-Based RSUs is the closing market price of our common stock on the date of the grant. We employ a Monte Carlo simulation technique to calculate the fair value of the Performance-Based RSUs on the date granted based on the average of the future simulated outcomes. The Performance-Based RSUs contain different market-based vesting conditions that are based upon the achievement of certain market capitalization milestones. Under the Monte Carlo simulation model, a number of variables and assumptions are used including, but not limited to, the underlying price of our common stock, the expected stock price volatility over the term of the award, a correlation coefficient, and the risk-free rate. The Performance-Based RSUs awarded do not have an explicit requisite service period, therefore compensation expense is recorded over a derived service period based upon the estimated median time it will take to achieve the market capitalization milestone using a Monte Carlo simulation.</w:t>
      </w:r>
    </w:p>
    <w:p>
      <w:pPr>
        <w:spacing w:after="0" w:line="148"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Weighted average assumptions used in the November 17, 2021 Monte Carlo valuation model for Performance-Based RSUs awarded on that date were: expected volatility of 96.1% and a risk-free rate of 1.60% based upon a remaining term of 10 years. These assumptions were used to estimate share-based compensation expense related to our Performance-Based RSUs, which was recognized in our consolidated financial statements years ended December 31, 2025 and December 31, 2024, and which will continue to impact our consolidated financial results over the remaining weighted average derived service period of the Performance-Based RSUs, which, as of December 31, 2025 is expected to occur over the next 0.5 years.</w:t>
      </w:r>
    </w:p>
    <w:p>
      <w:pPr>
        <w:spacing w:after="0" w:line="200" w:lineRule="exact"/>
        <w:rPr>
          <w:sz w:val="20"/>
          <w:szCs w:val="20"/>
          <w:color w:val="auto"/>
        </w:rPr>
      </w:pPr>
    </w:p>
    <w:p>
      <w:pPr>
        <w:spacing w:after="0" w:line="3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89"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following discussion of our market risks involves forward-looking statements. Actual results could differ materially from those projected in our forward-looking statements. For more information regarding the forward-looking statements used in this section and elsewhere in this Annual Report, see the Cautionary Note Regarding Forward-Looking Statements at the forepart of this Annual Report.</w:t>
      </w:r>
    </w:p>
    <w:p>
      <w:pPr>
        <w:spacing w:after="0" w:line="135" w:lineRule="exact"/>
        <w:rPr>
          <w:sz w:val="20"/>
          <w:szCs w:val="20"/>
          <w:color w:val="auto"/>
        </w:rPr>
      </w:pPr>
    </w:p>
    <w:p>
      <w:pPr>
        <w:jc w:val="both"/>
        <w:ind w:right="160" w:firstLine="648"/>
        <w:spacing w:after="0" w:line="282" w:lineRule="auto"/>
        <w:rPr>
          <w:sz w:val="20"/>
          <w:szCs w:val="20"/>
          <w:color w:val="auto"/>
        </w:rPr>
      </w:pPr>
      <w:r>
        <w:rPr>
          <w:rFonts w:ascii="Times New Roman" w:cs="Times New Roman" w:eastAsia="Times New Roman" w:hAnsi="Times New Roman"/>
          <w:sz w:val="18"/>
          <w:szCs w:val="18"/>
          <w:color w:val="auto"/>
        </w:rPr>
        <w:t>Our primary market risks are described below. We use various strategies to manage these risks; however, they may still from time to time impact our consolidated financial statements.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Bitcoin Price Risk</w:t>
      </w:r>
    </w:p>
    <w:p>
      <w:pPr>
        <w:spacing w:after="0" w:line="187"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We hold bitcoin on our inventory at fair value, and as such we are exposed to the impact of the change in bitcoin price. As of December 31, 2025, we had 1,433 bitcoin in inventory. A 20% decrease in the price of bitcoin would result in an estimated $25.1 million increase in Net loss for the year ended December 31, 2025.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Power Price Risk</w:t>
      </w:r>
    </w:p>
    <w:p>
      <w:pPr>
        <w:spacing w:after="0" w:line="200" w:lineRule="exact"/>
        <w:rPr>
          <w:sz w:val="20"/>
          <w:szCs w:val="20"/>
          <w:color w:val="auto"/>
        </w:rPr>
      </w:pPr>
    </w:p>
    <w:p>
      <w:pPr>
        <w:ind w:right="80" w:firstLine="648"/>
        <w:spacing w:after="0" w:line="289" w:lineRule="auto"/>
        <w:rPr>
          <w:sz w:val="20"/>
          <w:szCs w:val="20"/>
          <w:color w:val="auto"/>
        </w:rPr>
      </w:pPr>
      <w:r>
        <w:rPr>
          <w:rFonts w:ascii="Times New Roman" w:cs="Times New Roman" w:eastAsia="Times New Roman" w:hAnsi="Times New Roman"/>
          <w:sz w:val="17"/>
          <w:szCs w:val="17"/>
          <w:color w:val="auto"/>
        </w:rPr>
        <w:t>The estimated fair value of our Derivative asset related to our power purchase agreement is derived from Level 2 and Level 3 inputs. Specifically, the discounted cash flow estimation models contain quoted spot and forward prices for electricity. A 10% decrease in power prices would result in an estimated $13.1 million decrease in the estimated fair value of the Derivative asset and increase in Net loss for the year ended December 31, 2025.</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8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financial statements required to be filed pursuant to this Item 8 are appended to this report. An index of those financial statements is found in Item 15 of Part IV of this Annual Report.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02"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conducted an evaluation of the effectiveness of our “disclosure controls and procedures” (“Disclosure Controls”), as defined by Rules 13a-15(e) and 15d-15(e) of the Exchange Act, as of December 31, 2025, the end of the period covered by this Annual Report. The Disclosure Controls evaluation was done under the supervision and with the participation of management, including our Chief Executive Officer and Chief Financial Officer, with the goal being that the information required to be disclosed by us in reports filed under the Exchange Act is (i) recorded, processed, summarized and reported within the time periods specified in the SEC’s rules and forms and (ii) accumulated and communicated to our management, including our principal executive and principal financial officers, or persons performing similar functions, as appropriate to allow timely decisions regarding disclosure. There are inherent limitations to the effectiveness of any system of disclosure controls and procedures. Accordingly, even effective disclosure controls and procedures can only provide reasonable assurance of achieving their control objectives. Based upon this evaluation, our Chief Executive Officer and Chief Financial Officer concluded that, our disclosure controls and procedures were effective at the reasonable assurance level as of December 31, 2025.</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65" w:name="page66"/>
    <w:bookmarkEnd w:id="65"/>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Our management is also required to assess and report on the effectiveness of our internal control over financial reporting in accordance with Section 404 of the Sarbanes-Oxley Act of 2002 (“Section 404”). Our internal control over financial reporting is a process designed to provide reasonable assurance regarding the reliability of financial reporting and the preparation of financial statements for external purposes of accounting principles generally accepted in the United States.</w:t>
      </w:r>
    </w:p>
    <w:p>
      <w:pPr>
        <w:spacing w:after="0" w:line="143"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A significant deficiency is a deficiency, or a combination of deficiencies, in internal control over financial reporting that is less severe than a material weakness, yet important enough to merit attention by those responsible for oversight of the company’s financial reporting.</w:t>
      </w:r>
    </w:p>
    <w:p>
      <w:pPr>
        <w:spacing w:after="0" w:line="13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assessed the effectiveness of our internal control over financial reporting as of December 31, 2025. In making this assessment, we used the criteria set forth by the Committee of Sponsoring Organizations of the Treadway Commission (“COSO”) in Internal Control - Integrated Framework in the 2013 COSO framework. Based on this assessment, management concluded that our internal control over financial reporting was effective as of December 31, 2025. As previously disclosed in our Annual report on Form 10-K for the year ended December 31, 2024, management previously identified a weakness in internal control over financial reporting related to Information Technology General Controls (“ITGC”). Specifically, the Company did not complete design and implementation of program change management controls for certain financially relevant systems to ensure that IT program and data changes affecting the Company’s (i) financial IT applications and (ii) digital currency mining equipment, are identified, tested, authorized and implemented appropriately to validate that data produced by its relevant IT system(s) were complete and accurate. Automated process-level and manual controls related to revenue recognition that are dependent upon the information derived from such financially relevant systems were also determined to be ineffective as a result of such deficiency.</w:t>
      </w:r>
    </w:p>
    <w:p>
      <w:pPr>
        <w:spacing w:after="0" w:line="167"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The material weakness described above did not result in a material misstatement to the Company’s previously issued consolidated financial statements, nor in the consolidated financial statements included in this Annual Report, and has been remediated as of December 31, 2025.</w:t>
      </w:r>
    </w:p>
    <w:p>
      <w:pPr>
        <w:spacing w:after="0" w:line="121"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registered public accounting firm that audited our consolidated financial statements within this Annual Report has issued an attestation report on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of Material Weakness</w:t>
      </w:r>
    </w:p>
    <w:p>
      <w:pPr>
        <w:spacing w:after="0" w:line="189"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As noted above, during management’s assessment of internal controls over financial reporting (“ICFR”), the previously disclosed material weakness related to certain ITGCs over change management controls was remediated in the current year.</w:t>
      </w:r>
    </w:p>
    <w:p>
      <w:pPr>
        <w:spacing w:after="0" w:line="13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As management is responsible for maintaining effective internal control over financial reporting, and for its assessment of the effectiveness of internal control over financial reporting, we understand the importance of developing a resolution plan aligned with management and overseen by the Audit Committee of our Board of Directors. During the year ended December 31, 2025, management implemented measures that remediated previously identified material weakness disclosed in the Company’s Annual Reports on Form 10-K for the year ended December 31, 2024 related to certain ITGCs over change management controls by continuing to devote resources to key financial reporting and information technology areas, including hiring additional employees, using an external third-party internal audit and SOX 404 implementation consulting firm to improve the Company’s controls related to user access and segregation of duties, enhancing design and documentation related to governance over user access processes and related control activities, and developing robust processes to validate data received from third-parties and relied upon to generate financial statements that are complete and accurate.</w:t>
      </w:r>
    </w:p>
    <w:p>
      <w:pPr>
        <w:spacing w:after="0" w:line="151"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Since the material weakness related to certain ITGCs over change management controls and lack of related compensating automated process-level and manual controls was identified, management has continued to implement and refine measures designed to ensure that control deficiencies contributing to the material weakness are remediated, such that these controls are designed, implemented, and operating effectively. During the year ended December 31, 2025, management enhanced its existing program change management controls for certain systems impacting the Company’s processes around revenue recognition and design of manual key reconciliation processes. As a result, management has</w:t>
      </w:r>
    </w:p>
    <w:p>
      <w:pPr>
        <w:spacing w:after="0" w:line="200" w:lineRule="exact"/>
        <w:rPr>
          <w:sz w:val="20"/>
          <w:szCs w:val="20"/>
          <w:color w:val="auto"/>
        </w:rPr>
      </w:pPr>
    </w:p>
    <w:p>
      <w:pPr>
        <w:spacing w:after="0" w:line="3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66" w:name="page67"/>
    <w:bookmarkEnd w:id="66"/>
    <w:p>
      <w:pPr>
        <w:ind w:right="220"/>
        <w:spacing w:after="0" w:line="282" w:lineRule="auto"/>
        <w:rPr>
          <w:sz w:val="20"/>
          <w:szCs w:val="20"/>
          <w:color w:val="auto"/>
        </w:rPr>
      </w:pPr>
      <w:r>
        <w:rPr>
          <w:rFonts w:ascii="Times New Roman" w:cs="Times New Roman" w:eastAsia="Times New Roman" w:hAnsi="Times New Roman"/>
          <w:sz w:val="18"/>
          <w:szCs w:val="18"/>
          <w:color w:val="auto"/>
        </w:rPr>
        <w:t>concluded that the material weakness described above has been remediated, and the applicable controls have been in place for a sufficient period of time for management to conclude they are operating effectively.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Other than the remediation efforts described above, there were no changes in our internal control over financial reporting (as defined in Rules 13a-15(f) and 15d-15(f) under the Exchange Act) during the three months ended December 31, 2025 that have materially affected, or are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96" w:right="379" w:bottom="1440" w:gutter="0" w:footer="0" w:header="0"/>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ON INTERNAL CONTROL OVER FINANCIAL REPORTING FIRM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Cipher Digital Inc.</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have audited Cipher Digital Inc.’s (the “Company”) internal control over financial reporting as of December 31, 2025, based on criteria established in Internal Control-Integrated Framework issued by the Committee of Sponsoring Organizations of the Treadway Commission (COSO) in 2013. In our opinion, the Company maintained, in all material respects, effective internal control over financial reporting as of December 31, 2025, based on criteria established in COSO.</w:t>
      </w:r>
    </w:p>
    <w:p>
      <w:pPr>
        <w:spacing w:after="0" w:line="13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balance sheet as of December 31, 2025 and the related consolidated statements of operations, changes in redeemable noncontrolling interest, and stockholders’ equity (deficit), and cash flows and the related notes and Schedule I listed in the Index at Item 15 (collectively referred to as the “financial statements”) for the year ended December 31, 2025 of the Company, and our report dated February 24, 2026 expressed an unqualified opinion on those financial statements.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the inherent limitations, internal control over financial reporting may not prevent or detect misstatements. Also, projections of any evaluation of effectiveness to future periods are subject to the risk that controls may become inadequate because of changes in conditions, or that degree of compliance with the policies or procedures may deteriorate.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CBIZ CPAs P.C.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CBIZ CPAs P.C.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2026</w:t>
      </w:r>
    </w:p>
    <w:p>
      <w:pPr>
        <w:spacing w:after="0" w:line="200" w:lineRule="exact"/>
        <w:rPr>
          <w:sz w:val="20"/>
          <w:szCs w:val="20"/>
          <w:color w:val="auto"/>
        </w:rPr>
      </w:pPr>
    </w:p>
    <w:p>
      <w:pPr>
        <w:spacing w:after="0" w:line="3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89" w:lineRule="exact"/>
        <w:rPr>
          <w:sz w:val="20"/>
          <w:szCs w:val="20"/>
          <w:color w:val="auto"/>
        </w:rPr>
      </w:pPr>
    </w:p>
    <w:p>
      <w:pPr>
        <w:ind w:left="1300" w:right="5520" w:hanging="644"/>
        <w:spacing w:after="0" w:line="461" w:lineRule="auto"/>
        <w:tabs>
          <w:tab w:leader="none" w:pos="89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in lieu of reporting on a Current Report on Form 8-K. None.</w:t>
      </w:r>
    </w:p>
    <w:p>
      <w:pPr>
        <w:spacing w:after="0" w:line="1" w:lineRule="exact"/>
        <w:rPr>
          <w:rFonts w:ascii="Times New Roman" w:cs="Times New Roman" w:eastAsia="Times New Roman" w:hAnsi="Times New Roman"/>
          <w:sz w:val="18"/>
          <w:szCs w:val="18"/>
          <w:color w:val="auto"/>
        </w:rPr>
      </w:pPr>
    </w:p>
    <w:p>
      <w:pPr>
        <w:ind w:left="1300" w:right="1960" w:hanging="644"/>
        <w:spacing w:after="0" w:line="453" w:lineRule="auto"/>
        <w:tabs>
          <w:tab w:leader="none" w:pos="90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changes to the procedures by which security holders may recommend nominees to the board of directors. None.</w:t>
      </w:r>
    </w:p>
    <w:p>
      <w:pPr>
        <w:spacing w:after="0" w:line="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 trading arrangements and policies.</w:t>
      </w:r>
    </w:p>
    <w:p>
      <w:pPr>
        <w:spacing w:after="0" w:line="198" w:lineRule="exact"/>
        <w:rPr>
          <w:sz w:val="20"/>
          <w:szCs w:val="20"/>
          <w:color w:val="auto"/>
        </w:rPr>
      </w:pPr>
    </w:p>
    <w:p>
      <w:pPr>
        <w:ind w:left="660" w:firstLine="648"/>
        <w:spacing w:after="0" w:line="258" w:lineRule="auto"/>
        <w:rPr>
          <w:sz w:val="20"/>
          <w:szCs w:val="20"/>
          <w:color w:val="auto"/>
        </w:rPr>
      </w:pPr>
      <w:r>
        <w:rPr>
          <w:rFonts w:ascii="Times New Roman" w:cs="Times New Roman" w:eastAsia="Times New Roman" w:hAnsi="Times New Roman"/>
          <w:sz w:val="18"/>
          <w:szCs w:val="18"/>
          <w:color w:val="auto"/>
        </w:rPr>
        <w:t>Our officers and directors from time to time may adopt trading plans to transact in our common stock for a variety of reasons, including tax considerations, investment diversification, or other personal reasons. During the three months ended December 31, 2025, certain of our officers and directors adopted a pre-arranged stock trading plan intended to satisfy the affirmative defense of Rule 10b5-1(c) under the Exchange Act (each such plan, a “Rule 10b5-1 Plan”), as described below. On December 19, 2025, Tyler Page, Chief Executive Officer, adopted a Rule 10b5-1 Plan, which covers the sale of up to 1,500,000 shares of our common stock until December 24, 2026.</w:t>
      </w:r>
    </w:p>
    <w:p>
      <w:pPr>
        <w:spacing w:after="0" w:line="143" w:lineRule="exact"/>
        <w:rPr>
          <w:sz w:val="20"/>
          <w:szCs w:val="20"/>
          <w:color w:val="auto"/>
        </w:rPr>
      </w:pPr>
    </w:p>
    <w:p>
      <w:pPr>
        <w:jc w:val="both"/>
        <w:ind w:left="660" w:right="160" w:firstLine="648"/>
        <w:spacing w:after="0" w:line="266" w:lineRule="auto"/>
        <w:rPr>
          <w:sz w:val="20"/>
          <w:szCs w:val="20"/>
          <w:color w:val="auto"/>
        </w:rPr>
      </w:pPr>
      <w:r>
        <w:rPr>
          <w:rFonts w:ascii="Times New Roman" w:cs="Times New Roman" w:eastAsia="Times New Roman" w:hAnsi="Times New Roman"/>
          <w:sz w:val="18"/>
          <w:szCs w:val="18"/>
          <w:color w:val="auto"/>
        </w:rPr>
        <w:t>No other directors or “officers” (as defined in Section 16a-1(f) of the Exchange Act) adopted, terminated, or modified a “Rule 10b5-1 trading arrangement” or a “non-Rule 10b5-1 trading arrangement,” as each term is defined in Item 408(a) of Regulation S-K, during the three months ended December 31,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0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92" w:right="479" w:bottom="1440" w:gutter="0" w:footer="0" w:header="0"/>
        </w:sectPr>
      </w:pPr>
    </w:p>
    <w:bookmarkStart w:id="69" w:name="page70"/>
    <w:bookmarkEnd w:id="69"/>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executive officers (ages as of the date of this Annual Report):</w:t>
      </w:r>
    </w:p>
    <w:p>
      <w:pPr>
        <w:spacing w:after="0" w:line="246"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231F20"/>
              </w:rPr>
              <w:t>Name</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231F20"/>
              </w:rPr>
              <w:t>Age</w:t>
            </w:r>
          </w:p>
        </w:tc>
        <w:tc>
          <w:tcPr>
            <w:tcW w:w="5600" w:type="dxa"/>
            <w:vAlign w:val="bottom"/>
          </w:tcPr>
          <w:p>
            <w:pPr>
              <w:ind w:left="2660"/>
              <w:spacing w:after="0"/>
              <w:rPr>
                <w:sz w:val="20"/>
                <w:szCs w:val="20"/>
                <w:color w:val="auto"/>
              </w:rPr>
            </w:pPr>
            <w:r>
              <w:rPr>
                <w:rFonts w:ascii="Times New Roman" w:cs="Times New Roman" w:eastAsia="Times New Roman" w:hAnsi="Times New Roman"/>
                <w:sz w:val="14"/>
                <w:szCs w:val="14"/>
                <w:b w:val="1"/>
                <w:bCs w:val="1"/>
                <w:color w:val="231F20"/>
              </w:rPr>
              <w:t>Title</w:t>
            </w:r>
          </w:p>
        </w:tc>
      </w:tr>
      <w:tr>
        <w:trPr>
          <w:trHeight w:val="37"/>
        </w:trPr>
        <w:tc>
          <w:tcPr>
            <w:tcW w:w="3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600" w:type="dxa"/>
            <w:vAlign w:val="bottom"/>
            <w:tcBorders>
              <w:bottom w:val="single" w:sz="8" w:color="auto"/>
            </w:tcBorders>
          </w:tcPr>
          <w:p>
            <w:pPr>
              <w:spacing w:after="0"/>
              <w:rPr>
                <w:sz w:val="3"/>
                <w:szCs w:val="3"/>
                <w:color w:val="auto"/>
              </w:rPr>
            </w:pPr>
          </w:p>
        </w:tc>
      </w:tr>
      <w:tr>
        <w:trPr>
          <w:trHeight w:val="237"/>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231F20"/>
              </w:rPr>
              <w:t>Tyler Page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50</w:t>
            </w:r>
          </w:p>
        </w:tc>
        <w:tc>
          <w:tcPr>
            <w:tcW w:w="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Chief Executive Officer and Director</w:t>
            </w:r>
          </w:p>
        </w:tc>
      </w:tr>
      <w:tr>
        <w:trPr>
          <w:trHeight w:val="270"/>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231F20"/>
              </w:rPr>
              <w:t>Gregory Mumford</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33</w:t>
            </w:r>
          </w:p>
        </w:tc>
        <w:tc>
          <w:tcPr>
            <w:tcW w:w="80" w:type="dxa"/>
            <w:vAlign w:val="bottom"/>
          </w:tcPr>
          <w:p>
            <w:pPr>
              <w:spacing w:after="0"/>
              <w:rPr>
                <w:sz w:val="23"/>
                <w:szCs w:val="23"/>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Chief Financial Officer</w:t>
            </w:r>
          </w:p>
        </w:tc>
      </w:tr>
      <w:tr>
        <w:trPr>
          <w:trHeight w:val="270"/>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231F20"/>
              </w:rPr>
              <w:t>Patrick Kelly</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47</w:t>
            </w:r>
          </w:p>
        </w:tc>
        <w:tc>
          <w:tcPr>
            <w:tcW w:w="80" w:type="dxa"/>
            <w:vAlign w:val="bottom"/>
          </w:tcPr>
          <w:p>
            <w:pPr>
              <w:spacing w:after="0"/>
              <w:rPr>
                <w:sz w:val="23"/>
                <w:szCs w:val="23"/>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Co-President and Chief Operating Officer</w:t>
            </w:r>
          </w:p>
        </w:tc>
      </w:tr>
      <w:tr>
        <w:trPr>
          <w:trHeight w:val="270"/>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231F20"/>
              </w:rPr>
              <w:t>William Iwaschuk</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50</w:t>
            </w:r>
          </w:p>
        </w:tc>
        <w:tc>
          <w:tcPr>
            <w:tcW w:w="80" w:type="dxa"/>
            <w:vAlign w:val="bottom"/>
          </w:tcPr>
          <w:p>
            <w:pPr>
              <w:spacing w:after="0"/>
              <w:rPr>
                <w:sz w:val="23"/>
                <w:szCs w:val="23"/>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Co-President, Chief Legal Officer and Corporate Secretary</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85" w:lineRule="exact"/>
        <w:rPr>
          <w:sz w:val="20"/>
          <w:szCs w:val="20"/>
          <w:color w:val="auto"/>
        </w:rPr>
      </w:pPr>
    </w:p>
    <w:p>
      <w:pPr>
        <w:ind w:right="20" w:firstLine="113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Tyler Page </w:t>
      </w:r>
      <w:r>
        <w:rPr>
          <w:rFonts w:ascii="Times New Roman" w:cs="Times New Roman" w:eastAsia="Times New Roman" w:hAnsi="Times New Roman"/>
          <w:sz w:val="18"/>
          <w:szCs w:val="18"/>
          <w:color w:val="auto"/>
        </w:rPr>
        <w:t>has served as Cipher’s Chief Executive Officer and as a member of the Board since August 2021. From 2020 to 2021, Mr. Page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Head of Business Development for digital asset infrastructure at Bitfury Holding, where he was responsible for business development and strategic planning work of the Bitfury Group. He brings more than 20 years of experience in institutional finance and fintech, including as a member of the Management Committee and Head of Client Strategies at New York Digital Investment Group (NYDIG), from 2017 to 2019, and as Head of Institutional Sales at Stone Ridge Asset Management, from 2016 to 2019. Previously, he served as Global Head of Business Development for Fund Solutions at Guggenheim Partners in New York and London, as well as in various roles on derivatives teams at Goldman Sachs and Lehman Brothers. He began his career as an attorney at Davis Polk &amp; Wardwell LLP. He holds a J.D. from the University of Michigan Law School and a B.A. from the University of Virginia. We believe that Mr. Page is well qualified to serve on our board of directors due to his extensive experience in the digital asset industry and his various leadership roles.</w:t>
      </w:r>
    </w:p>
    <w:p>
      <w:pPr>
        <w:spacing w:after="0" w:line="148" w:lineRule="exact"/>
        <w:rPr>
          <w:sz w:val="20"/>
          <w:szCs w:val="20"/>
          <w:color w:val="auto"/>
        </w:rPr>
      </w:pPr>
    </w:p>
    <w:p>
      <w:pPr>
        <w:ind w:firstLine="113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Gregory Mumford </w:t>
      </w:r>
      <w:r>
        <w:rPr>
          <w:rFonts w:ascii="Times New Roman" w:cs="Times New Roman" w:eastAsia="Times New Roman" w:hAnsi="Times New Roman"/>
          <w:sz w:val="18"/>
          <w:szCs w:val="18"/>
          <w:color w:val="auto"/>
        </w:rPr>
        <w:t>has served as Cipher’s Chief Financial Officer since October 2025. Prior to Cipher, from December 2019 to September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2025, Mr. Mumford held several senior positions at Keefe, Bruyette &amp; Woods (“KBW”), including Director and a leader in the Digital Assets &amp; Infrastructure group in Keefe, Bruyette &amp; Woods’ Investment Banking division. Mr. Mumford has over a decade of experience in financial services, credit, and capital markets. During his tenure at KBW and its affiliated entities, he advised on a broad range of M&amp;A and capital markets activity with a focus on digital infrastructure and industrials. Prior to joining KBW, Mr. Mumford held various roles at one of Canada’s largest banks in their commercial and corporate banking group. He received his Bachelor of Commerce from McMaster University and is a CFA Charterholder.</w:t>
      </w:r>
    </w:p>
    <w:p>
      <w:pPr>
        <w:spacing w:after="0" w:line="155" w:lineRule="exact"/>
        <w:rPr>
          <w:sz w:val="20"/>
          <w:szCs w:val="20"/>
          <w:color w:val="auto"/>
        </w:rPr>
      </w:pPr>
    </w:p>
    <w:p>
      <w:pPr>
        <w:ind w:right="60" w:firstLine="113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Patrick Kelly </w:t>
      </w:r>
      <w:r>
        <w:rPr>
          <w:rFonts w:ascii="Times New Roman" w:cs="Times New Roman" w:eastAsia="Times New Roman" w:hAnsi="Times New Roman"/>
          <w:sz w:val="18"/>
          <w:szCs w:val="18"/>
          <w:color w:val="auto"/>
        </w:rPr>
        <w:t>has served as Cipher’s Chief Operating Officer since August 2021, and as Co-President since March 2023. Prior to Cipher,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2012 to 2019, Mr. Kelly served as Chief Operating Officer at Stone Ridge Asset Management, LLC. Between 2012 and 2018, he also held several directorship positions with several trusts of Stone Ridge Asset Management. From 2009 to 2012, Mr. Kelly served as Chief Operating Officer of Quantitative Strategies at Magnetar Capital. Prior to that, he served as Head of Portfolio Valuation at D. E. Shaw &amp; Co. Mr. Kelly is a Chartered Financial Analyst (CFA) and received his B.S. in Finance from DePaul University.</w:t>
      </w:r>
    </w:p>
    <w:p>
      <w:pPr>
        <w:spacing w:after="0" w:line="139" w:lineRule="exact"/>
        <w:rPr>
          <w:sz w:val="20"/>
          <w:szCs w:val="20"/>
          <w:color w:val="auto"/>
        </w:rPr>
      </w:pPr>
    </w:p>
    <w:p>
      <w:pPr>
        <w:ind w:firstLine="1134"/>
        <w:spacing w:after="0" w:line="222" w:lineRule="exact"/>
        <w:rPr>
          <w:sz w:val="20"/>
          <w:szCs w:val="20"/>
          <w:color w:val="auto"/>
        </w:rPr>
      </w:pPr>
      <w:r>
        <w:rPr>
          <w:rFonts w:ascii="Times New Roman" w:cs="Times New Roman" w:eastAsia="Times New Roman" w:hAnsi="Times New Roman"/>
          <w:sz w:val="17"/>
          <w:szCs w:val="17"/>
          <w:b w:val="1"/>
          <w:bCs w:val="1"/>
          <w:i w:val="1"/>
          <w:iCs w:val="1"/>
          <w:color w:val="auto"/>
        </w:rPr>
        <w:t xml:space="preserve">William Iwaschuk </w:t>
      </w:r>
      <w:r>
        <w:rPr>
          <w:rFonts w:ascii="Times New Roman" w:cs="Times New Roman" w:eastAsia="Times New Roman" w:hAnsi="Times New Roman"/>
          <w:sz w:val="17"/>
          <w:szCs w:val="17"/>
          <w:color w:val="auto"/>
        </w:rPr>
        <w:t>has served as Cipher’s Chief Legal Officer since August 2021, as Corporate Secretary since May 2022 and as Co-President since March 2023. Prior to Cipher, from 2014 to 2020, Mr. Iwaschuk held senior positions at Tower Research Capital LLC, including serving as General Counsel and Secretary (2016</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2020) and Counsel (2014</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2016). From 2013 to 2014, Mr. Iwaschuk was a Partner in the Investment Management Group of Morgan, Lewis &amp; Bockius LLP in New York. Mr. Iwaschuk also previously served as a Vice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President in the legal department at Goldman Sachs</w:t>
      </w:r>
    </w:p>
    <w:p>
      <w:pPr>
        <w:spacing w:after="0" w:line="2" w:lineRule="exact"/>
        <w:rPr>
          <w:sz w:val="20"/>
          <w:szCs w:val="20"/>
          <w:color w:val="auto"/>
        </w:rPr>
      </w:pPr>
    </w:p>
    <w:p>
      <w:pPr>
        <w:ind w:right="160" w:firstLine="8"/>
        <w:spacing w:after="0" w:line="258" w:lineRule="auto"/>
        <w:tabs>
          <w:tab w:leader="none" w:pos="18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from 2005 until 2012. He started his career as an equity derivatives associate at Davis Polk &amp; Wardwell LLP in New York. Mr. Iwaschuk received his LL.B. and B.A. degrees from The University of British Columbia.</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0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have adopted a written code of business conduct and ethics that applies to our directors, officers and employees, including our principal executive officer, principal financial officer, principal accounting officer or controller, or persons performing similar functions. Our code of business conduct and ethics is available under the Corporate Governance section of our website at </w:t>
      </w:r>
      <w:r>
        <w:rPr>
          <w:rFonts w:ascii="Times New Roman" w:cs="Times New Roman" w:eastAsia="Times New Roman" w:hAnsi="Times New Roman"/>
          <w:sz w:val="18"/>
          <w:szCs w:val="18"/>
          <w:i w:val="1"/>
          <w:iCs w:val="1"/>
          <w:color w:val="auto"/>
        </w:rPr>
        <w:t>https://investors.ciphermining.com</w:t>
      </w:r>
      <w:r>
        <w:rPr>
          <w:rFonts w:ascii="Times New Roman" w:cs="Times New Roman" w:eastAsia="Times New Roman" w:hAnsi="Times New Roman"/>
          <w:sz w:val="18"/>
          <w:szCs w:val="18"/>
          <w:color w:val="auto"/>
        </w:rPr>
        <w:t>. In addition, we intend to post on our website all disclosures that are required by law or the Nasdaq rules concerning any amendments to, or waivers from, any provision of</w:t>
      </w:r>
    </w:p>
    <w:p>
      <w:pPr>
        <w:spacing w:after="0" w:line="200" w:lineRule="exact"/>
        <w:rPr>
          <w:sz w:val="20"/>
          <w:szCs w:val="20"/>
          <w:color w:val="auto"/>
        </w:rPr>
      </w:pPr>
    </w:p>
    <w:p>
      <w:pPr>
        <w:spacing w:after="0" w:line="3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92" w:right="399" w:bottom="1440" w:gutter="0" w:footer="0" w:header="0"/>
        </w:sectPr>
      </w:pPr>
    </w:p>
    <w:bookmarkStart w:id="70" w:name="page71"/>
    <w:bookmarkEnd w:id="70"/>
    <w:p>
      <w:pPr>
        <w:ind w:right="360"/>
        <w:spacing w:after="0" w:line="282" w:lineRule="auto"/>
        <w:rPr>
          <w:sz w:val="20"/>
          <w:szCs w:val="20"/>
          <w:color w:val="auto"/>
        </w:rPr>
      </w:pPr>
      <w:r>
        <w:rPr>
          <w:rFonts w:ascii="Times New Roman" w:cs="Times New Roman" w:eastAsia="Times New Roman" w:hAnsi="Times New Roman"/>
          <w:sz w:val="18"/>
          <w:szCs w:val="18"/>
          <w:color w:val="auto"/>
        </w:rPr>
        <w:t>the code. The reference to our website address does not constitute incorporation by reference of the information contained at or available through our website, and you should not consider it to be a part of this Annual Report.</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remaining information required by this item will be included in our definitive proxy statement for our 2026 Annual Meeting of Stockholders (the “2026 Proxy Statement”), to be filed with the SEC no later than 120 days after December 31, 2025, and is incorporated herein by reference.</w:t>
      </w:r>
    </w:p>
    <w:p>
      <w:pPr>
        <w:spacing w:after="0" w:line="200" w:lineRule="exact"/>
        <w:rPr>
          <w:sz w:val="20"/>
          <w:szCs w:val="20"/>
          <w:color w:val="auto"/>
        </w:rPr>
      </w:pPr>
    </w:p>
    <w:p>
      <w:pPr>
        <w:spacing w:after="0" w:line="3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96" w:right="4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2026 Proxy Statement and is incorporated herein by reference.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2026 Proxy Statement and is incorporated herein by reference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2026 Proxy Statement and is incorporated herein by reference.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2026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92" w:right="1440" w:bottom="1440" w:gutter="0" w:footer="0" w:header="0"/>
        </w:sectPr>
      </w:pPr>
    </w:p>
    <w:bookmarkStart w:id="72" w:name="page73"/>
    <w:bookmarkEnd w:id="72"/>
    <w:p>
      <w:pPr>
        <w:ind w:left="4000"/>
        <w:spacing w:after="0"/>
        <w:rPr>
          <w:sz w:val="20"/>
          <w:szCs w:val="20"/>
          <w:color w:val="auto"/>
        </w:rPr>
      </w:pPr>
      <w:r>
        <w:rPr>
          <w:rFonts w:ascii="Times New Roman" w:cs="Times New Roman" w:eastAsia="Times New Roman" w:hAnsi="Times New Roman"/>
          <w:sz w:val="18"/>
          <w:szCs w:val="18"/>
          <w:b w:val="1"/>
          <w:bCs w:val="1"/>
          <w:color w:val="auto"/>
        </w:rPr>
        <w:t>PART IV - 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11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0" w:type="dxa"/>
            <w:vAlign w:val="bottom"/>
          </w:tcPr>
          <w:p>
            <w:pPr>
              <w:spacing w:after="0"/>
              <w:rPr>
                <w:sz w:val="1"/>
                <w:szCs w:val="1"/>
                <w:color w:val="auto"/>
              </w:rPr>
            </w:pPr>
          </w:p>
        </w:tc>
      </w:tr>
      <w:tr>
        <w:trPr>
          <w:trHeight w:val="190"/>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gridSpan w:val="34"/>
          </w:tcPr>
          <w:p>
            <w:pPr>
              <w:ind w:left="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From</w:t>
            </w:r>
          </w:p>
        </w:tc>
        <w:tc>
          <w:tcPr>
            <w:tcW w:w="132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37"/>
        </w:trPr>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39"/>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2.1†</w:t>
            </w:r>
          </w:p>
        </w:tc>
        <w:tc>
          <w:tcPr>
            <w:tcW w:w="20" w:type="dxa"/>
            <w:vAlign w:val="bottom"/>
          </w:tcPr>
          <w:p>
            <w:pPr>
              <w:spacing w:after="0"/>
              <w:rPr>
                <w:sz w:val="24"/>
                <w:szCs w:val="24"/>
                <w:color w:val="auto"/>
              </w:rPr>
            </w:pPr>
          </w:p>
        </w:tc>
        <w:tc>
          <w:tcPr>
            <w:tcW w:w="4740" w:type="dxa"/>
            <w:vAlign w:val="bottom"/>
            <w:gridSpan w:val="38"/>
          </w:tcPr>
          <w:p>
            <w:pPr>
              <w:spacing w:after="0"/>
              <w:rPr>
                <w:rFonts w:ascii="Times New Roman" w:cs="Times New Roman" w:eastAsia="Times New Roman" w:hAnsi="Times New Roman"/>
                <w:sz w:val="16"/>
                <w:szCs w:val="16"/>
                <w:color w:val="0000FF"/>
              </w:rPr>
            </w:pPr>
            <w:hyperlink r:id="rId87">
              <w:r>
                <w:rPr>
                  <w:rFonts w:ascii="Times New Roman" w:cs="Times New Roman" w:eastAsia="Times New Roman" w:hAnsi="Times New Roman"/>
                  <w:sz w:val="16"/>
                  <w:szCs w:val="16"/>
                  <w:color w:val="0000FF"/>
                </w:rPr>
                <w:t>Agreement and Plan of Merger, dated as of March 4, 2021, by and</w:t>
              </w:r>
            </w:hyperlink>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3/5/21</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20" w:type="dxa"/>
            <w:vAlign w:val="bottom"/>
            <w:tcBorders>
              <w:top w:val="single" w:sz="8" w:color="0000FF"/>
              <w:bottom w:val="single" w:sz="8" w:color="0000FF"/>
            </w:tcBorders>
            <w:gridSpan w:val="24"/>
          </w:tcPr>
          <w:p>
            <w:pPr>
              <w:spacing w:after="0" w:line="169" w:lineRule="exact"/>
              <w:rPr>
                <w:rFonts w:ascii="Times New Roman" w:cs="Times New Roman" w:eastAsia="Times New Roman" w:hAnsi="Times New Roman"/>
                <w:sz w:val="16"/>
                <w:szCs w:val="16"/>
                <w:color w:val="0000FF"/>
              </w:rPr>
            </w:pPr>
            <w:hyperlink r:id="rId87">
              <w:r>
                <w:rPr>
                  <w:rFonts w:ascii="Times New Roman" w:cs="Times New Roman" w:eastAsia="Times New Roman" w:hAnsi="Times New Roman"/>
                  <w:sz w:val="16"/>
                  <w:szCs w:val="16"/>
                  <w:color w:val="0000FF"/>
                </w:rPr>
                <w:t>among Good Works Acquisition Corp., Currency Merger Sub, Inc.</w:t>
              </w:r>
            </w:hyperlink>
          </w:p>
        </w:tc>
        <w:tc>
          <w:tcPr>
            <w:tcW w:w="20" w:type="dxa"/>
            <w:vAlign w:val="bottom"/>
            <w:tcBorders>
              <w:bottom w:val="single" w:sz="8" w:color="0000FF"/>
            </w:tcBorders>
          </w:tcPr>
          <w:p>
            <w:pPr>
              <w:spacing w:after="0"/>
              <w:rPr>
                <w:sz w:val="14"/>
                <w:szCs w:val="14"/>
                <w:color w:val="auto"/>
              </w:rPr>
            </w:pPr>
          </w:p>
        </w:tc>
        <w:tc>
          <w:tcPr>
            <w:tcW w:w="280" w:type="dxa"/>
            <w:vAlign w:val="bottom"/>
            <w:tcBorders>
              <w:bottom w:val="single" w:sz="8" w:color="0000FF"/>
            </w:tcBorders>
            <w:gridSpan w:val="11"/>
          </w:tcPr>
          <w:p>
            <w:pPr>
              <w:ind w:left="20"/>
              <w:spacing w:after="0" w:line="169" w:lineRule="exact"/>
              <w:rPr>
                <w:rFonts w:ascii="Times New Roman" w:cs="Times New Roman" w:eastAsia="Times New Roman" w:hAnsi="Times New Roman"/>
                <w:sz w:val="16"/>
                <w:szCs w:val="16"/>
                <w:color w:val="0000FF"/>
              </w:rPr>
            </w:pPr>
            <w:hyperlink r:id="rId87">
              <w:r>
                <w:rPr>
                  <w:rFonts w:ascii="Times New Roman" w:cs="Times New Roman" w:eastAsia="Times New Roman" w:hAnsi="Times New Roman"/>
                  <w:sz w:val="16"/>
                  <w:szCs w:val="16"/>
                  <w:color w:val="0000FF"/>
                </w:rPr>
                <w:t>and</w:t>
              </w:r>
            </w:hyperlink>
          </w:p>
        </w:tc>
        <w:tc>
          <w:tcPr>
            <w:tcW w:w="120" w:type="dxa"/>
            <w:vAlign w:val="bottom"/>
            <w:gridSpan w:val="2"/>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40" w:type="dxa"/>
            <w:vAlign w:val="bottom"/>
            <w:gridSpan w:val="38"/>
          </w:tcPr>
          <w:p>
            <w:pPr>
              <w:spacing w:after="0" w:line="183" w:lineRule="exact"/>
              <w:rPr>
                <w:rFonts w:ascii="Times New Roman" w:cs="Times New Roman" w:eastAsia="Times New Roman" w:hAnsi="Times New Roman"/>
                <w:sz w:val="16"/>
                <w:szCs w:val="16"/>
                <w:color w:val="0000FF"/>
              </w:rPr>
            </w:pPr>
            <w:hyperlink r:id="rId87">
              <w:r>
                <w:rPr>
                  <w:rFonts w:ascii="Times New Roman" w:cs="Times New Roman" w:eastAsia="Times New Roman" w:hAnsi="Times New Roman"/>
                  <w:sz w:val="16"/>
                  <w:szCs w:val="16"/>
                  <w:color w:val="0000FF"/>
                </w:rPr>
                <w:t>Cipher Mining Technologies Inc.</w:t>
              </w:r>
            </w:hyperlink>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40" w:type="dxa"/>
            <w:vAlign w:val="bottom"/>
            <w:gridSpan w:val="38"/>
          </w:tcPr>
          <w:p>
            <w:pPr>
              <w:spacing w:after="0"/>
              <w:rPr>
                <w:rFonts w:ascii="Times New Roman" w:cs="Times New Roman" w:eastAsia="Times New Roman" w:hAnsi="Times New Roman"/>
                <w:sz w:val="16"/>
                <w:szCs w:val="16"/>
                <w:color w:val="0000FF"/>
              </w:rPr>
            </w:pPr>
            <w:hyperlink r:id="rId88">
              <w:r>
                <w:rPr>
                  <w:rFonts w:ascii="Times New Roman" w:cs="Times New Roman" w:eastAsia="Times New Roman" w:hAnsi="Times New Roman"/>
                  <w:sz w:val="16"/>
                  <w:szCs w:val="16"/>
                  <w:color w:val="0000FF"/>
                </w:rPr>
                <w:t>Amended and Restated Certificate of Incorporation of Cipher Mining</w:t>
              </w:r>
            </w:hyperlink>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2/24/26</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00" w:type="dxa"/>
            <w:vAlign w:val="bottom"/>
            <w:tcBorders>
              <w:top w:val="single" w:sz="8" w:color="0000FF"/>
            </w:tcBorders>
            <w:gridSpan w:val="31"/>
          </w:tcPr>
          <w:p>
            <w:pPr>
              <w:spacing w:after="0" w:line="169" w:lineRule="exact"/>
              <w:rPr>
                <w:rFonts w:ascii="Times New Roman" w:cs="Times New Roman" w:eastAsia="Times New Roman" w:hAnsi="Times New Roman"/>
                <w:sz w:val="16"/>
                <w:szCs w:val="16"/>
                <w:color w:val="0000FF"/>
              </w:rPr>
            </w:pPr>
            <w:hyperlink r:id="rId88">
              <w:r>
                <w:rPr>
                  <w:rFonts w:ascii="Times New Roman" w:cs="Times New Roman" w:eastAsia="Times New Roman" w:hAnsi="Times New Roman"/>
                  <w:sz w:val="16"/>
                  <w:szCs w:val="16"/>
                  <w:color w:val="0000FF"/>
                </w:rPr>
                <w:t>Inc.</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40" w:type="dxa"/>
            <w:vAlign w:val="bottom"/>
            <w:gridSpan w:val="38"/>
          </w:tcPr>
          <w:p>
            <w:pPr>
              <w:spacing w:after="0"/>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color w:val="0000FF"/>
                </w:rPr>
                <w:t>Amended and Restated Bylaws of Cipher Digital Inc.</w:t>
              </w:r>
            </w:hyperlink>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2/24/26</w:t>
            </w:r>
          </w:p>
        </w:tc>
        <w:tc>
          <w:tcPr>
            <w:tcW w:w="0" w:type="dxa"/>
            <w:vAlign w:val="bottom"/>
          </w:tcPr>
          <w:p>
            <w:pPr>
              <w:spacing w:after="0"/>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6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6"/>
                <w:szCs w:val="16"/>
                <w:color w:val="0000FF"/>
              </w:rPr>
              <w:t>Description of Capital Stock.</w:t>
            </w:r>
          </w:p>
        </w:tc>
        <w:tc>
          <w:tcPr>
            <w:tcW w:w="1280" w:type="dxa"/>
            <w:vAlign w:val="bottom"/>
            <w:gridSpan w:val="26"/>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tcBorders>
              <w:top w:val="single" w:sz="8" w:color="0000FF"/>
              <w:bottom w:val="single" w:sz="8" w:color="0000FF"/>
            </w:tcBorders>
            <w:gridSpan w:val="3"/>
          </w:tcPr>
          <w:p>
            <w:pPr>
              <w:spacing w:after="0"/>
              <w:rPr>
                <w:rFonts w:ascii="Times New Roman" w:cs="Times New Roman" w:eastAsia="Times New Roman" w:hAnsi="Times New Roman"/>
                <w:sz w:val="16"/>
                <w:szCs w:val="16"/>
                <w:color w:val="0000FF"/>
              </w:rPr>
            </w:pPr>
            <w:hyperlink r:id="rId90">
              <w:r>
                <w:rPr>
                  <w:rFonts w:ascii="Times New Roman" w:cs="Times New Roman" w:eastAsia="Times New Roman" w:hAnsi="Times New Roman"/>
                  <w:sz w:val="16"/>
                  <w:szCs w:val="16"/>
                  <w:color w:val="0000FF"/>
                </w:rPr>
                <w:t>Form of Debt Indenture</w:t>
              </w:r>
            </w:hyperlink>
          </w:p>
        </w:tc>
        <w:tc>
          <w:tcPr>
            <w:tcW w:w="320" w:type="dxa"/>
            <w:vAlign w:val="bottom"/>
            <w:tcBorders>
              <w:top w:val="single" w:sz="8" w:color="0000FF"/>
            </w:tcBorders>
            <w:gridSpan w:val="2"/>
          </w:tcPr>
          <w:p>
            <w:pPr>
              <w:spacing w:after="0"/>
              <w:rPr>
                <w:sz w:val="19"/>
                <w:szCs w:val="19"/>
                <w:color w:val="auto"/>
              </w:rPr>
            </w:pPr>
          </w:p>
        </w:tc>
        <w:tc>
          <w:tcPr>
            <w:tcW w:w="2860" w:type="dxa"/>
            <w:vAlign w:val="bottom"/>
            <w:gridSpan w:val="33"/>
          </w:tcPr>
          <w:p>
            <w:pPr>
              <w:spacing w:after="0"/>
              <w:rPr>
                <w:sz w:val="19"/>
                <w:szCs w:val="19"/>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S-3ASR</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333-281908</w:t>
            </w:r>
          </w:p>
        </w:tc>
        <w:tc>
          <w:tcPr>
            <w:tcW w:w="1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9/3/24</w:t>
            </w:r>
          </w:p>
        </w:tc>
        <w:tc>
          <w:tcPr>
            <w:tcW w:w="0" w:type="dxa"/>
            <w:vAlign w:val="bottom"/>
          </w:tcPr>
          <w:p>
            <w:pPr>
              <w:spacing w:after="0"/>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40" w:type="dxa"/>
            <w:vAlign w:val="bottom"/>
            <w:gridSpan w:val="38"/>
          </w:tcPr>
          <w:p>
            <w:pPr>
              <w:spacing w:after="0"/>
              <w:rPr>
                <w:rFonts w:ascii="Times New Roman" w:cs="Times New Roman" w:eastAsia="Times New Roman" w:hAnsi="Times New Roman"/>
                <w:sz w:val="16"/>
                <w:szCs w:val="16"/>
                <w:color w:val="0000FF"/>
              </w:rPr>
            </w:pPr>
            <w:hyperlink r:id="rId91">
              <w:r>
                <w:rPr>
                  <w:rFonts w:ascii="Times New Roman" w:cs="Times New Roman" w:eastAsia="Times New Roman" w:hAnsi="Times New Roman"/>
                  <w:sz w:val="16"/>
                  <w:szCs w:val="16"/>
                  <w:color w:val="0000FF"/>
                </w:rPr>
                <w:t>Indenture, dated as of May 22, 2025, between Cipher Mining Inc. and</w:t>
              </w:r>
            </w:hyperlink>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5/22/25</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80" w:type="dxa"/>
            <w:vAlign w:val="bottom"/>
            <w:tcBorders>
              <w:top w:val="single" w:sz="8" w:color="0000FF"/>
              <w:bottom w:val="single" w:sz="8" w:color="0000FF"/>
            </w:tcBorders>
            <w:gridSpan w:val="15"/>
          </w:tcPr>
          <w:p>
            <w:pPr>
              <w:spacing w:after="0" w:line="169" w:lineRule="exact"/>
              <w:rPr>
                <w:rFonts w:ascii="Times New Roman" w:cs="Times New Roman" w:eastAsia="Times New Roman" w:hAnsi="Times New Roman"/>
                <w:sz w:val="16"/>
                <w:szCs w:val="16"/>
                <w:color w:val="0000FF"/>
              </w:rPr>
            </w:pPr>
            <w:hyperlink r:id="rId91">
              <w:r>
                <w:rPr>
                  <w:rFonts w:ascii="Times New Roman" w:cs="Times New Roman" w:eastAsia="Times New Roman" w:hAnsi="Times New Roman"/>
                  <w:sz w:val="16"/>
                  <w:szCs w:val="16"/>
                  <w:color w:val="0000FF"/>
                </w:rPr>
                <w:t>U.S. Bank Trust Company, National Association, as trustee.</w:t>
              </w:r>
            </w:hyperlink>
          </w:p>
        </w:tc>
        <w:tc>
          <w:tcPr>
            <w:tcW w:w="660" w:type="dxa"/>
            <w:vAlign w:val="bottom"/>
            <w:tcBorders>
              <w:top w:val="single" w:sz="8" w:color="0000FF"/>
            </w:tcBorders>
            <w:gridSpan w:val="18"/>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40" w:type="dxa"/>
            <w:vAlign w:val="bottom"/>
            <w:gridSpan w:val="38"/>
          </w:tcPr>
          <w:p>
            <w:pPr>
              <w:spacing w:after="0"/>
              <w:rPr>
                <w:rFonts w:ascii="Times New Roman" w:cs="Times New Roman" w:eastAsia="Times New Roman" w:hAnsi="Times New Roman"/>
                <w:sz w:val="16"/>
                <w:szCs w:val="16"/>
                <w:color w:val="0000FF"/>
              </w:rPr>
            </w:pPr>
            <w:hyperlink r:id="rId92">
              <w:r>
                <w:rPr>
                  <w:rFonts w:ascii="Times New Roman" w:cs="Times New Roman" w:eastAsia="Times New Roman" w:hAnsi="Times New Roman"/>
                  <w:sz w:val="16"/>
                  <w:szCs w:val="16"/>
                  <w:color w:val="0000FF"/>
                </w:rPr>
                <w:t>First Supplemental Indenture, dated as of May 22, 2025, between</w:t>
              </w:r>
            </w:hyperlink>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5/22/25</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40" w:type="dxa"/>
            <w:vAlign w:val="bottom"/>
            <w:tcBorders>
              <w:top w:val="single" w:sz="8" w:color="0000FF"/>
            </w:tcBorders>
            <w:gridSpan w:val="21"/>
          </w:tcPr>
          <w:p>
            <w:pPr>
              <w:spacing w:after="0" w:line="169" w:lineRule="exact"/>
              <w:rPr>
                <w:rFonts w:ascii="Times New Roman" w:cs="Times New Roman" w:eastAsia="Times New Roman" w:hAnsi="Times New Roman"/>
                <w:sz w:val="16"/>
                <w:szCs w:val="16"/>
                <w:color w:val="0000FF"/>
              </w:rPr>
            </w:pPr>
            <w:hyperlink r:id="rId92">
              <w:r>
                <w:rPr>
                  <w:rFonts w:ascii="Times New Roman" w:cs="Times New Roman" w:eastAsia="Times New Roman" w:hAnsi="Times New Roman"/>
                  <w:sz w:val="16"/>
                  <w:szCs w:val="16"/>
                  <w:color w:val="0000FF"/>
                </w:rPr>
                <w:t>Cipher Mining Inc. and U.S. Bank Trust Company, National</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00" w:type="dxa"/>
            <w:vAlign w:val="bottom"/>
            <w:tcBorders>
              <w:top w:val="single" w:sz="8" w:color="0000FF"/>
            </w:tcBorders>
            <w:gridSpan w:val="16"/>
          </w:tcPr>
          <w:p>
            <w:pPr>
              <w:spacing w:after="0" w:line="183" w:lineRule="exact"/>
              <w:rPr>
                <w:rFonts w:ascii="Times New Roman" w:cs="Times New Roman" w:eastAsia="Times New Roman" w:hAnsi="Times New Roman"/>
                <w:sz w:val="16"/>
                <w:szCs w:val="16"/>
                <w:color w:val="0000FF"/>
              </w:rPr>
            </w:pPr>
            <w:hyperlink r:id="rId92">
              <w:r>
                <w:rPr>
                  <w:rFonts w:ascii="Times New Roman" w:cs="Times New Roman" w:eastAsia="Times New Roman" w:hAnsi="Times New Roman"/>
                  <w:sz w:val="16"/>
                  <w:szCs w:val="16"/>
                  <w:color w:val="0000FF"/>
                </w:rPr>
                <w:t>Association, as Trustee.</w:t>
              </w:r>
            </w:hyperlink>
          </w:p>
        </w:tc>
        <w:tc>
          <w:tcPr>
            <w:tcW w:w="840" w:type="dxa"/>
            <w:vAlign w:val="bottom"/>
            <w:gridSpan w:val="22"/>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40" w:type="dxa"/>
            <w:vAlign w:val="bottom"/>
            <w:gridSpan w:val="38"/>
          </w:tcPr>
          <w:p>
            <w:pPr>
              <w:spacing w:after="0"/>
              <w:rPr>
                <w:rFonts w:ascii="Times New Roman" w:cs="Times New Roman" w:eastAsia="Times New Roman" w:hAnsi="Times New Roman"/>
                <w:sz w:val="16"/>
                <w:szCs w:val="16"/>
                <w:color w:val="0000FF"/>
              </w:rPr>
            </w:pPr>
            <w:hyperlink r:id="rId92">
              <w:r>
                <w:rPr>
                  <w:rFonts w:ascii="Times New Roman" w:cs="Times New Roman" w:eastAsia="Times New Roman" w:hAnsi="Times New Roman"/>
                  <w:sz w:val="16"/>
                  <w:szCs w:val="16"/>
                  <w:color w:val="0000FF"/>
                </w:rPr>
                <w:t>Form of 1.75% Convertible Senior Note Due 2030 (included as</w:t>
              </w:r>
            </w:hyperlink>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5/22/25</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6"/>
                <w:szCs w:val="16"/>
                <w:color w:val="0000FF"/>
              </w:rPr>
            </w:pPr>
            <w:hyperlink r:id="rId92">
              <w:r>
                <w:rPr>
                  <w:rFonts w:ascii="Times New Roman" w:cs="Times New Roman" w:eastAsia="Times New Roman" w:hAnsi="Times New Roman"/>
                  <w:sz w:val="16"/>
                  <w:szCs w:val="16"/>
                  <w:color w:val="0000FF"/>
                </w:rPr>
                <w:t>Exhibit A to Exhibit 4.4).</w:t>
              </w:r>
            </w:hyperlink>
          </w:p>
        </w:tc>
        <w:tc>
          <w:tcPr>
            <w:tcW w:w="2460" w:type="dxa"/>
            <w:vAlign w:val="bottom"/>
            <w:tcBorders>
              <w:top w:val="single" w:sz="8" w:color="0000FF"/>
            </w:tcBorders>
            <w:gridSpan w:val="15"/>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40" w:type="dxa"/>
            <w:vAlign w:val="bottom"/>
            <w:gridSpan w:val="38"/>
          </w:tcPr>
          <w:p>
            <w:pPr>
              <w:spacing w:after="0"/>
              <w:rPr>
                <w:rFonts w:ascii="Times New Roman" w:cs="Times New Roman" w:eastAsia="Times New Roman" w:hAnsi="Times New Roman"/>
                <w:sz w:val="16"/>
                <w:szCs w:val="16"/>
                <w:color w:val="0000FF"/>
              </w:rPr>
            </w:pPr>
            <w:hyperlink r:id="rId93">
              <w:r>
                <w:rPr>
                  <w:rFonts w:ascii="Times New Roman" w:cs="Times New Roman" w:eastAsia="Times New Roman" w:hAnsi="Times New Roman"/>
                  <w:sz w:val="16"/>
                  <w:szCs w:val="16"/>
                  <w:color w:val="0000FF"/>
                </w:rPr>
                <w:t>Warrant Agreement, by and between Cipher Mining Inc. and Google</w:t>
              </w:r>
            </w:hyperlink>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9/25/25</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4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6"/>
                <w:szCs w:val="16"/>
                <w:color w:val="0000FF"/>
              </w:rPr>
            </w:pPr>
            <w:hyperlink r:id="rId93">
              <w:r>
                <w:rPr>
                  <w:rFonts w:ascii="Times New Roman" w:cs="Times New Roman" w:eastAsia="Times New Roman" w:hAnsi="Times New Roman"/>
                  <w:sz w:val="16"/>
                  <w:szCs w:val="16"/>
                  <w:color w:val="0000FF"/>
                </w:rPr>
                <w:t>LLC, dated September 24, 2025.</w:t>
              </w:r>
            </w:hyperlink>
          </w:p>
        </w:tc>
        <w:tc>
          <w:tcPr>
            <w:tcW w:w="2340" w:type="dxa"/>
            <w:vAlign w:val="bottom"/>
            <w:tcBorders>
              <w:top w:val="single" w:sz="8" w:color="0000FF"/>
            </w:tcBorders>
            <w:gridSpan w:val="23"/>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40" w:type="dxa"/>
            <w:vAlign w:val="bottom"/>
            <w:gridSpan w:val="38"/>
          </w:tcPr>
          <w:p>
            <w:pPr>
              <w:spacing w:after="0"/>
              <w:rPr>
                <w:rFonts w:ascii="Times New Roman" w:cs="Times New Roman" w:eastAsia="Times New Roman" w:hAnsi="Times New Roman"/>
                <w:sz w:val="16"/>
                <w:szCs w:val="16"/>
                <w:color w:val="0000FF"/>
              </w:rPr>
            </w:pPr>
            <w:hyperlink r:id="rId94">
              <w:r>
                <w:rPr>
                  <w:rFonts w:ascii="Times New Roman" w:cs="Times New Roman" w:eastAsia="Times New Roman" w:hAnsi="Times New Roman"/>
                  <w:sz w:val="16"/>
                  <w:szCs w:val="16"/>
                  <w:color w:val="0000FF"/>
                </w:rPr>
                <w:t>Amended and Restated Warrant Agreement, by and among Cipher</w:t>
              </w:r>
            </w:hyperlink>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11/20/25</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40" w:type="dxa"/>
            <w:vAlign w:val="bottom"/>
            <w:tcBorders>
              <w:top w:val="single" w:sz="8" w:color="0000FF"/>
            </w:tcBorders>
            <w:gridSpan w:val="25"/>
          </w:tcPr>
          <w:p>
            <w:pPr>
              <w:spacing w:after="0" w:line="169" w:lineRule="exact"/>
              <w:rPr>
                <w:rFonts w:ascii="Times New Roman" w:cs="Times New Roman" w:eastAsia="Times New Roman" w:hAnsi="Times New Roman"/>
                <w:sz w:val="16"/>
                <w:szCs w:val="16"/>
                <w:color w:val="0000FF"/>
              </w:rPr>
            </w:pPr>
            <w:hyperlink r:id="rId94">
              <w:r>
                <w:rPr>
                  <w:rFonts w:ascii="Times New Roman" w:cs="Times New Roman" w:eastAsia="Times New Roman" w:hAnsi="Times New Roman"/>
                  <w:sz w:val="16"/>
                  <w:szCs w:val="16"/>
                  <w:color w:val="0000FF"/>
                </w:rPr>
                <w:t>Mining Inc. and Google LLC, dated November 20, 2025.</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6"/>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40" w:type="dxa"/>
            <w:vAlign w:val="bottom"/>
            <w:gridSpan w:val="38"/>
          </w:tcPr>
          <w:p>
            <w:pPr>
              <w:spacing w:after="0"/>
              <w:rPr>
                <w:rFonts w:ascii="Times New Roman" w:cs="Times New Roman" w:eastAsia="Times New Roman" w:hAnsi="Times New Roman"/>
                <w:sz w:val="16"/>
                <w:szCs w:val="16"/>
                <w:color w:val="0000FF"/>
              </w:rPr>
            </w:pPr>
            <w:hyperlink r:id="rId95">
              <w:r>
                <w:rPr>
                  <w:rFonts w:ascii="Times New Roman" w:cs="Times New Roman" w:eastAsia="Times New Roman" w:hAnsi="Times New Roman"/>
                  <w:sz w:val="16"/>
                  <w:szCs w:val="16"/>
                  <w:color w:val="0000FF"/>
                </w:rPr>
                <w:t>Indenture, dated as of September 30, 2025, between Cipher Mining</w:t>
              </w:r>
            </w:hyperlink>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9/30/25</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60" w:type="dxa"/>
            <w:vAlign w:val="bottom"/>
            <w:tcBorders>
              <w:top w:val="single" w:sz="8" w:color="0000FF"/>
              <w:bottom w:val="single" w:sz="8" w:color="0000FF"/>
            </w:tcBorders>
            <w:gridSpan w:val="26"/>
          </w:tcPr>
          <w:p>
            <w:pPr>
              <w:spacing w:after="0" w:line="169" w:lineRule="exact"/>
              <w:rPr>
                <w:rFonts w:ascii="Times New Roman" w:cs="Times New Roman" w:eastAsia="Times New Roman" w:hAnsi="Times New Roman"/>
                <w:sz w:val="16"/>
                <w:szCs w:val="16"/>
                <w:color w:val="0000FF"/>
                <w:w w:val="98"/>
              </w:rPr>
            </w:pPr>
            <w:hyperlink r:id="rId95">
              <w:r>
                <w:rPr>
                  <w:rFonts w:ascii="Times New Roman" w:cs="Times New Roman" w:eastAsia="Times New Roman" w:hAnsi="Times New Roman"/>
                  <w:sz w:val="16"/>
                  <w:szCs w:val="16"/>
                  <w:color w:val="0000FF"/>
                  <w:w w:val="98"/>
                </w:rPr>
                <w:t>Inc. and U.S. Bank Trust Company, National Association, as trustee.</w:t>
              </w:r>
            </w:hyperlink>
          </w:p>
        </w:tc>
        <w:tc>
          <w:tcPr>
            <w:tcW w:w="20" w:type="dxa"/>
            <w:vAlign w:val="bottom"/>
            <w:tcBorders>
              <w:bottom w:val="single" w:sz="8" w:color="0000FF"/>
            </w:tcBorders>
          </w:tcPr>
          <w:p>
            <w:pPr>
              <w:spacing w:after="0"/>
              <w:rPr>
                <w:sz w:val="14"/>
                <w:szCs w:val="14"/>
                <w:color w:val="auto"/>
              </w:rPr>
            </w:pPr>
          </w:p>
        </w:tc>
        <w:tc>
          <w:tcPr>
            <w:tcW w:w="6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40" w:type="dxa"/>
            <w:vAlign w:val="bottom"/>
            <w:gridSpan w:val="38"/>
          </w:tcPr>
          <w:p>
            <w:pPr>
              <w:spacing w:after="0"/>
              <w:rPr>
                <w:rFonts w:ascii="Times New Roman" w:cs="Times New Roman" w:eastAsia="Times New Roman" w:hAnsi="Times New Roman"/>
                <w:sz w:val="16"/>
                <w:szCs w:val="16"/>
                <w:color w:val="0000FF"/>
              </w:rPr>
            </w:pPr>
            <w:hyperlink r:id="rId96">
              <w:r>
                <w:rPr>
                  <w:rFonts w:ascii="Times New Roman" w:cs="Times New Roman" w:eastAsia="Times New Roman" w:hAnsi="Times New Roman"/>
                  <w:sz w:val="16"/>
                  <w:szCs w:val="16"/>
                  <w:color w:val="0000FF"/>
                </w:rPr>
                <w:t>Form of certificate representing the 0.00% Convertible Senior Notes</w:t>
              </w:r>
            </w:hyperlink>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9/30/25</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40" w:type="dxa"/>
            <w:vAlign w:val="bottom"/>
            <w:tcBorders>
              <w:top w:val="single" w:sz="8" w:color="0000FF"/>
            </w:tcBorders>
            <w:gridSpan w:val="28"/>
          </w:tcPr>
          <w:p>
            <w:pPr>
              <w:spacing w:after="0" w:line="169" w:lineRule="exact"/>
              <w:rPr>
                <w:rFonts w:ascii="Times New Roman" w:cs="Times New Roman" w:eastAsia="Times New Roman" w:hAnsi="Times New Roman"/>
                <w:sz w:val="16"/>
                <w:szCs w:val="16"/>
                <w:color w:val="0000FF"/>
              </w:rPr>
            </w:pPr>
            <w:hyperlink r:id="rId96">
              <w:r>
                <w:rPr>
                  <w:rFonts w:ascii="Times New Roman" w:cs="Times New Roman" w:eastAsia="Times New Roman" w:hAnsi="Times New Roman"/>
                  <w:sz w:val="16"/>
                  <w:szCs w:val="16"/>
                  <w:color w:val="0000FF"/>
                </w:rPr>
                <w:t>due 2031 (included as Exhibit A to Exhibit 4.1).</w:t>
              </w:r>
            </w:hyperlink>
          </w:p>
        </w:tc>
        <w:tc>
          <w:tcPr>
            <w:tcW w:w="80" w:type="dxa"/>
            <w:vAlign w:val="bottom"/>
            <w:gridSpan w:val="4"/>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6"/>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4.10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40" w:type="dxa"/>
            <w:vAlign w:val="bottom"/>
            <w:gridSpan w:val="38"/>
          </w:tcPr>
          <w:p>
            <w:pPr>
              <w:spacing w:after="0"/>
              <w:rPr>
                <w:rFonts w:ascii="Times New Roman" w:cs="Times New Roman" w:eastAsia="Times New Roman" w:hAnsi="Times New Roman"/>
                <w:sz w:val="16"/>
                <w:szCs w:val="16"/>
                <w:color w:val="0000FF"/>
              </w:rPr>
            </w:pPr>
            <w:hyperlink r:id="rId97">
              <w:r>
                <w:rPr>
                  <w:rFonts w:ascii="Times New Roman" w:cs="Times New Roman" w:eastAsia="Times New Roman" w:hAnsi="Times New Roman"/>
                  <w:sz w:val="16"/>
                  <w:szCs w:val="16"/>
                  <w:color w:val="0000FF"/>
                </w:rPr>
                <w:t>Indenture, dated as of November 13, 2025, among Cipher Compute</w:t>
              </w:r>
            </w:hyperlink>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11/13/25</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40" w:type="dxa"/>
            <w:vAlign w:val="bottom"/>
            <w:tcBorders>
              <w:top w:val="single" w:sz="8" w:color="0000FF"/>
              <w:bottom w:val="single" w:sz="8" w:color="0000FF"/>
            </w:tcBorders>
            <w:gridSpan w:val="14"/>
          </w:tcPr>
          <w:p>
            <w:pPr>
              <w:spacing w:after="0" w:line="169" w:lineRule="exact"/>
              <w:rPr>
                <w:rFonts w:ascii="Times New Roman" w:cs="Times New Roman" w:eastAsia="Times New Roman" w:hAnsi="Times New Roman"/>
                <w:sz w:val="16"/>
                <w:szCs w:val="16"/>
                <w:color w:val="0000FF"/>
              </w:rPr>
            </w:pPr>
            <w:hyperlink r:id="rId97">
              <w:r>
                <w:rPr>
                  <w:rFonts w:ascii="Times New Roman" w:cs="Times New Roman" w:eastAsia="Times New Roman" w:hAnsi="Times New Roman"/>
                  <w:sz w:val="16"/>
                  <w:szCs w:val="16"/>
                  <w:color w:val="0000FF"/>
                </w:rPr>
                <w:t>LLC, Cipher Barber Lake LLC, Cipher Songbird LLC, and</w:t>
              </w:r>
            </w:hyperlink>
          </w:p>
        </w:tc>
        <w:tc>
          <w:tcPr>
            <w:tcW w:w="540" w:type="dxa"/>
            <w:vAlign w:val="bottom"/>
            <w:tcBorders>
              <w:top w:val="single" w:sz="8" w:color="0000FF"/>
            </w:tcBorders>
            <w:gridSpan w:val="13"/>
          </w:tcPr>
          <w:p>
            <w:pPr>
              <w:spacing w:after="0"/>
              <w:rPr>
                <w:sz w:val="14"/>
                <w:szCs w:val="14"/>
                <w:color w:val="auto"/>
              </w:rPr>
            </w:pPr>
          </w:p>
        </w:tc>
        <w:tc>
          <w:tcPr>
            <w:tcW w:w="140" w:type="dxa"/>
            <w:vAlign w:val="bottom"/>
            <w:gridSpan w:val="5"/>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40" w:type="dxa"/>
            <w:vAlign w:val="bottom"/>
            <w:gridSpan w:val="38"/>
          </w:tcPr>
          <w:p>
            <w:pPr>
              <w:spacing w:after="0" w:line="183" w:lineRule="exact"/>
              <w:rPr>
                <w:rFonts w:ascii="Times New Roman" w:cs="Times New Roman" w:eastAsia="Times New Roman" w:hAnsi="Times New Roman"/>
                <w:sz w:val="16"/>
                <w:szCs w:val="16"/>
                <w:color w:val="0000FF"/>
              </w:rPr>
            </w:pPr>
            <w:hyperlink r:id="rId97">
              <w:r>
                <w:rPr>
                  <w:rFonts w:ascii="Times New Roman" w:cs="Times New Roman" w:eastAsia="Times New Roman" w:hAnsi="Times New Roman"/>
                  <w:sz w:val="16"/>
                  <w:szCs w:val="16"/>
                  <w:color w:val="0000FF"/>
                </w:rPr>
                <w:t>Wilmington Trust, National Association, as trustee, relating to the</w:t>
              </w:r>
            </w:hyperlink>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6"/>
                <w:szCs w:val="16"/>
                <w:color w:val="0000FF"/>
              </w:rPr>
            </w:pPr>
            <w:hyperlink r:id="rId97">
              <w:r>
                <w:rPr>
                  <w:rFonts w:ascii="Times New Roman" w:cs="Times New Roman" w:eastAsia="Times New Roman" w:hAnsi="Times New Roman"/>
                  <w:sz w:val="16"/>
                  <w:szCs w:val="16"/>
                  <w:color w:val="0000FF"/>
                </w:rPr>
                <w:t>7.</w:t>
              </w:r>
              <w:r>
                <w:rPr>
                  <w:rFonts w:ascii="Times New Roman" w:cs="Times New Roman" w:eastAsia="Times New Roman" w:hAnsi="Times New Roman"/>
                  <w:sz w:val="16"/>
                  <w:szCs w:val="16"/>
                  <w:u w:val="single" w:color="auto"/>
                  <w:color w:val="0000FF"/>
                </w:rPr>
                <w:t>125%</w:t>
              </w:r>
              <w:r>
                <w:rPr>
                  <w:rFonts w:ascii="Times New Roman" w:cs="Times New Roman" w:eastAsia="Times New Roman" w:hAnsi="Times New Roman"/>
                  <w:sz w:val="16"/>
                  <w:szCs w:val="16"/>
                  <w:color w:val="0000FF"/>
                </w:rPr>
                <w:t xml:space="preserve"> senior secured notes.</w:t>
              </w:r>
            </w:hyperlink>
          </w:p>
        </w:tc>
        <w:tc>
          <w:tcPr>
            <w:tcW w:w="2360" w:type="dxa"/>
            <w:vAlign w:val="bottom"/>
            <w:tcBorders>
              <w:top w:val="single" w:sz="8" w:color="0000FF"/>
            </w:tcBorders>
            <w:gridSpan w:val="16"/>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gridSpan w:val="9"/>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4.11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40" w:type="dxa"/>
            <w:vAlign w:val="bottom"/>
            <w:gridSpan w:val="38"/>
          </w:tcPr>
          <w:p>
            <w:pPr>
              <w:spacing w:after="0"/>
              <w:rPr>
                <w:rFonts w:ascii="Times New Roman" w:cs="Times New Roman" w:eastAsia="Times New Roman" w:hAnsi="Times New Roman"/>
                <w:sz w:val="16"/>
                <w:szCs w:val="16"/>
                <w:color w:val="0000FF"/>
              </w:rPr>
            </w:pPr>
            <w:hyperlink r:id="rId97">
              <w:r>
                <w:rPr>
                  <w:rFonts w:ascii="Times New Roman" w:cs="Times New Roman" w:eastAsia="Times New Roman" w:hAnsi="Times New Roman"/>
                  <w:sz w:val="16"/>
                  <w:szCs w:val="16"/>
                  <w:color w:val="0000FF"/>
                </w:rPr>
                <w:t>Form of Note representing the 7.125% Senior Secured Notes due 2030</w:t>
              </w:r>
            </w:hyperlink>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11/13/25</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0" w:type="dxa"/>
            <w:vAlign w:val="bottom"/>
            <w:tcBorders>
              <w:top w:val="single" w:sz="8" w:color="0000FF"/>
            </w:tcBorders>
            <w:gridSpan w:val="35"/>
          </w:tcPr>
          <w:p>
            <w:pPr>
              <w:spacing w:after="0" w:line="169" w:lineRule="exact"/>
              <w:rPr>
                <w:rFonts w:ascii="Times New Roman" w:cs="Times New Roman" w:eastAsia="Times New Roman" w:hAnsi="Times New Roman"/>
                <w:sz w:val="16"/>
                <w:szCs w:val="16"/>
                <w:color w:val="0000FF"/>
              </w:rPr>
            </w:pPr>
            <w:hyperlink r:id="rId97">
              <w:r>
                <w:rPr>
                  <w:rFonts w:ascii="Times New Roman" w:cs="Times New Roman" w:eastAsia="Times New Roman" w:hAnsi="Times New Roman"/>
                  <w:sz w:val="16"/>
                  <w:szCs w:val="16"/>
                  <w:color w:val="0000FF"/>
                </w:rPr>
                <w:t>(included as Exhibit A to Exhibit 4.1).</w:t>
              </w:r>
            </w:hyperlink>
          </w:p>
        </w:tc>
        <w:tc>
          <w:tcPr>
            <w:tcW w:w="140" w:type="dxa"/>
            <w:vAlign w:val="bottom"/>
            <w:gridSpan w:val="3"/>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8"/>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gridSpan w:val="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4.12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40" w:type="dxa"/>
            <w:vAlign w:val="bottom"/>
            <w:gridSpan w:val="38"/>
          </w:tcPr>
          <w:p>
            <w:pPr>
              <w:spacing w:after="0"/>
              <w:rPr>
                <w:rFonts w:ascii="Times New Roman" w:cs="Times New Roman" w:eastAsia="Times New Roman" w:hAnsi="Times New Roman"/>
                <w:sz w:val="16"/>
                <w:szCs w:val="16"/>
                <w:color w:val="0000FF"/>
              </w:rPr>
            </w:pPr>
            <w:hyperlink r:id="rId98">
              <w:r>
                <w:rPr>
                  <w:rFonts w:ascii="Times New Roman" w:cs="Times New Roman" w:eastAsia="Times New Roman" w:hAnsi="Times New Roman"/>
                  <w:sz w:val="16"/>
                  <w:szCs w:val="16"/>
                  <w:color w:val="0000FF"/>
                </w:rPr>
                <w:t>Supplemental Indenture, dated as of November 24, 2025, among</w:t>
              </w:r>
            </w:hyperlink>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11/24/25</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80" w:type="dxa"/>
            <w:vAlign w:val="bottom"/>
            <w:tcBorders>
              <w:top w:val="single" w:sz="8" w:color="0000FF"/>
              <w:bottom w:val="single" w:sz="8" w:color="0000FF"/>
            </w:tcBorders>
            <w:gridSpan w:val="20"/>
          </w:tcPr>
          <w:p>
            <w:pPr>
              <w:spacing w:after="0" w:line="169" w:lineRule="exact"/>
              <w:rPr>
                <w:rFonts w:ascii="Times New Roman" w:cs="Times New Roman" w:eastAsia="Times New Roman" w:hAnsi="Times New Roman"/>
                <w:sz w:val="16"/>
                <w:szCs w:val="16"/>
                <w:color w:val="0000FF"/>
                <w:w w:val="98"/>
              </w:rPr>
            </w:pPr>
            <w:hyperlink r:id="rId98">
              <w:r>
                <w:rPr>
                  <w:rFonts w:ascii="Times New Roman" w:cs="Times New Roman" w:eastAsia="Times New Roman" w:hAnsi="Times New Roman"/>
                  <w:sz w:val="16"/>
                  <w:szCs w:val="16"/>
                  <w:color w:val="0000FF"/>
                  <w:w w:val="98"/>
                </w:rPr>
                <w:t>Cipher Compute LLC, Cipher Barber Lake LLC, Cipher Songbird</w:t>
              </w:r>
            </w:hyperlink>
          </w:p>
        </w:tc>
        <w:tc>
          <w:tcPr>
            <w:tcW w:w="120" w:type="dxa"/>
            <w:vAlign w:val="bottom"/>
            <w:tcBorders>
              <w:bottom w:val="single" w:sz="8" w:color="0000FF"/>
            </w:tcBorders>
            <w:gridSpan w:val="3"/>
          </w:tcPr>
          <w:p>
            <w:pPr>
              <w:spacing w:after="0"/>
              <w:rPr>
                <w:sz w:val="14"/>
                <w:szCs w:val="14"/>
                <w:color w:val="auto"/>
              </w:rPr>
            </w:pPr>
          </w:p>
        </w:tc>
        <w:tc>
          <w:tcPr>
            <w:tcW w:w="220" w:type="dxa"/>
            <w:vAlign w:val="bottom"/>
            <w:gridSpan w:val="9"/>
          </w:tcPr>
          <w:p>
            <w:pPr>
              <w:spacing w:after="0"/>
              <w:rPr>
                <w:sz w:val="14"/>
                <w:szCs w:val="14"/>
                <w:color w:val="auto"/>
              </w:rPr>
            </w:pPr>
          </w:p>
        </w:tc>
        <w:tc>
          <w:tcPr>
            <w:tcW w:w="60" w:type="dxa"/>
            <w:vAlign w:val="bottom"/>
            <w:gridSpan w:val="2"/>
          </w:tcPr>
          <w:p>
            <w:pPr>
              <w:spacing w:after="0"/>
              <w:rPr>
                <w:sz w:val="14"/>
                <w:szCs w:val="14"/>
                <w:color w:val="auto"/>
              </w:rPr>
            </w:pPr>
          </w:p>
        </w:tc>
        <w:tc>
          <w:tcPr>
            <w:tcW w:w="160" w:type="dxa"/>
            <w:vAlign w:val="bottom"/>
            <w:gridSpan w:val="4"/>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40" w:type="dxa"/>
            <w:vAlign w:val="bottom"/>
            <w:gridSpan w:val="38"/>
          </w:tcPr>
          <w:p>
            <w:pPr>
              <w:spacing w:after="0" w:line="183" w:lineRule="exact"/>
              <w:rPr>
                <w:rFonts w:ascii="Times New Roman" w:cs="Times New Roman" w:eastAsia="Times New Roman" w:hAnsi="Times New Roman"/>
                <w:sz w:val="16"/>
                <w:szCs w:val="16"/>
                <w:color w:val="0000FF"/>
              </w:rPr>
            </w:pPr>
            <w:hyperlink r:id="rId98">
              <w:r>
                <w:rPr>
                  <w:rFonts w:ascii="Times New Roman" w:cs="Times New Roman" w:eastAsia="Times New Roman" w:hAnsi="Times New Roman"/>
                  <w:sz w:val="16"/>
                  <w:szCs w:val="16"/>
                  <w:color w:val="0000FF"/>
                </w:rPr>
                <w:t>LLC, and Wilmington Trust, National Association, as trustee, relating</w:t>
              </w:r>
            </w:hyperlink>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6"/>
                <w:szCs w:val="16"/>
                <w:color w:val="0000FF"/>
              </w:rPr>
            </w:pPr>
            <w:hyperlink r:id="rId98">
              <w:r>
                <w:rPr>
                  <w:rFonts w:ascii="Times New Roman" w:cs="Times New Roman" w:eastAsia="Times New Roman" w:hAnsi="Times New Roman"/>
                  <w:sz w:val="16"/>
                  <w:szCs w:val="16"/>
                  <w:color w:val="0000FF"/>
                </w:rPr>
                <w:t>to the 7.125% senior secured notes.</w:t>
              </w:r>
            </w:hyperlink>
          </w:p>
        </w:tc>
        <w:tc>
          <w:tcPr>
            <w:tcW w:w="2220" w:type="dxa"/>
            <w:vAlign w:val="bottom"/>
            <w:tcBorders>
              <w:top w:val="single" w:sz="8" w:color="0000FF"/>
            </w:tcBorders>
            <w:gridSpan w:val="24"/>
          </w:tcPr>
          <w:p>
            <w:pPr>
              <w:spacing w:after="0"/>
              <w:rPr>
                <w:sz w:val="14"/>
                <w:szCs w:val="14"/>
                <w:color w:val="auto"/>
              </w:rPr>
            </w:pPr>
          </w:p>
        </w:tc>
        <w:tc>
          <w:tcPr>
            <w:tcW w:w="60" w:type="dxa"/>
            <w:vAlign w:val="bottom"/>
            <w:gridSpan w:val="2"/>
          </w:tcPr>
          <w:p>
            <w:pPr>
              <w:spacing w:after="0"/>
              <w:rPr>
                <w:sz w:val="14"/>
                <w:szCs w:val="14"/>
                <w:color w:val="auto"/>
              </w:rPr>
            </w:pPr>
          </w:p>
        </w:tc>
        <w:tc>
          <w:tcPr>
            <w:tcW w:w="160" w:type="dxa"/>
            <w:vAlign w:val="bottom"/>
            <w:gridSpan w:val="4"/>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4.13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40" w:type="dxa"/>
            <w:vAlign w:val="bottom"/>
            <w:gridSpan w:val="38"/>
          </w:tcPr>
          <w:p>
            <w:pPr>
              <w:spacing w:after="0"/>
              <w:rPr>
                <w:rFonts w:ascii="Times New Roman" w:cs="Times New Roman" w:eastAsia="Times New Roman" w:hAnsi="Times New Roman"/>
                <w:sz w:val="16"/>
                <w:szCs w:val="16"/>
                <w:color w:val="0000FF"/>
              </w:rPr>
            </w:pPr>
            <w:hyperlink r:id="rId99">
              <w:r>
                <w:rPr>
                  <w:rFonts w:ascii="Times New Roman" w:cs="Times New Roman" w:eastAsia="Times New Roman" w:hAnsi="Times New Roman"/>
                  <w:sz w:val="16"/>
                  <w:szCs w:val="16"/>
                  <w:color w:val="0000FF"/>
                </w:rPr>
                <w:t>Indenture, dated as of February 11, 2026, among Black Pearl Compute</w:t>
              </w:r>
            </w:hyperlink>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2/11/26</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20" w:type="dxa"/>
            <w:vAlign w:val="bottom"/>
            <w:tcBorders>
              <w:top w:val="single" w:sz="8" w:color="0000FF"/>
              <w:bottom w:val="single" w:sz="8" w:color="0000FF"/>
            </w:tcBorders>
            <w:gridSpan w:val="17"/>
          </w:tcPr>
          <w:p>
            <w:pPr>
              <w:spacing w:after="0" w:line="169" w:lineRule="exact"/>
              <w:rPr>
                <w:rFonts w:ascii="Times New Roman" w:cs="Times New Roman" w:eastAsia="Times New Roman" w:hAnsi="Times New Roman"/>
                <w:sz w:val="16"/>
                <w:szCs w:val="16"/>
                <w:color w:val="0000FF"/>
              </w:rPr>
            </w:pPr>
            <w:hyperlink r:id="rId99">
              <w:r>
                <w:rPr>
                  <w:rFonts w:ascii="Times New Roman" w:cs="Times New Roman" w:eastAsia="Times New Roman" w:hAnsi="Times New Roman"/>
                  <w:sz w:val="16"/>
                  <w:szCs w:val="16"/>
                  <w:color w:val="0000FF"/>
                </w:rPr>
                <w:t>LLC, Cipher Black Pearl LLC, 11786 Wink LLC, Black Pearl</w:t>
              </w:r>
            </w:hyperlink>
          </w:p>
        </w:tc>
        <w:tc>
          <w:tcPr>
            <w:tcW w:w="560" w:type="dxa"/>
            <w:vAlign w:val="bottom"/>
            <w:tcBorders>
              <w:top w:val="single" w:sz="8" w:color="0000FF"/>
            </w:tcBorders>
            <w:gridSpan w:val="17"/>
          </w:tcPr>
          <w:p>
            <w:pPr>
              <w:spacing w:after="0"/>
              <w:rPr>
                <w:sz w:val="14"/>
                <w:szCs w:val="14"/>
                <w:color w:val="auto"/>
              </w:rPr>
            </w:pPr>
          </w:p>
        </w:tc>
        <w:tc>
          <w:tcPr>
            <w:tcW w:w="160" w:type="dxa"/>
            <w:vAlign w:val="bottom"/>
            <w:gridSpan w:val="4"/>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40" w:type="dxa"/>
            <w:vAlign w:val="bottom"/>
            <w:gridSpan w:val="38"/>
          </w:tcPr>
          <w:p>
            <w:pPr>
              <w:spacing w:after="0" w:line="183" w:lineRule="exact"/>
              <w:rPr>
                <w:rFonts w:ascii="Times New Roman" w:cs="Times New Roman" w:eastAsia="Times New Roman" w:hAnsi="Times New Roman"/>
                <w:sz w:val="16"/>
                <w:szCs w:val="16"/>
                <w:color w:val="0000FF"/>
              </w:rPr>
            </w:pPr>
            <w:hyperlink r:id="rId99">
              <w:r>
                <w:rPr>
                  <w:rFonts w:ascii="Times New Roman" w:cs="Times New Roman" w:eastAsia="Times New Roman" w:hAnsi="Times New Roman"/>
                  <w:sz w:val="16"/>
                  <w:szCs w:val="16"/>
                  <w:color w:val="0000FF"/>
                </w:rPr>
                <w:t>Holdings LLC, and Wilmington Trust, National Association, as</w:t>
              </w:r>
            </w:hyperlink>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00" w:type="dxa"/>
            <w:vAlign w:val="bottom"/>
            <w:tcBorders>
              <w:top w:val="single" w:sz="8" w:color="0000FF"/>
            </w:tcBorders>
            <w:gridSpan w:val="18"/>
          </w:tcPr>
          <w:p>
            <w:pPr>
              <w:spacing w:after="0" w:line="169" w:lineRule="exact"/>
              <w:rPr>
                <w:rFonts w:ascii="Times New Roman" w:cs="Times New Roman" w:eastAsia="Times New Roman" w:hAnsi="Times New Roman"/>
                <w:sz w:val="16"/>
                <w:szCs w:val="16"/>
                <w:color w:val="0000FF"/>
              </w:rPr>
            </w:pPr>
            <w:hyperlink r:id="rId99">
              <w:r>
                <w:rPr>
                  <w:rFonts w:ascii="Times New Roman" w:cs="Times New Roman" w:eastAsia="Times New Roman" w:hAnsi="Times New Roman"/>
                  <w:sz w:val="16"/>
                  <w:szCs w:val="16"/>
                  <w:color w:val="0000FF"/>
                </w:rPr>
                <w:t>trustee, relating to the 6.125% senior secured notes.</w:t>
              </w:r>
            </w:hyperlink>
          </w:p>
        </w:tc>
        <w:tc>
          <w:tcPr>
            <w:tcW w:w="640" w:type="dxa"/>
            <w:vAlign w:val="bottom"/>
            <w:gridSpan w:val="20"/>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40" w:type="dxa"/>
            <w:vAlign w:val="bottom"/>
            <w:gridSpan w:val="11"/>
            <w:shd w:val="clear" w:color="auto" w:fill="0000FF"/>
          </w:tcPr>
          <w:p>
            <w:pPr>
              <w:spacing w:after="0" w:line="20" w:lineRule="exact"/>
              <w:rPr>
                <w:sz w:val="1"/>
                <w:szCs w:val="1"/>
                <w:color w:val="auto"/>
              </w:rPr>
            </w:pPr>
          </w:p>
        </w:tc>
        <w:tc>
          <w:tcPr>
            <w:tcW w:w="1400" w:type="dxa"/>
            <w:vAlign w:val="bottom"/>
            <w:gridSpan w:val="27"/>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4.14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40" w:type="dxa"/>
            <w:vAlign w:val="bottom"/>
            <w:gridSpan w:val="38"/>
          </w:tcPr>
          <w:p>
            <w:pPr>
              <w:spacing w:after="0"/>
              <w:rPr>
                <w:rFonts w:ascii="Times New Roman" w:cs="Times New Roman" w:eastAsia="Times New Roman" w:hAnsi="Times New Roman"/>
                <w:sz w:val="16"/>
                <w:szCs w:val="16"/>
                <w:color w:val="0000FF"/>
              </w:rPr>
            </w:pPr>
            <w:hyperlink r:id="rId99">
              <w:r>
                <w:rPr>
                  <w:rFonts w:ascii="Times New Roman" w:cs="Times New Roman" w:eastAsia="Times New Roman" w:hAnsi="Times New Roman"/>
                  <w:sz w:val="16"/>
                  <w:szCs w:val="16"/>
                  <w:color w:val="0000FF"/>
                </w:rPr>
                <w:t>Form of Note representing the 6.125% Senior Secured Notes due 2031</w:t>
              </w:r>
            </w:hyperlink>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2/11/26</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0" w:type="dxa"/>
            <w:vAlign w:val="bottom"/>
            <w:tcBorders>
              <w:top w:val="single" w:sz="8" w:color="0000FF"/>
            </w:tcBorders>
            <w:gridSpan w:val="35"/>
          </w:tcPr>
          <w:p>
            <w:pPr>
              <w:spacing w:after="0" w:line="169" w:lineRule="exact"/>
              <w:rPr>
                <w:rFonts w:ascii="Times New Roman" w:cs="Times New Roman" w:eastAsia="Times New Roman" w:hAnsi="Times New Roman"/>
                <w:sz w:val="16"/>
                <w:szCs w:val="16"/>
                <w:color w:val="0000FF"/>
              </w:rPr>
            </w:pPr>
            <w:hyperlink r:id="rId99">
              <w:r>
                <w:rPr>
                  <w:rFonts w:ascii="Times New Roman" w:cs="Times New Roman" w:eastAsia="Times New Roman" w:hAnsi="Times New Roman"/>
                  <w:sz w:val="16"/>
                  <w:szCs w:val="16"/>
                  <w:color w:val="0000FF"/>
                </w:rPr>
                <w:t>(included as Exhibit A to Exhibit 4.1).</w:t>
              </w:r>
            </w:hyperlink>
          </w:p>
        </w:tc>
        <w:tc>
          <w:tcPr>
            <w:tcW w:w="140" w:type="dxa"/>
            <w:vAlign w:val="bottom"/>
            <w:gridSpan w:val="3"/>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line="283" w:lineRule="auto"/>
        <w:rPr>
          <w:sz w:val="20"/>
          <w:szCs w:val="20"/>
          <w:color w:val="auto"/>
        </w:rPr>
      </w:pPr>
      <w:r>
        <w:rPr>
          <w:rFonts w:ascii="Times New Roman" w:cs="Times New Roman" w:eastAsia="Times New Roman" w:hAnsi="Times New Roman"/>
          <w:sz w:val="14"/>
          <w:szCs w:val="14"/>
          <w:b w:val="1"/>
          <w:bCs w:val="1"/>
          <w:color w:val="auto"/>
        </w:rPr>
        <w:t>Filed/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-2540</wp:posOffset>
            </wp:positionV>
            <wp:extent cx="7289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1">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w:t>
      </w:r>
    </w:p>
    <w:p>
      <w:pPr>
        <w:sectPr>
          <w:pgSz w:w="11900" w:h="16838" w:orient="portrait"/>
          <w:cols w:equalWidth="0" w:num="2">
            <w:col w:w="10000" w:space="360"/>
            <w:col w:w="620"/>
          </w:cols>
          <w:pgMar w:left="320" w:top="1292" w:right="59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8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4700" w:type="dxa"/>
            <w:vAlign w:val="bottom"/>
            <w:gridSpan w:val="40"/>
          </w:tcPr>
          <w:p>
            <w:pPr>
              <w:spacing w:after="0"/>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Amended and Restated Registration Rights Agreement among Good</w:t>
              </w:r>
            </w:hyperlink>
          </w:p>
        </w:tc>
        <w:tc>
          <w:tcPr>
            <w:tcW w:w="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8-K</w:t>
            </w:r>
          </w:p>
        </w:tc>
      </w:tr>
      <w:tr>
        <w:trPr>
          <w:trHeight w:val="169"/>
        </w:trPr>
        <w:tc>
          <w:tcPr>
            <w:tcW w:w="1100" w:type="dxa"/>
            <w:vAlign w:val="bottom"/>
          </w:tcPr>
          <w:p>
            <w:pPr>
              <w:spacing w:after="0"/>
              <w:rPr>
                <w:sz w:val="14"/>
                <w:szCs w:val="14"/>
                <w:color w:val="auto"/>
              </w:rPr>
            </w:pPr>
          </w:p>
        </w:tc>
        <w:tc>
          <w:tcPr>
            <w:tcW w:w="4500" w:type="dxa"/>
            <w:vAlign w:val="bottom"/>
            <w:tcBorders>
              <w:top w:val="single" w:sz="8" w:color="0000FF"/>
            </w:tcBorders>
            <w:gridSpan w:val="29"/>
          </w:tcPr>
          <w:p>
            <w:pPr>
              <w:spacing w:after="0" w:line="169" w:lineRule="exact"/>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Works Acquisition Corp., Good Works Acquisition Corp.’ directors,</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17"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9"/>
        </w:trPr>
        <w:tc>
          <w:tcPr>
            <w:tcW w:w="1100" w:type="dxa"/>
            <w:vAlign w:val="bottom"/>
          </w:tcPr>
          <w:p>
            <w:pPr>
              <w:spacing w:after="0"/>
              <w:rPr>
                <w:sz w:val="14"/>
                <w:szCs w:val="14"/>
                <w:color w:val="auto"/>
              </w:rPr>
            </w:pPr>
          </w:p>
        </w:tc>
        <w:tc>
          <w:tcPr>
            <w:tcW w:w="4460" w:type="dxa"/>
            <w:vAlign w:val="bottom"/>
            <w:tcBorders>
              <w:top w:val="single" w:sz="8" w:color="0000FF"/>
            </w:tcBorders>
            <w:gridSpan w:val="27"/>
          </w:tcPr>
          <w:p>
            <w:pPr>
              <w:spacing w:after="0" w:line="169" w:lineRule="exact"/>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Bitfury Top HoldCo and others, dated August 26, 2021</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17"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20"/>
        </w:trPr>
        <w:tc>
          <w:tcPr>
            <w:tcW w:w="11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1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7"/>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10.2#</w:t>
            </w:r>
          </w:p>
        </w:tc>
        <w:tc>
          <w:tcPr>
            <w:tcW w:w="4700" w:type="dxa"/>
            <w:vAlign w:val="bottom"/>
            <w:gridSpan w:val="40"/>
          </w:tcPr>
          <w:p>
            <w:pPr>
              <w:spacing w:after="0"/>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Form of Indemnification and Advancement Agreement for Cipher</w:t>
              </w:r>
            </w:hyperlink>
          </w:p>
        </w:tc>
        <w:tc>
          <w:tcPr>
            <w:tcW w:w="46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9"/>
              </w:rPr>
              <w:t>S-4/A</w:t>
            </w:r>
          </w:p>
        </w:tc>
      </w:tr>
      <w:tr>
        <w:trPr>
          <w:trHeight w:val="169"/>
        </w:trPr>
        <w:tc>
          <w:tcPr>
            <w:tcW w:w="1100" w:type="dxa"/>
            <w:vAlign w:val="bottom"/>
          </w:tcPr>
          <w:p>
            <w:pPr>
              <w:spacing w:after="0"/>
              <w:rPr>
                <w:sz w:val="14"/>
                <w:szCs w:val="14"/>
                <w:color w:val="auto"/>
              </w:rPr>
            </w:pPr>
          </w:p>
        </w:tc>
        <w:tc>
          <w:tcPr>
            <w:tcW w:w="4320" w:type="dxa"/>
            <w:vAlign w:val="bottom"/>
            <w:tcBorders>
              <w:top w:val="single" w:sz="8" w:color="0000FF"/>
            </w:tcBorders>
            <w:gridSpan w:val="21"/>
          </w:tcPr>
          <w:p>
            <w:pPr>
              <w:spacing w:after="0" w:line="169" w:lineRule="exact"/>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Mining Inc.</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17"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20"/>
        </w:trPr>
        <w:tc>
          <w:tcPr>
            <w:tcW w:w="11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1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7"/>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10.3#</w:t>
            </w:r>
          </w:p>
        </w:tc>
        <w:tc>
          <w:tcPr>
            <w:tcW w:w="4700" w:type="dxa"/>
            <w:vAlign w:val="bottom"/>
            <w:gridSpan w:val="40"/>
          </w:tcPr>
          <w:p>
            <w:pPr>
              <w:spacing w:after="0"/>
              <w:rPr>
                <w:rFonts w:ascii="Times New Roman" w:cs="Times New Roman" w:eastAsia="Times New Roman" w:hAnsi="Times New Roman"/>
                <w:sz w:val="16"/>
                <w:szCs w:val="16"/>
                <w:color w:val="0000FF"/>
              </w:rPr>
            </w:pPr>
            <w:hyperlink r:id="rId104">
              <w:r>
                <w:rPr>
                  <w:rFonts w:ascii="Times New Roman" w:cs="Times New Roman" w:eastAsia="Times New Roman" w:hAnsi="Times New Roman"/>
                  <w:sz w:val="16"/>
                  <w:szCs w:val="16"/>
                  <w:color w:val="0000FF"/>
                </w:rPr>
                <w:t>Form of Indemnification and Advancement Agreement for Cipher</w:t>
              </w:r>
            </w:hyperlink>
          </w:p>
        </w:tc>
        <w:tc>
          <w:tcPr>
            <w:tcW w:w="46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9"/>
              </w:rPr>
              <w:t>S-4/A</w:t>
            </w:r>
          </w:p>
        </w:tc>
      </w:tr>
      <w:tr>
        <w:trPr>
          <w:trHeight w:val="169"/>
        </w:trPr>
        <w:tc>
          <w:tcPr>
            <w:tcW w:w="1100" w:type="dxa"/>
            <w:vAlign w:val="bottom"/>
          </w:tcPr>
          <w:p>
            <w:pPr>
              <w:spacing w:after="0"/>
              <w:rPr>
                <w:sz w:val="14"/>
                <w:szCs w:val="14"/>
                <w:color w:val="auto"/>
              </w:rPr>
            </w:pPr>
          </w:p>
        </w:tc>
        <w:tc>
          <w:tcPr>
            <w:tcW w:w="168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6"/>
                <w:szCs w:val="16"/>
                <w:color w:val="0000FF"/>
              </w:rPr>
            </w:pPr>
            <w:hyperlink r:id="rId104">
              <w:r>
                <w:rPr>
                  <w:rFonts w:ascii="Times New Roman" w:cs="Times New Roman" w:eastAsia="Times New Roman" w:hAnsi="Times New Roman"/>
                  <w:sz w:val="16"/>
                  <w:szCs w:val="16"/>
                  <w:color w:val="0000FF"/>
                </w:rPr>
                <w:t>Mining Technologies Inc.</w:t>
              </w:r>
            </w:hyperlink>
          </w:p>
        </w:tc>
        <w:tc>
          <w:tcPr>
            <w:tcW w:w="2640" w:type="dxa"/>
            <w:vAlign w:val="bottom"/>
            <w:tcBorders>
              <w:top w:val="single" w:sz="8" w:color="0000FF"/>
            </w:tcBorders>
            <w:gridSpan w:val="17"/>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17"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23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2400" w:type="dxa"/>
            <w:vAlign w:val="bottom"/>
            <w:tcBorders>
              <w:bottom w:val="single" w:sz="8" w:color="0000FF"/>
            </w:tcBorders>
            <w:gridSpan w:val="8"/>
          </w:tcPr>
          <w:p>
            <w:pPr>
              <w:spacing w:after="0"/>
              <w:rPr>
                <w:rFonts w:ascii="Times New Roman" w:cs="Times New Roman" w:eastAsia="Times New Roman" w:hAnsi="Times New Roman"/>
                <w:sz w:val="16"/>
                <w:szCs w:val="16"/>
                <w:color w:val="0000FF"/>
                <w:w w:val="99"/>
              </w:rPr>
            </w:pPr>
            <w:hyperlink r:id="rId105">
              <w:r>
                <w:rPr>
                  <w:rFonts w:ascii="Times New Roman" w:cs="Times New Roman" w:eastAsia="Times New Roman" w:hAnsi="Times New Roman"/>
                  <w:sz w:val="16"/>
                  <w:szCs w:val="16"/>
                  <w:color w:val="0000FF"/>
                  <w:w w:val="99"/>
                </w:rPr>
                <w:t>Cipher Mining Incentive Award Plan</w:t>
              </w:r>
            </w:hyperlink>
          </w:p>
        </w:tc>
        <w:tc>
          <w:tcPr>
            <w:tcW w:w="2300" w:type="dxa"/>
            <w:vAlign w:val="bottom"/>
            <w:gridSpan w:val="32"/>
          </w:tcPr>
          <w:p>
            <w:pPr>
              <w:spacing w:after="0"/>
              <w:rPr>
                <w:sz w:val="20"/>
                <w:szCs w:val="20"/>
                <w:color w:val="auto"/>
              </w:rPr>
            </w:pPr>
          </w:p>
        </w:tc>
        <w:tc>
          <w:tcPr>
            <w:tcW w:w="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8-K</w:t>
            </w:r>
          </w:p>
        </w:tc>
      </w:tr>
      <w:tr>
        <w:trPr>
          <w:trHeight w:val="223"/>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10.5#</w:t>
            </w:r>
          </w:p>
        </w:tc>
        <w:tc>
          <w:tcPr>
            <w:tcW w:w="4700" w:type="dxa"/>
            <w:vAlign w:val="bottom"/>
            <w:gridSpan w:val="40"/>
          </w:tcPr>
          <w:p>
            <w:pPr>
              <w:spacing w:after="0"/>
              <w:rPr>
                <w:rFonts w:ascii="Times New Roman" w:cs="Times New Roman" w:eastAsia="Times New Roman" w:hAnsi="Times New Roman"/>
                <w:sz w:val="16"/>
                <w:szCs w:val="16"/>
                <w:color w:val="0000FF"/>
              </w:rPr>
            </w:pPr>
            <w:hyperlink r:id="rId106">
              <w:r>
                <w:rPr>
                  <w:rFonts w:ascii="Times New Roman" w:cs="Times New Roman" w:eastAsia="Times New Roman" w:hAnsi="Times New Roman"/>
                  <w:sz w:val="16"/>
                  <w:szCs w:val="16"/>
                  <w:color w:val="0000FF"/>
                </w:rPr>
                <w:t>Form of Cipher Mining Inc. Restricted Stock Grant Notice and</w:t>
              </w:r>
            </w:hyperlink>
          </w:p>
        </w:tc>
        <w:tc>
          <w:tcPr>
            <w:tcW w:w="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8-K</w:t>
            </w:r>
          </w:p>
        </w:tc>
      </w:tr>
      <w:tr>
        <w:trPr>
          <w:trHeight w:val="169"/>
        </w:trPr>
        <w:tc>
          <w:tcPr>
            <w:tcW w:w="1100" w:type="dxa"/>
            <w:vAlign w:val="bottom"/>
          </w:tcPr>
          <w:p>
            <w:pPr>
              <w:spacing w:after="0"/>
              <w:rPr>
                <w:sz w:val="14"/>
                <w:szCs w:val="14"/>
                <w:color w:val="auto"/>
              </w:rPr>
            </w:pPr>
          </w:p>
        </w:tc>
        <w:tc>
          <w:tcPr>
            <w:tcW w:w="3680" w:type="dxa"/>
            <w:vAlign w:val="bottom"/>
            <w:tcBorders>
              <w:top w:val="single" w:sz="8" w:color="0000FF"/>
              <w:bottom w:val="single" w:sz="8" w:color="0000FF"/>
            </w:tcBorders>
            <w:gridSpan w:val="13"/>
          </w:tcPr>
          <w:p>
            <w:pPr>
              <w:spacing w:after="0" w:line="169" w:lineRule="exact"/>
              <w:rPr>
                <w:rFonts w:ascii="Times New Roman" w:cs="Times New Roman" w:eastAsia="Times New Roman" w:hAnsi="Times New Roman"/>
                <w:sz w:val="16"/>
                <w:szCs w:val="16"/>
                <w:color w:val="0000FF"/>
              </w:rPr>
            </w:pPr>
            <w:hyperlink r:id="rId106">
              <w:r>
                <w:rPr>
                  <w:rFonts w:ascii="Times New Roman" w:cs="Times New Roman" w:eastAsia="Times New Roman" w:hAnsi="Times New Roman"/>
                  <w:sz w:val="16"/>
                  <w:szCs w:val="16"/>
                  <w:color w:val="0000FF"/>
                </w:rPr>
                <w:t>Restricted Stock Agreement under Incentive Award Plan</w:t>
              </w:r>
            </w:hyperlink>
          </w:p>
        </w:tc>
        <w:tc>
          <w:tcPr>
            <w:tcW w:w="400" w:type="dxa"/>
            <w:vAlign w:val="bottom"/>
            <w:tcBorders>
              <w:top w:val="single" w:sz="8" w:color="0000FF"/>
            </w:tcBorders>
            <w:gridSpan w:val="4"/>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17"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23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10.6#</w:t>
            </w:r>
          </w:p>
        </w:tc>
        <w:tc>
          <w:tcPr>
            <w:tcW w:w="4700" w:type="dxa"/>
            <w:vAlign w:val="bottom"/>
            <w:gridSpan w:val="40"/>
          </w:tcPr>
          <w:p>
            <w:pPr>
              <w:spacing w:after="0"/>
              <w:rPr>
                <w:rFonts w:ascii="Times New Roman" w:cs="Times New Roman" w:eastAsia="Times New Roman" w:hAnsi="Times New Roman"/>
                <w:sz w:val="16"/>
                <w:szCs w:val="16"/>
                <w:color w:val="0000FF"/>
              </w:rPr>
            </w:pPr>
            <w:hyperlink r:id="rId107">
              <w:r>
                <w:rPr>
                  <w:rFonts w:ascii="Times New Roman" w:cs="Times New Roman" w:eastAsia="Times New Roman" w:hAnsi="Times New Roman"/>
                  <w:sz w:val="16"/>
                  <w:szCs w:val="16"/>
                  <w:color w:val="0000FF"/>
                </w:rPr>
                <w:t>Form of Cipher Mining Inc. Restricted Stock Unit Grant Notice and</w:t>
              </w:r>
            </w:hyperlink>
          </w:p>
        </w:tc>
        <w:tc>
          <w:tcPr>
            <w:tcW w:w="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8-K</w:t>
            </w:r>
          </w:p>
        </w:tc>
      </w:tr>
      <w:tr>
        <w:trPr>
          <w:trHeight w:val="169"/>
        </w:trPr>
        <w:tc>
          <w:tcPr>
            <w:tcW w:w="1100" w:type="dxa"/>
            <w:vAlign w:val="bottom"/>
          </w:tcPr>
          <w:p>
            <w:pPr>
              <w:spacing w:after="0"/>
              <w:rPr>
                <w:sz w:val="14"/>
                <w:szCs w:val="14"/>
                <w:color w:val="auto"/>
              </w:rPr>
            </w:pPr>
          </w:p>
        </w:tc>
        <w:tc>
          <w:tcPr>
            <w:tcW w:w="4400" w:type="dxa"/>
            <w:vAlign w:val="bottom"/>
            <w:tcBorders>
              <w:top w:val="single" w:sz="8" w:color="0000FF"/>
            </w:tcBorders>
            <w:gridSpan w:val="24"/>
          </w:tcPr>
          <w:p>
            <w:pPr>
              <w:spacing w:after="0" w:line="169" w:lineRule="exact"/>
              <w:rPr>
                <w:rFonts w:ascii="Times New Roman" w:cs="Times New Roman" w:eastAsia="Times New Roman" w:hAnsi="Times New Roman"/>
                <w:sz w:val="16"/>
                <w:szCs w:val="16"/>
                <w:color w:val="0000FF"/>
              </w:rPr>
            </w:pPr>
            <w:hyperlink r:id="rId107">
              <w:r>
                <w:rPr>
                  <w:rFonts w:ascii="Times New Roman" w:cs="Times New Roman" w:eastAsia="Times New Roman" w:hAnsi="Times New Roman"/>
                  <w:sz w:val="16"/>
                  <w:szCs w:val="16"/>
                  <w:color w:val="0000FF"/>
                </w:rPr>
                <w:t>Restricted Stock Unit Agreement under Incentive Award Plan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17"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20"/>
        </w:trPr>
        <w:tc>
          <w:tcPr>
            <w:tcW w:w="110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1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7"/>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10.7#</w:t>
            </w:r>
          </w:p>
        </w:tc>
        <w:tc>
          <w:tcPr>
            <w:tcW w:w="4700" w:type="dxa"/>
            <w:vAlign w:val="bottom"/>
            <w:gridSpan w:val="40"/>
          </w:tcPr>
          <w:p>
            <w:pPr>
              <w:spacing w:after="0"/>
              <w:rPr>
                <w:rFonts w:ascii="Times New Roman" w:cs="Times New Roman" w:eastAsia="Times New Roman" w:hAnsi="Times New Roman"/>
                <w:sz w:val="16"/>
                <w:szCs w:val="16"/>
                <w:color w:val="0000FF"/>
              </w:rPr>
            </w:pPr>
            <w:hyperlink r:id="rId108">
              <w:r>
                <w:rPr>
                  <w:rFonts w:ascii="Times New Roman" w:cs="Times New Roman" w:eastAsia="Times New Roman" w:hAnsi="Times New Roman"/>
                  <w:sz w:val="16"/>
                  <w:szCs w:val="16"/>
                  <w:color w:val="0000FF"/>
                </w:rPr>
                <w:t>Form of Cipher Mining Inc. Stock Option Grant Notice and Stock</w:t>
              </w:r>
            </w:hyperlink>
          </w:p>
        </w:tc>
        <w:tc>
          <w:tcPr>
            <w:tcW w:w="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8-K</w:t>
            </w:r>
          </w:p>
        </w:tc>
      </w:tr>
      <w:tr>
        <w:trPr>
          <w:trHeight w:val="169"/>
        </w:trPr>
        <w:tc>
          <w:tcPr>
            <w:tcW w:w="1100" w:type="dxa"/>
            <w:vAlign w:val="bottom"/>
          </w:tcPr>
          <w:p>
            <w:pPr>
              <w:spacing w:after="0"/>
              <w:rPr>
                <w:sz w:val="14"/>
                <w:szCs w:val="14"/>
                <w:color w:val="auto"/>
              </w:rPr>
            </w:pPr>
          </w:p>
        </w:tc>
        <w:tc>
          <w:tcPr>
            <w:tcW w:w="3060" w:type="dxa"/>
            <w:vAlign w:val="bottom"/>
            <w:tcBorders>
              <w:top w:val="single" w:sz="8" w:color="0000FF"/>
              <w:bottom w:val="single" w:sz="8" w:color="0000FF"/>
            </w:tcBorders>
            <w:gridSpan w:val="9"/>
          </w:tcPr>
          <w:p>
            <w:pPr>
              <w:spacing w:after="0" w:line="169" w:lineRule="exact"/>
              <w:rPr>
                <w:rFonts w:ascii="Times New Roman" w:cs="Times New Roman" w:eastAsia="Times New Roman" w:hAnsi="Times New Roman"/>
                <w:sz w:val="16"/>
                <w:szCs w:val="16"/>
                <w:color w:val="0000FF"/>
              </w:rPr>
            </w:pPr>
            <w:hyperlink r:id="rId108">
              <w:r>
                <w:rPr>
                  <w:rFonts w:ascii="Times New Roman" w:cs="Times New Roman" w:eastAsia="Times New Roman" w:hAnsi="Times New Roman"/>
                  <w:sz w:val="16"/>
                  <w:szCs w:val="16"/>
                  <w:color w:val="0000FF"/>
                </w:rPr>
                <w:t>Option Agreement under Incentive Award Plan</w:t>
              </w:r>
            </w:hyperlink>
          </w:p>
        </w:tc>
        <w:tc>
          <w:tcPr>
            <w:tcW w:w="1240" w:type="dxa"/>
            <w:vAlign w:val="bottom"/>
            <w:tcBorders>
              <w:top w:val="single" w:sz="8" w:color="0000FF"/>
            </w:tcBorders>
            <w:gridSpan w:val="11"/>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17"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237"/>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10.8</w:t>
            </w:r>
          </w:p>
        </w:tc>
        <w:tc>
          <w:tcPr>
            <w:tcW w:w="4700" w:type="dxa"/>
            <w:vAlign w:val="bottom"/>
            <w:gridSpan w:val="40"/>
          </w:tcPr>
          <w:p>
            <w:pPr>
              <w:spacing w:after="0"/>
              <w:rPr>
                <w:rFonts w:ascii="Times New Roman" w:cs="Times New Roman" w:eastAsia="Times New Roman" w:hAnsi="Times New Roman"/>
                <w:sz w:val="16"/>
                <w:szCs w:val="16"/>
                <w:color w:val="0000FF"/>
              </w:rPr>
            </w:pPr>
            <w:hyperlink r:id="rId109">
              <w:r>
                <w:rPr>
                  <w:rFonts w:ascii="Times New Roman" w:cs="Times New Roman" w:eastAsia="Times New Roman" w:hAnsi="Times New Roman"/>
                  <w:sz w:val="16"/>
                  <w:szCs w:val="16"/>
                  <w:color w:val="0000FF"/>
                </w:rPr>
                <w:t>Form of Cipher Mining Inc. Executive Officer Restricted Stock Unit</w:t>
              </w:r>
            </w:hyperlink>
          </w:p>
        </w:tc>
        <w:tc>
          <w:tcPr>
            <w:tcW w:w="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8-K</w:t>
            </w:r>
          </w:p>
        </w:tc>
      </w:tr>
      <w:tr>
        <w:trPr>
          <w:trHeight w:val="169"/>
        </w:trPr>
        <w:tc>
          <w:tcPr>
            <w:tcW w:w="1100" w:type="dxa"/>
            <w:vAlign w:val="bottom"/>
          </w:tcPr>
          <w:p>
            <w:pPr>
              <w:spacing w:after="0"/>
              <w:rPr>
                <w:sz w:val="14"/>
                <w:szCs w:val="14"/>
                <w:color w:val="auto"/>
              </w:rPr>
            </w:pPr>
          </w:p>
        </w:tc>
        <w:tc>
          <w:tcPr>
            <w:tcW w:w="4520" w:type="dxa"/>
            <w:vAlign w:val="bottom"/>
            <w:tcBorders>
              <w:top w:val="single" w:sz="8" w:color="0000FF"/>
              <w:bottom w:val="single" w:sz="8" w:color="0000FF"/>
            </w:tcBorders>
            <w:gridSpan w:val="30"/>
          </w:tcPr>
          <w:p>
            <w:pPr>
              <w:spacing w:after="0" w:line="169" w:lineRule="exact"/>
              <w:rPr>
                <w:rFonts w:ascii="Times New Roman" w:cs="Times New Roman" w:eastAsia="Times New Roman" w:hAnsi="Times New Roman"/>
                <w:sz w:val="16"/>
                <w:szCs w:val="16"/>
                <w:color w:val="0000FF"/>
              </w:rPr>
            </w:pPr>
            <w:hyperlink r:id="rId109">
              <w:r>
                <w:rPr>
                  <w:rFonts w:ascii="Times New Roman" w:cs="Times New Roman" w:eastAsia="Times New Roman" w:hAnsi="Times New Roman"/>
                  <w:sz w:val="16"/>
                  <w:szCs w:val="16"/>
                  <w:color w:val="0000FF"/>
                </w:rPr>
                <w:t>Grant Notice and Restricted Stock Unit Agreement (Double Trigger)</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17"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9"/>
        </w:trPr>
        <w:tc>
          <w:tcPr>
            <w:tcW w:w="1100" w:type="dxa"/>
            <w:vAlign w:val="bottom"/>
          </w:tcPr>
          <w:p>
            <w:pPr>
              <w:spacing w:after="0"/>
              <w:rPr>
                <w:sz w:val="14"/>
                <w:szCs w:val="14"/>
                <w:color w:val="auto"/>
              </w:rPr>
            </w:pPr>
          </w:p>
        </w:tc>
        <w:tc>
          <w:tcPr>
            <w:tcW w:w="4560" w:type="dxa"/>
            <w:vAlign w:val="bottom"/>
            <w:gridSpan w:val="32"/>
          </w:tcPr>
          <w:p>
            <w:pPr>
              <w:spacing w:after="0" w:line="169" w:lineRule="exact"/>
              <w:rPr>
                <w:rFonts w:ascii="Times New Roman" w:cs="Times New Roman" w:eastAsia="Times New Roman" w:hAnsi="Times New Roman"/>
                <w:sz w:val="16"/>
                <w:szCs w:val="16"/>
                <w:color w:val="0000FF"/>
              </w:rPr>
            </w:pPr>
            <w:hyperlink r:id="rId109">
              <w:r>
                <w:rPr>
                  <w:rFonts w:ascii="Times New Roman" w:cs="Times New Roman" w:eastAsia="Times New Roman" w:hAnsi="Times New Roman"/>
                  <w:sz w:val="16"/>
                  <w:szCs w:val="16"/>
                  <w:color w:val="0000FF"/>
                </w:rPr>
                <w:t>under Incentive Award Plan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17"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20"/>
        </w:trPr>
        <w:tc>
          <w:tcPr>
            <w:tcW w:w="110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1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7"/>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10.9</w:t>
            </w:r>
          </w:p>
        </w:tc>
        <w:tc>
          <w:tcPr>
            <w:tcW w:w="4700" w:type="dxa"/>
            <w:vAlign w:val="bottom"/>
            <w:gridSpan w:val="40"/>
          </w:tcPr>
          <w:p>
            <w:pPr>
              <w:spacing w:after="0"/>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Power Purchase Agreement, dated June 23, 2021, by and between</w:t>
              </w:r>
            </w:hyperlink>
          </w:p>
        </w:tc>
        <w:tc>
          <w:tcPr>
            <w:tcW w:w="46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9"/>
              </w:rPr>
              <w:t>S-4/A</w:t>
            </w:r>
          </w:p>
        </w:tc>
      </w:tr>
      <w:tr>
        <w:trPr>
          <w:trHeight w:val="169"/>
        </w:trPr>
        <w:tc>
          <w:tcPr>
            <w:tcW w:w="1100" w:type="dxa"/>
            <w:vAlign w:val="bottom"/>
          </w:tcPr>
          <w:p>
            <w:pPr>
              <w:spacing w:after="0"/>
              <w:rPr>
                <w:sz w:val="14"/>
                <w:szCs w:val="14"/>
                <w:color w:val="auto"/>
              </w:rPr>
            </w:pPr>
          </w:p>
        </w:tc>
        <w:tc>
          <w:tcPr>
            <w:tcW w:w="4280" w:type="dxa"/>
            <w:vAlign w:val="bottom"/>
            <w:tcBorders>
              <w:top w:val="single" w:sz="8" w:color="0000FF"/>
            </w:tcBorders>
            <w:gridSpan w:val="19"/>
          </w:tcPr>
          <w:p>
            <w:pPr>
              <w:spacing w:after="0" w:line="169" w:lineRule="exact"/>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Luminant ET Services Company LLC and Cipher Mining</w:t>
              </w:r>
            </w:hyperlink>
          </w:p>
        </w:tc>
        <w:tc>
          <w:tcPr>
            <w:tcW w:w="6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294967217"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9"/>
        </w:trPr>
        <w:tc>
          <w:tcPr>
            <w:tcW w:w="1100" w:type="dxa"/>
            <w:vAlign w:val="bottom"/>
          </w:tcPr>
          <w:p>
            <w:pPr>
              <w:spacing w:after="0"/>
              <w:rPr>
                <w:sz w:val="14"/>
                <w:szCs w:val="14"/>
                <w:color w:val="auto"/>
              </w:rPr>
            </w:pPr>
          </w:p>
        </w:tc>
        <w:tc>
          <w:tcPr>
            <w:tcW w:w="3740" w:type="dxa"/>
            <w:vAlign w:val="bottom"/>
            <w:tcBorders>
              <w:top w:val="single" w:sz="8" w:color="0000FF"/>
            </w:tcBorders>
            <w:gridSpan w:val="14"/>
          </w:tcPr>
          <w:p>
            <w:pPr>
              <w:spacing w:after="0" w:line="169" w:lineRule="exact"/>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Technologies Inc.</w:t>
              </w:r>
            </w:hyperlink>
          </w:p>
        </w:tc>
        <w:tc>
          <w:tcPr>
            <w:tcW w:w="120" w:type="dxa"/>
            <w:vAlign w:val="bottom"/>
          </w:tcPr>
          <w:p>
            <w:pPr>
              <w:spacing w:after="0"/>
              <w:rPr>
                <w:sz w:val="14"/>
                <w:szCs w:val="14"/>
                <w:color w:val="auto"/>
              </w:rPr>
            </w:pPr>
          </w:p>
        </w:tc>
        <w:tc>
          <w:tcPr>
            <w:tcW w:w="360" w:type="dxa"/>
            <w:vAlign w:val="bottom"/>
            <w:gridSpan w:val="3"/>
          </w:tcPr>
          <w:p>
            <w:pPr>
              <w:spacing w:after="0"/>
              <w:rPr>
                <w:sz w:val="14"/>
                <w:szCs w:val="14"/>
                <w:color w:val="auto"/>
              </w:rPr>
            </w:pPr>
          </w:p>
        </w:tc>
        <w:tc>
          <w:tcPr>
            <w:tcW w:w="12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294967217"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20"/>
        </w:trPr>
        <w:tc>
          <w:tcPr>
            <w:tcW w:w="110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1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7"/>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10.10</w:t>
            </w:r>
          </w:p>
        </w:tc>
        <w:tc>
          <w:tcPr>
            <w:tcW w:w="4700" w:type="dxa"/>
            <w:vAlign w:val="bottom"/>
            <w:gridSpan w:val="40"/>
          </w:tcPr>
          <w:p>
            <w:pPr>
              <w:spacing w:after="0"/>
              <w:rPr>
                <w:rFonts w:ascii="Times New Roman" w:cs="Times New Roman" w:eastAsia="Times New Roman" w:hAnsi="Times New Roman"/>
                <w:sz w:val="16"/>
                <w:szCs w:val="16"/>
                <w:color w:val="0000FF"/>
              </w:rPr>
            </w:pPr>
            <w:hyperlink r:id="rId111">
              <w:r>
                <w:rPr>
                  <w:rFonts w:ascii="Times New Roman" w:cs="Times New Roman" w:eastAsia="Times New Roman" w:hAnsi="Times New Roman"/>
                  <w:sz w:val="16"/>
                  <w:szCs w:val="16"/>
                  <w:color w:val="0000FF"/>
                </w:rPr>
                <w:t>First Amendment to the Power Purchase Agreement, dated July 9,</w:t>
              </w:r>
            </w:hyperlink>
          </w:p>
        </w:tc>
        <w:tc>
          <w:tcPr>
            <w:tcW w:w="46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9"/>
              </w:rPr>
              <w:t>S-4/A</w:t>
            </w:r>
          </w:p>
        </w:tc>
      </w:tr>
      <w:tr>
        <w:trPr>
          <w:trHeight w:val="169"/>
        </w:trPr>
        <w:tc>
          <w:tcPr>
            <w:tcW w:w="1100" w:type="dxa"/>
            <w:vAlign w:val="bottom"/>
          </w:tcPr>
          <w:p>
            <w:pPr>
              <w:spacing w:after="0"/>
              <w:rPr>
                <w:sz w:val="14"/>
                <w:szCs w:val="14"/>
                <w:color w:val="auto"/>
              </w:rPr>
            </w:pPr>
          </w:p>
        </w:tc>
        <w:tc>
          <w:tcPr>
            <w:tcW w:w="4340" w:type="dxa"/>
            <w:vAlign w:val="bottom"/>
            <w:tcBorders>
              <w:top w:val="single" w:sz="8" w:color="0000FF"/>
            </w:tcBorders>
            <w:gridSpan w:val="22"/>
          </w:tcPr>
          <w:p>
            <w:pPr>
              <w:spacing w:after="0" w:line="169" w:lineRule="exact"/>
              <w:rPr>
                <w:rFonts w:ascii="Times New Roman" w:cs="Times New Roman" w:eastAsia="Times New Roman" w:hAnsi="Times New Roman"/>
                <w:sz w:val="16"/>
                <w:szCs w:val="16"/>
                <w:color w:val="0000FF"/>
              </w:rPr>
            </w:pPr>
            <w:hyperlink r:id="rId111">
              <w:r>
                <w:rPr>
                  <w:rFonts w:ascii="Times New Roman" w:cs="Times New Roman" w:eastAsia="Times New Roman" w:hAnsi="Times New Roman"/>
                  <w:sz w:val="16"/>
                  <w:szCs w:val="16"/>
                  <w:color w:val="0000FF"/>
                </w:rPr>
                <w:t>2021, by and between Luminant ET Services Company LLC and</w:t>
              </w:r>
            </w:hyperlink>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294967217"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9"/>
        </w:trPr>
        <w:tc>
          <w:tcPr>
            <w:tcW w:w="1100" w:type="dxa"/>
            <w:vAlign w:val="bottom"/>
          </w:tcPr>
          <w:p>
            <w:pPr>
              <w:spacing w:after="0"/>
              <w:rPr>
                <w:sz w:val="14"/>
                <w:szCs w:val="14"/>
                <w:color w:val="auto"/>
              </w:rPr>
            </w:pPr>
          </w:p>
        </w:tc>
        <w:tc>
          <w:tcPr>
            <w:tcW w:w="216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6"/>
                <w:szCs w:val="16"/>
                <w:color w:val="0000FF"/>
              </w:rPr>
            </w:pPr>
            <w:hyperlink r:id="rId111">
              <w:r>
                <w:rPr>
                  <w:rFonts w:ascii="Times New Roman" w:cs="Times New Roman" w:eastAsia="Times New Roman" w:hAnsi="Times New Roman"/>
                  <w:sz w:val="16"/>
                  <w:szCs w:val="16"/>
                  <w:color w:val="0000FF"/>
                </w:rPr>
                <w:t>Cipher Mining Technologies Inc.</w:t>
              </w:r>
            </w:hyperlink>
          </w:p>
        </w:tc>
        <w:tc>
          <w:tcPr>
            <w:tcW w:w="2060" w:type="dxa"/>
            <w:vAlign w:val="bottom"/>
            <w:tcBorders>
              <w:top w:val="single" w:sz="8" w:color="0000FF"/>
            </w:tcBorders>
            <w:gridSpan w:val="11"/>
          </w:tcPr>
          <w:p>
            <w:pPr>
              <w:spacing w:after="0"/>
              <w:rPr>
                <w:sz w:val="14"/>
                <w:szCs w:val="14"/>
                <w:color w:val="auto"/>
              </w:rPr>
            </w:pPr>
          </w:p>
        </w:tc>
        <w:tc>
          <w:tcPr>
            <w:tcW w:w="16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294967217"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23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10.11</w:t>
            </w:r>
          </w:p>
        </w:tc>
        <w:tc>
          <w:tcPr>
            <w:tcW w:w="4700" w:type="dxa"/>
            <w:vAlign w:val="bottom"/>
            <w:gridSpan w:val="40"/>
          </w:tcPr>
          <w:p>
            <w:pPr>
              <w:spacing w:after="0"/>
              <w:rPr>
                <w:rFonts w:ascii="Times New Roman" w:cs="Times New Roman" w:eastAsia="Times New Roman" w:hAnsi="Times New Roman"/>
                <w:sz w:val="16"/>
                <w:szCs w:val="16"/>
                <w:color w:val="0000FF"/>
              </w:rPr>
            </w:pPr>
            <w:hyperlink r:id="rId112">
              <w:r>
                <w:rPr>
                  <w:rFonts w:ascii="Times New Roman" w:cs="Times New Roman" w:eastAsia="Times New Roman" w:hAnsi="Times New Roman"/>
                  <w:sz w:val="16"/>
                  <w:szCs w:val="16"/>
                  <w:color w:val="0000FF"/>
                </w:rPr>
                <w:t>Second Amendment to the Power Purchase Agreement, dated February</w:t>
              </w:r>
            </w:hyperlink>
          </w:p>
        </w:tc>
        <w:tc>
          <w:tcPr>
            <w:tcW w:w="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10-K</w:t>
            </w:r>
          </w:p>
        </w:tc>
      </w:tr>
      <w:tr>
        <w:trPr>
          <w:trHeight w:val="169"/>
        </w:trPr>
        <w:tc>
          <w:tcPr>
            <w:tcW w:w="1100" w:type="dxa"/>
            <w:vAlign w:val="bottom"/>
          </w:tcPr>
          <w:p>
            <w:pPr>
              <w:spacing w:after="0"/>
              <w:rPr>
                <w:sz w:val="14"/>
                <w:szCs w:val="14"/>
                <w:color w:val="auto"/>
              </w:rPr>
            </w:pPr>
          </w:p>
        </w:tc>
        <w:tc>
          <w:tcPr>
            <w:tcW w:w="4640" w:type="dxa"/>
            <w:vAlign w:val="bottom"/>
            <w:tcBorders>
              <w:top w:val="single" w:sz="8" w:color="0000FF"/>
            </w:tcBorders>
            <w:gridSpan w:val="38"/>
          </w:tcPr>
          <w:p>
            <w:pPr>
              <w:spacing w:after="0" w:line="169" w:lineRule="exact"/>
              <w:rPr>
                <w:rFonts w:ascii="Times New Roman" w:cs="Times New Roman" w:eastAsia="Times New Roman" w:hAnsi="Times New Roman"/>
                <w:sz w:val="16"/>
                <w:szCs w:val="16"/>
                <w:color w:val="0000FF"/>
              </w:rPr>
            </w:pPr>
            <w:hyperlink r:id="rId112">
              <w:r>
                <w:rPr>
                  <w:rFonts w:ascii="Times New Roman" w:cs="Times New Roman" w:eastAsia="Times New Roman" w:hAnsi="Times New Roman"/>
                  <w:sz w:val="16"/>
                  <w:szCs w:val="16"/>
                  <w:color w:val="0000FF"/>
                </w:rPr>
                <w:t>28, 2022, by and between Luminant ET Services Company LLC and</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9"/>
        </w:trPr>
        <w:tc>
          <w:tcPr>
            <w:tcW w:w="1100" w:type="dxa"/>
            <w:vAlign w:val="bottom"/>
          </w:tcPr>
          <w:p>
            <w:pPr>
              <w:spacing w:after="0"/>
              <w:rPr>
                <w:sz w:val="14"/>
                <w:szCs w:val="14"/>
                <w:color w:val="auto"/>
              </w:rPr>
            </w:pPr>
          </w:p>
        </w:tc>
        <w:tc>
          <w:tcPr>
            <w:tcW w:w="216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6"/>
                <w:szCs w:val="16"/>
                <w:color w:val="0000FF"/>
              </w:rPr>
            </w:pPr>
            <w:hyperlink r:id="rId112">
              <w:r>
                <w:rPr>
                  <w:rFonts w:ascii="Times New Roman" w:cs="Times New Roman" w:eastAsia="Times New Roman" w:hAnsi="Times New Roman"/>
                  <w:sz w:val="16"/>
                  <w:szCs w:val="16"/>
                  <w:color w:val="0000FF"/>
                </w:rPr>
                <w:t>Cipher Mining Technologies Inc.</w:t>
              </w:r>
            </w:hyperlink>
          </w:p>
        </w:tc>
        <w:tc>
          <w:tcPr>
            <w:tcW w:w="2380" w:type="dxa"/>
            <w:vAlign w:val="bottom"/>
            <w:tcBorders>
              <w:top w:val="single" w:sz="8" w:color="0000FF"/>
            </w:tcBorders>
            <w:gridSpan w:val="2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294967217"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237"/>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10.12</w:t>
            </w:r>
          </w:p>
        </w:tc>
        <w:tc>
          <w:tcPr>
            <w:tcW w:w="4700" w:type="dxa"/>
            <w:vAlign w:val="bottom"/>
            <w:gridSpan w:val="40"/>
          </w:tcPr>
          <w:p>
            <w:pPr>
              <w:spacing w:after="0"/>
              <w:rPr>
                <w:rFonts w:ascii="Times New Roman" w:cs="Times New Roman" w:eastAsia="Times New Roman" w:hAnsi="Times New Roman"/>
                <w:sz w:val="16"/>
                <w:szCs w:val="16"/>
                <w:color w:val="0000FF"/>
              </w:rPr>
            </w:pPr>
            <w:hyperlink r:id="rId113">
              <w:r>
                <w:rPr>
                  <w:rFonts w:ascii="Times New Roman" w:cs="Times New Roman" w:eastAsia="Times New Roman" w:hAnsi="Times New Roman"/>
                  <w:sz w:val="16"/>
                  <w:szCs w:val="16"/>
                  <w:color w:val="0000FF"/>
                </w:rPr>
                <w:t>Third Amendment to the Power Purchase Agreement, dated August 26,</w:t>
              </w:r>
            </w:hyperlink>
          </w:p>
        </w:tc>
        <w:tc>
          <w:tcPr>
            <w:tcW w:w="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8-K</w:t>
            </w:r>
          </w:p>
        </w:tc>
      </w:tr>
      <w:tr>
        <w:trPr>
          <w:trHeight w:val="169"/>
        </w:trPr>
        <w:tc>
          <w:tcPr>
            <w:tcW w:w="1100" w:type="dxa"/>
            <w:vAlign w:val="bottom"/>
          </w:tcPr>
          <w:p>
            <w:pPr>
              <w:spacing w:after="0"/>
              <w:rPr>
                <w:sz w:val="14"/>
                <w:szCs w:val="14"/>
                <w:color w:val="auto"/>
              </w:rPr>
            </w:pPr>
          </w:p>
        </w:tc>
        <w:tc>
          <w:tcPr>
            <w:tcW w:w="4660" w:type="dxa"/>
            <w:vAlign w:val="bottom"/>
            <w:tcBorders>
              <w:top w:val="single" w:sz="8" w:color="0000FF"/>
            </w:tcBorders>
            <w:gridSpan w:val="39"/>
          </w:tcPr>
          <w:p>
            <w:pPr>
              <w:spacing w:after="0" w:line="169" w:lineRule="exact"/>
              <w:rPr>
                <w:rFonts w:ascii="Times New Roman" w:cs="Times New Roman" w:eastAsia="Times New Roman" w:hAnsi="Times New Roman"/>
                <w:sz w:val="16"/>
                <w:szCs w:val="16"/>
                <w:color w:val="0000FF"/>
              </w:rPr>
            </w:pPr>
            <w:hyperlink r:id="rId113">
              <w:r>
                <w:rPr>
                  <w:rFonts w:ascii="Times New Roman" w:cs="Times New Roman" w:eastAsia="Times New Roman" w:hAnsi="Times New Roman"/>
                  <w:sz w:val="16"/>
                  <w:szCs w:val="16"/>
                  <w:color w:val="0000FF"/>
                </w:rPr>
                <w:t>2022, by and between Luminant ET Services Company LLC and</w:t>
              </w:r>
            </w:hyperlink>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9"/>
        </w:trPr>
        <w:tc>
          <w:tcPr>
            <w:tcW w:w="1100" w:type="dxa"/>
            <w:vAlign w:val="bottom"/>
          </w:tcPr>
          <w:p>
            <w:pPr>
              <w:spacing w:after="0"/>
              <w:rPr>
                <w:sz w:val="14"/>
                <w:szCs w:val="14"/>
                <w:color w:val="auto"/>
              </w:rPr>
            </w:pPr>
          </w:p>
        </w:tc>
        <w:tc>
          <w:tcPr>
            <w:tcW w:w="4220" w:type="dxa"/>
            <w:vAlign w:val="bottom"/>
            <w:tcBorders>
              <w:top w:val="single" w:sz="8" w:color="0000FF"/>
            </w:tcBorders>
            <w:gridSpan w:val="18"/>
          </w:tcPr>
          <w:p>
            <w:pPr>
              <w:spacing w:after="0" w:line="169" w:lineRule="exact"/>
              <w:rPr>
                <w:rFonts w:ascii="Times New Roman" w:cs="Times New Roman" w:eastAsia="Times New Roman" w:hAnsi="Times New Roman"/>
                <w:sz w:val="16"/>
                <w:szCs w:val="16"/>
                <w:color w:val="0000FF"/>
              </w:rPr>
            </w:pPr>
            <w:hyperlink r:id="rId113">
              <w:r>
                <w:rPr>
                  <w:rFonts w:ascii="Times New Roman" w:cs="Times New Roman" w:eastAsia="Times New Roman" w:hAnsi="Times New Roman"/>
                  <w:sz w:val="16"/>
                  <w:szCs w:val="16"/>
                  <w:color w:val="0000FF"/>
                </w:rPr>
                <w:t>Cipher Mining Technologies Inc.</w:t>
              </w:r>
            </w:hyperlink>
          </w:p>
        </w:tc>
        <w:tc>
          <w:tcPr>
            <w:tcW w:w="16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4294967217"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460" w:type="dxa"/>
            <w:vAlign w:val="bottom"/>
          </w:tcPr>
          <w:p>
            <w:pPr>
              <w:spacing w:after="0"/>
              <w:rPr>
                <w:sz w:val="14"/>
                <w:szCs w:val="14"/>
                <w:color w:val="auto"/>
              </w:rPr>
            </w:pPr>
          </w:p>
        </w:tc>
      </w:tr>
      <w:tr>
        <w:trPr>
          <w:trHeight w:val="20"/>
        </w:trPr>
        <w:tc>
          <w:tcPr>
            <w:tcW w:w="110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52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1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10.13</w:t>
            </w:r>
          </w:p>
        </w:tc>
        <w:tc>
          <w:tcPr>
            <w:tcW w:w="4700" w:type="dxa"/>
            <w:vAlign w:val="bottom"/>
            <w:gridSpan w:val="40"/>
          </w:tcPr>
          <w:p>
            <w:pPr>
              <w:spacing w:after="0"/>
              <w:rPr>
                <w:rFonts w:ascii="Times New Roman" w:cs="Times New Roman" w:eastAsia="Times New Roman" w:hAnsi="Times New Roman"/>
                <w:sz w:val="16"/>
                <w:szCs w:val="16"/>
                <w:color w:val="0000FF"/>
              </w:rPr>
            </w:pPr>
            <w:hyperlink r:id="rId114">
              <w:r>
                <w:rPr>
                  <w:rFonts w:ascii="Times New Roman" w:cs="Times New Roman" w:eastAsia="Times New Roman" w:hAnsi="Times New Roman"/>
                  <w:sz w:val="16"/>
                  <w:szCs w:val="16"/>
                  <w:color w:val="0000FF"/>
                </w:rPr>
                <w:t>Fourth Amendment to the Power Purchase Agreement, dated August</w:t>
              </w:r>
            </w:hyperlink>
          </w:p>
        </w:tc>
        <w:tc>
          <w:tcPr>
            <w:tcW w:w="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8-K</w:t>
            </w:r>
          </w:p>
        </w:tc>
      </w:tr>
      <w:tr>
        <w:trPr>
          <w:trHeight w:val="169"/>
        </w:trPr>
        <w:tc>
          <w:tcPr>
            <w:tcW w:w="1100" w:type="dxa"/>
            <w:vAlign w:val="bottom"/>
          </w:tcPr>
          <w:p>
            <w:pPr>
              <w:spacing w:after="0"/>
              <w:rPr>
                <w:sz w:val="14"/>
                <w:szCs w:val="14"/>
                <w:color w:val="auto"/>
              </w:rPr>
            </w:pPr>
          </w:p>
        </w:tc>
        <w:tc>
          <w:tcPr>
            <w:tcW w:w="4580" w:type="dxa"/>
            <w:vAlign w:val="bottom"/>
            <w:tcBorders>
              <w:top w:val="single" w:sz="8" w:color="0000FF"/>
            </w:tcBorders>
            <w:gridSpan w:val="33"/>
          </w:tcPr>
          <w:p>
            <w:pPr>
              <w:spacing w:after="0" w:line="169" w:lineRule="exact"/>
              <w:rPr>
                <w:rFonts w:ascii="Times New Roman" w:cs="Times New Roman" w:eastAsia="Times New Roman" w:hAnsi="Times New Roman"/>
                <w:sz w:val="16"/>
                <w:szCs w:val="16"/>
                <w:color w:val="0000FF"/>
              </w:rPr>
            </w:pPr>
            <w:hyperlink r:id="rId114">
              <w:r>
                <w:rPr>
                  <w:rFonts w:ascii="Times New Roman" w:cs="Times New Roman" w:eastAsia="Times New Roman" w:hAnsi="Times New Roman"/>
                  <w:sz w:val="16"/>
                  <w:szCs w:val="16"/>
                  <w:color w:val="0000FF"/>
                </w:rPr>
                <w:t>23, 2023, by and between Luminant ET Services Company LLC and</w:t>
              </w:r>
            </w:hyperlink>
          </w:p>
        </w:tc>
        <w:tc>
          <w:tcPr>
            <w:tcW w:w="20" w:type="dxa"/>
            <w:vAlign w:val="bottom"/>
          </w:tcPr>
          <w:p>
            <w:pPr>
              <w:spacing w:after="0"/>
              <w:rPr>
                <w:sz w:val="14"/>
                <w:szCs w:val="14"/>
                <w:color w:val="auto"/>
              </w:rPr>
            </w:pPr>
          </w:p>
        </w:tc>
        <w:tc>
          <w:tcPr>
            <w:tcW w:w="4294967217"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460" w:type="dxa"/>
            <w:vAlign w:val="bottom"/>
          </w:tcPr>
          <w:p>
            <w:pPr>
              <w:spacing w:after="0"/>
              <w:rPr>
                <w:sz w:val="14"/>
                <w:szCs w:val="14"/>
                <w:color w:val="auto"/>
              </w:rPr>
            </w:pPr>
          </w:p>
        </w:tc>
      </w:tr>
      <w:tr>
        <w:trPr>
          <w:trHeight w:val="169"/>
        </w:trPr>
        <w:tc>
          <w:tcPr>
            <w:tcW w:w="1100" w:type="dxa"/>
            <w:vAlign w:val="bottom"/>
          </w:tcPr>
          <w:p>
            <w:pPr>
              <w:spacing w:after="0"/>
              <w:rPr>
                <w:sz w:val="14"/>
                <w:szCs w:val="14"/>
                <w:color w:val="auto"/>
              </w:rPr>
            </w:pPr>
          </w:p>
        </w:tc>
        <w:tc>
          <w:tcPr>
            <w:tcW w:w="216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6"/>
                <w:szCs w:val="16"/>
                <w:color w:val="0000FF"/>
              </w:rPr>
            </w:pPr>
            <w:hyperlink r:id="rId114">
              <w:r>
                <w:rPr>
                  <w:rFonts w:ascii="Times New Roman" w:cs="Times New Roman" w:eastAsia="Times New Roman" w:hAnsi="Times New Roman"/>
                  <w:sz w:val="16"/>
                  <w:szCs w:val="16"/>
                  <w:color w:val="0000FF"/>
                </w:rPr>
                <w:t>Cipher Mining Technologies Inc.</w:t>
              </w:r>
            </w:hyperlink>
          </w:p>
        </w:tc>
        <w:tc>
          <w:tcPr>
            <w:tcW w:w="2380" w:type="dxa"/>
            <w:vAlign w:val="bottom"/>
            <w:tcBorders>
              <w:top w:val="single" w:sz="8" w:color="0000FF"/>
            </w:tcBorders>
            <w:gridSpan w:val="24"/>
          </w:tcPr>
          <w:p>
            <w:pPr>
              <w:spacing w:after="0"/>
              <w:rPr>
                <w:sz w:val="14"/>
                <w:szCs w:val="14"/>
                <w:color w:val="auto"/>
              </w:rPr>
            </w:pPr>
          </w:p>
        </w:tc>
        <w:tc>
          <w:tcPr>
            <w:tcW w:w="60" w:type="dxa"/>
            <w:vAlign w:val="bottom"/>
            <w:gridSpan w:val="3"/>
          </w:tcPr>
          <w:p>
            <w:pPr>
              <w:spacing w:after="0"/>
              <w:rPr>
                <w:sz w:val="14"/>
                <w:szCs w:val="14"/>
                <w:color w:val="auto"/>
              </w:rPr>
            </w:pPr>
          </w:p>
        </w:tc>
        <w:tc>
          <w:tcPr>
            <w:tcW w:w="4294967217"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460" w:type="dxa"/>
            <w:vAlign w:val="bottom"/>
          </w:tcPr>
          <w:p>
            <w:pPr>
              <w:spacing w:after="0"/>
              <w:rPr>
                <w:sz w:val="14"/>
                <w:szCs w:val="14"/>
                <w:color w:val="auto"/>
              </w:rPr>
            </w:pPr>
          </w:p>
        </w:tc>
      </w:tr>
      <w:tr>
        <w:trPr>
          <w:trHeight w:val="23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10.14</w:t>
            </w:r>
          </w:p>
        </w:tc>
        <w:tc>
          <w:tcPr>
            <w:tcW w:w="4700" w:type="dxa"/>
            <w:vAlign w:val="bottom"/>
            <w:gridSpan w:val="40"/>
          </w:tcPr>
          <w:p>
            <w:pPr>
              <w:spacing w:after="0"/>
              <w:rPr>
                <w:rFonts w:ascii="Times New Roman" w:cs="Times New Roman" w:eastAsia="Times New Roman" w:hAnsi="Times New Roman"/>
                <w:sz w:val="16"/>
                <w:szCs w:val="16"/>
                <w:color w:val="0000FF"/>
              </w:rPr>
            </w:pPr>
            <w:hyperlink r:id="rId115">
              <w:r>
                <w:rPr>
                  <w:rFonts w:ascii="Times New Roman" w:cs="Times New Roman" w:eastAsia="Times New Roman" w:hAnsi="Times New Roman"/>
                  <w:sz w:val="16"/>
                  <w:szCs w:val="16"/>
                  <w:color w:val="0000FF"/>
                </w:rPr>
                <w:t>Lease Agreement, dated June 29, 2021, by and between an affiliate of</w:t>
              </w:r>
            </w:hyperlink>
          </w:p>
        </w:tc>
        <w:tc>
          <w:tcPr>
            <w:tcW w:w="46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9"/>
              </w:rPr>
              <w:t>S-4/A</w:t>
            </w:r>
          </w:p>
        </w:tc>
      </w:tr>
      <w:tr>
        <w:trPr>
          <w:trHeight w:val="169"/>
        </w:trPr>
        <w:tc>
          <w:tcPr>
            <w:tcW w:w="1100" w:type="dxa"/>
            <w:vAlign w:val="bottom"/>
          </w:tcPr>
          <w:p>
            <w:pPr>
              <w:spacing w:after="0"/>
              <w:rPr>
                <w:sz w:val="14"/>
                <w:szCs w:val="14"/>
                <w:color w:val="auto"/>
              </w:rPr>
            </w:pPr>
          </w:p>
        </w:tc>
        <w:tc>
          <w:tcPr>
            <w:tcW w:w="3100" w:type="dxa"/>
            <w:vAlign w:val="bottom"/>
            <w:tcBorders>
              <w:top w:val="single" w:sz="8" w:color="0000FF"/>
              <w:bottom w:val="single" w:sz="8" w:color="0000FF"/>
            </w:tcBorders>
            <w:gridSpan w:val="10"/>
          </w:tcPr>
          <w:p>
            <w:pPr>
              <w:spacing w:after="0" w:line="169" w:lineRule="exact"/>
              <w:rPr>
                <w:rFonts w:ascii="Times New Roman" w:cs="Times New Roman" w:eastAsia="Times New Roman" w:hAnsi="Times New Roman"/>
                <w:sz w:val="16"/>
                <w:szCs w:val="16"/>
                <w:color w:val="0000FF"/>
              </w:rPr>
            </w:pPr>
            <w:hyperlink r:id="rId115">
              <w:r>
                <w:rPr>
                  <w:rFonts w:ascii="Times New Roman" w:cs="Times New Roman" w:eastAsia="Times New Roman" w:hAnsi="Times New Roman"/>
                  <w:sz w:val="16"/>
                  <w:szCs w:val="16"/>
                  <w:color w:val="0000FF"/>
                </w:rPr>
                <w:t>Luminant and Cipher Mining Technologies Inc.</w:t>
              </w:r>
            </w:hyperlink>
          </w:p>
        </w:tc>
        <w:tc>
          <w:tcPr>
            <w:tcW w:w="1420" w:type="dxa"/>
            <w:vAlign w:val="bottom"/>
            <w:tcBorders>
              <w:top w:val="single" w:sz="8" w:color="0000FF"/>
            </w:tcBorders>
            <w:gridSpan w:val="25"/>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460" w:type="dxa"/>
            <w:vAlign w:val="bottom"/>
          </w:tcPr>
          <w:p>
            <w:pPr>
              <w:spacing w:after="0"/>
              <w:rPr>
                <w:sz w:val="14"/>
                <w:szCs w:val="14"/>
                <w:color w:val="auto"/>
              </w:rPr>
            </w:pPr>
          </w:p>
        </w:tc>
      </w:tr>
      <w:tr>
        <w:trPr>
          <w:trHeight w:val="23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10.15</w:t>
            </w:r>
          </w:p>
        </w:tc>
        <w:tc>
          <w:tcPr>
            <w:tcW w:w="4520" w:type="dxa"/>
            <w:vAlign w:val="bottom"/>
            <w:tcBorders>
              <w:bottom w:val="single" w:sz="8" w:color="0000FF"/>
            </w:tcBorders>
            <w:gridSpan w:val="35"/>
          </w:tcPr>
          <w:p>
            <w:pPr>
              <w:spacing w:after="0"/>
              <w:rPr>
                <w:rFonts w:ascii="Times New Roman" w:cs="Times New Roman" w:eastAsia="Times New Roman" w:hAnsi="Times New Roman"/>
                <w:sz w:val="16"/>
                <w:szCs w:val="16"/>
                <w:color w:val="0000FF"/>
              </w:rPr>
            </w:pPr>
            <w:hyperlink r:id="rId116">
              <w:r>
                <w:rPr>
                  <w:rFonts w:ascii="Times New Roman" w:cs="Times New Roman" w:eastAsia="Times New Roman" w:hAnsi="Times New Roman"/>
                  <w:sz w:val="16"/>
                  <w:szCs w:val="16"/>
                  <w:color w:val="0000FF"/>
                </w:rPr>
                <w:t>First Amendment to the Lease Agreement, dated July 9, 2021, by and</w:t>
              </w:r>
            </w:hyperlink>
          </w:p>
        </w:tc>
        <w:tc>
          <w:tcPr>
            <w:tcW w:w="180" w:type="dxa"/>
            <w:vAlign w:val="bottom"/>
            <w:gridSpan w:val="5"/>
          </w:tcPr>
          <w:p>
            <w:pPr>
              <w:spacing w:after="0"/>
              <w:rPr>
                <w:sz w:val="20"/>
                <w:szCs w:val="20"/>
                <w:color w:val="auto"/>
              </w:rPr>
            </w:pPr>
          </w:p>
        </w:tc>
        <w:tc>
          <w:tcPr>
            <w:tcW w:w="46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9"/>
              </w:rPr>
              <w:t>S-4/A</w:t>
            </w:r>
          </w:p>
        </w:tc>
      </w:tr>
      <w:tr>
        <w:trPr>
          <w:trHeight w:val="169"/>
        </w:trPr>
        <w:tc>
          <w:tcPr>
            <w:tcW w:w="1100" w:type="dxa"/>
            <w:vAlign w:val="bottom"/>
          </w:tcPr>
          <w:p>
            <w:pPr>
              <w:spacing w:after="0"/>
              <w:rPr>
                <w:sz w:val="14"/>
                <w:szCs w:val="14"/>
                <w:color w:val="auto"/>
              </w:rPr>
            </w:pPr>
          </w:p>
        </w:tc>
        <w:tc>
          <w:tcPr>
            <w:tcW w:w="4700" w:type="dxa"/>
            <w:vAlign w:val="bottom"/>
            <w:gridSpan w:val="40"/>
          </w:tcPr>
          <w:p>
            <w:pPr>
              <w:spacing w:after="0" w:line="169" w:lineRule="exact"/>
              <w:rPr>
                <w:rFonts w:ascii="Times New Roman" w:cs="Times New Roman" w:eastAsia="Times New Roman" w:hAnsi="Times New Roman"/>
                <w:sz w:val="16"/>
                <w:szCs w:val="16"/>
                <w:color w:val="0000FF"/>
              </w:rPr>
            </w:pPr>
            <w:hyperlink r:id="rId116">
              <w:r>
                <w:rPr>
                  <w:rFonts w:ascii="Times New Roman" w:cs="Times New Roman" w:eastAsia="Times New Roman" w:hAnsi="Times New Roman"/>
                  <w:sz w:val="16"/>
                  <w:szCs w:val="16"/>
                  <w:color w:val="0000FF"/>
                </w:rPr>
                <w:t>between an affiliate of Luminant and Cipher Mining Technologies Inc.</w:t>
              </w:r>
            </w:hyperlink>
          </w:p>
        </w:tc>
        <w:tc>
          <w:tcPr>
            <w:tcW w:w="460" w:type="dxa"/>
            <w:vAlign w:val="bottom"/>
          </w:tcPr>
          <w:p>
            <w:pPr>
              <w:spacing w:after="0"/>
              <w:rPr>
                <w:sz w:val="14"/>
                <w:szCs w:val="14"/>
                <w:color w:val="auto"/>
              </w:rPr>
            </w:pPr>
          </w:p>
        </w:tc>
      </w:tr>
      <w:tr>
        <w:trPr>
          <w:trHeight w:val="23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10.16</w:t>
            </w:r>
          </w:p>
        </w:tc>
        <w:tc>
          <w:tcPr>
            <w:tcW w:w="4580" w:type="dxa"/>
            <w:vAlign w:val="bottom"/>
            <w:tcBorders>
              <w:top w:val="single" w:sz="8" w:color="0000FF"/>
            </w:tcBorders>
            <w:gridSpan w:val="36"/>
          </w:tcPr>
          <w:p>
            <w:pPr>
              <w:spacing w:after="0"/>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Second Amendment to the Lease Agreement, dated August 23, 2023,</w:t>
              </w:r>
            </w:hyperlink>
          </w:p>
        </w:tc>
        <w:tc>
          <w:tcPr>
            <w:tcW w:w="120" w:type="dxa"/>
            <w:vAlign w:val="bottom"/>
            <w:gridSpan w:val="4"/>
          </w:tcPr>
          <w:p>
            <w:pPr>
              <w:spacing w:after="0"/>
              <w:rPr>
                <w:sz w:val="20"/>
                <w:szCs w:val="20"/>
                <w:color w:val="auto"/>
              </w:rPr>
            </w:pPr>
          </w:p>
        </w:tc>
        <w:tc>
          <w:tcPr>
            <w:tcW w:w="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8-K</w:t>
            </w:r>
          </w:p>
        </w:tc>
      </w:tr>
      <w:tr>
        <w:trPr>
          <w:trHeight w:val="169"/>
        </w:trPr>
        <w:tc>
          <w:tcPr>
            <w:tcW w:w="1100" w:type="dxa"/>
            <w:vAlign w:val="bottom"/>
          </w:tcPr>
          <w:p>
            <w:pPr>
              <w:spacing w:after="0"/>
              <w:rPr>
                <w:sz w:val="14"/>
                <w:szCs w:val="14"/>
                <w:color w:val="auto"/>
              </w:rPr>
            </w:pPr>
          </w:p>
        </w:tc>
        <w:tc>
          <w:tcPr>
            <w:tcW w:w="4600" w:type="dxa"/>
            <w:vAlign w:val="bottom"/>
            <w:tcBorders>
              <w:top w:val="single" w:sz="8" w:color="0000FF"/>
            </w:tcBorders>
            <w:gridSpan w:val="34"/>
          </w:tcPr>
          <w:p>
            <w:pPr>
              <w:spacing w:after="0" w:line="169" w:lineRule="exact"/>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by and between an affiliate of Luminant and Cipher Mining</w:t>
              </w:r>
            </w:hyperlink>
          </w:p>
        </w:tc>
        <w:tc>
          <w:tcPr>
            <w:tcW w:w="20" w:type="dxa"/>
            <w:vAlign w:val="bottom"/>
            <w:gridSpan w:val="3"/>
          </w:tcPr>
          <w:p>
            <w:pPr>
              <w:spacing w:after="0"/>
              <w:rPr>
                <w:sz w:val="14"/>
                <w:szCs w:val="14"/>
                <w:color w:val="auto"/>
              </w:rPr>
            </w:pPr>
          </w:p>
        </w:tc>
        <w:tc>
          <w:tcPr>
            <w:tcW w:w="80" w:type="dxa"/>
            <w:vAlign w:val="bottom"/>
            <w:gridSpan w:val="3"/>
          </w:tcPr>
          <w:p>
            <w:pPr>
              <w:spacing w:after="0"/>
              <w:rPr>
                <w:sz w:val="14"/>
                <w:szCs w:val="14"/>
                <w:color w:val="auto"/>
              </w:rPr>
            </w:pPr>
          </w:p>
        </w:tc>
        <w:tc>
          <w:tcPr>
            <w:tcW w:w="460" w:type="dxa"/>
            <w:vAlign w:val="bottom"/>
          </w:tcPr>
          <w:p>
            <w:pPr>
              <w:spacing w:after="0"/>
              <w:rPr>
                <w:sz w:val="14"/>
                <w:szCs w:val="14"/>
                <w:color w:val="auto"/>
              </w:rPr>
            </w:pPr>
          </w:p>
        </w:tc>
      </w:tr>
      <w:tr>
        <w:trPr>
          <w:trHeight w:val="169"/>
        </w:trPr>
        <w:tc>
          <w:tcPr>
            <w:tcW w:w="1100" w:type="dxa"/>
            <w:vAlign w:val="bottom"/>
          </w:tcPr>
          <w:p>
            <w:pPr>
              <w:spacing w:after="0"/>
              <w:rPr>
                <w:sz w:val="14"/>
                <w:szCs w:val="14"/>
                <w:color w:val="auto"/>
              </w:rPr>
            </w:pPr>
          </w:p>
        </w:tc>
        <w:tc>
          <w:tcPr>
            <w:tcW w:w="3860" w:type="dxa"/>
            <w:vAlign w:val="bottom"/>
            <w:tcBorders>
              <w:top w:val="single" w:sz="8" w:color="0000FF"/>
            </w:tcBorders>
            <w:gridSpan w:val="15"/>
          </w:tcPr>
          <w:p>
            <w:pPr>
              <w:spacing w:after="0" w:line="169" w:lineRule="exact"/>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Technologies Inc.</w:t>
              </w:r>
            </w:hyperlink>
          </w:p>
        </w:tc>
        <w:tc>
          <w:tcPr>
            <w:tcW w:w="520" w:type="dxa"/>
            <w:vAlign w:val="bottom"/>
            <w:gridSpan w:val="8"/>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40" w:type="dxa"/>
            <w:vAlign w:val="bottom"/>
            <w:gridSpan w:val="9"/>
          </w:tcPr>
          <w:p>
            <w:pPr>
              <w:spacing w:after="0"/>
              <w:rPr>
                <w:sz w:val="14"/>
                <w:szCs w:val="14"/>
                <w:color w:val="auto"/>
              </w:rPr>
            </w:pPr>
          </w:p>
        </w:tc>
        <w:tc>
          <w:tcPr>
            <w:tcW w:w="80" w:type="dxa"/>
            <w:vAlign w:val="bottom"/>
            <w:gridSpan w:val="3"/>
          </w:tcPr>
          <w:p>
            <w:pPr>
              <w:spacing w:after="0"/>
              <w:rPr>
                <w:sz w:val="14"/>
                <w:szCs w:val="14"/>
                <w:color w:val="auto"/>
              </w:rPr>
            </w:pPr>
          </w:p>
        </w:tc>
        <w:tc>
          <w:tcPr>
            <w:tcW w:w="460" w:type="dxa"/>
            <w:vAlign w:val="bottom"/>
          </w:tcPr>
          <w:p>
            <w:pPr>
              <w:spacing w:after="0"/>
              <w:rPr>
                <w:sz w:val="14"/>
                <w:szCs w:val="14"/>
                <w:color w:val="auto"/>
              </w:rPr>
            </w:pPr>
          </w:p>
        </w:tc>
      </w:tr>
      <w:tr>
        <w:trPr>
          <w:trHeight w:val="20"/>
        </w:trPr>
        <w:tc>
          <w:tcPr>
            <w:tcW w:w="110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00" w:type="dxa"/>
            <w:vAlign w:val="bottom"/>
            <w:gridSpan w:val="8"/>
          </w:tcPr>
          <w:p>
            <w:pPr>
              <w:spacing w:after="0" w:line="20" w:lineRule="exact"/>
              <w:rPr>
                <w:sz w:val="1"/>
                <w:szCs w:val="1"/>
                <w:color w:val="auto"/>
              </w:rPr>
            </w:pPr>
          </w:p>
        </w:tc>
        <w:tc>
          <w:tcPr>
            <w:tcW w:w="122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9"/>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7"/>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10.17</w:t>
            </w:r>
          </w:p>
        </w:tc>
        <w:tc>
          <w:tcPr>
            <w:tcW w:w="4700" w:type="dxa"/>
            <w:vAlign w:val="bottom"/>
            <w:gridSpan w:val="40"/>
          </w:tcPr>
          <w:p>
            <w:pPr>
              <w:spacing w:after="0"/>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Purchase and Sale Agreement, dated June 28, 2021, by and between</w:t>
              </w:r>
            </w:hyperlink>
          </w:p>
        </w:tc>
        <w:tc>
          <w:tcPr>
            <w:tcW w:w="46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9"/>
              </w:rPr>
              <w:t>S-4/A</w:t>
            </w:r>
          </w:p>
        </w:tc>
      </w:tr>
      <w:tr>
        <w:trPr>
          <w:trHeight w:val="169"/>
        </w:trPr>
        <w:tc>
          <w:tcPr>
            <w:tcW w:w="1100" w:type="dxa"/>
            <w:vAlign w:val="bottom"/>
          </w:tcPr>
          <w:p>
            <w:pPr>
              <w:spacing w:after="0"/>
              <w:rPr>
                <w:sz w:val="14"/>
                <w:szCs w:val="14"/>
                <w:color w:val="auto"/>
              </w:rPr>
            </w:pPr>
          </w:p>
        </w:tc>
        <w:tc>
          <w:tcPr>
            <w:tcW w:w="4420" w:type="dxa"/>
            <w:vAlign w:val="bottom"/>
            <w:tcBorders>
              <w:top w:val="single" w:sz="8" w:color="0000FF"/>
              <w:bottom w:val="single" w:sz="8" w:color="0000FF"/>
            </w:tcBorders>
            <w:gridSpan w:val="25"/>
          </w:tcPr>
          <w:p>
            <w:pPr>
              <w:spacing w:after="0" w:line="169" w:lineRule="exact"/>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Vistra Operations Company LLC and Cipher Mining Technologies</w:t>
              </w:r>
            </w:hyperlink>
          </w:p>
        </w:tc>
        <w:tc>
          <w:tcPr>
            <w:tcW w:w="200" w:type="dxa"/>
            <w:vAlign w:val="bottom"/>
            <w:tcBorders>
              <w:bottom w:val="single" w:sz="8" w:color="0000FF"/>
            </w:tcBorders>
            <w:gridSpan w:val="12"/>
          </w:tcPr>
          <w:p>
            <w:pPr>
              <w:spacing w:after="0" w:line="169" w:lineRule="exact"/>
              <w:rPr>
                <w:rFonts w:ascii="Times New Roman" w:cs="Times New Roman" w:eastAsia="Times New Roman" w:hAnsi="Times New Roman"/>
                <w:sz w:val="16"/>
                <w:szCs w:val="16"/>
                <w:color w:val="0000FF"/>
                <w:w w:val="73"/>
              </w:rPr>
            </w:pPr>
            <w:hyperlink r:id="rId118">
              <w:r>
                <w:rPr>
                  <w:rFonts w:ascii="Times New Roman" w:cs="Times New Roman" w:eastAsia="Times New Roman" w:hAnsi="Times New Roman"/>
                  <w:sz w:val="16"/>
                  <w:szCs w:val="16"/>
                  <w:color w:val="0000FF"/>
                  <w:w w:val="73"/>
                </w:rPr>
                <w:t>Inc.</w:t>
              </w:r>
            </w:hyperlink>
          </w:p>
        </w:tc>
        <w:tc>
          <w:tcPr>
            <w:tcW w:w="80" w:type="dxa"/>
            <w:vAlign w:val="bottom"/>
            <w:gridSpan w:val="3"/>
          </w:tcPr>
          <w:p>
            <w:pPr>
              <w:spacing w:after="0"/>
              <w:rPr>
                <w:sz w:val="14"/>
                <w:szCs w:val="14"/>
                <w:color w:val="auto"/>
              </w:rPr>
            </w:pPr>
          </w:p>
        </w:tc>
        <w:tc>
          <w:tcPr>
            <w:tcW w:w="460" w:type="dxa"/>
            <w:vAlign w:val="bottom"/>
          </w:tcPr>
          <w:p>
            <w:pPr>
              <w:spacing w:after="0"/>
              <w:rPr>
                <w:sz w:val="14"/>
                <w:szCs w:val="14"/>
                <w:color w:val="auto"/>
              </w:rPr>
            </w:pPr>
          </w:p>
        </w:tc>
      </w:tr>
      <w:tr>
        <w:trPr>
          <w:trHeight w:val="23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10.18</w:t>
            </w:r>
          </w:p>
        </w:tc>
        <w:tc>
          <w:tcPr>
            <w:tcW w:w="4700" w:type="dxa"/>
            <w:vAlign w:val="bottom"/>
            <w:gridSpan w:val="40"/>
          </w:tcPr>
          <w:p>
            <w:pPr>
              <w:spacing w:after="0"/>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First Amendment to the Purchase and Sale Agreement, dated July 9,</w:t>
              </w:r>
            </w:hyperlink>
          </w:p>
        </w:tc>
        <w:tc>
          <w:tcPr>
            <w:tcW w:w="46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9"/>
              </w:rPr>
              <w:t>S-4/A</w:t>
            </w:r>
          </w:p>
        </w:tc>
      </w:tr>
      <w:tr>
        <w:trPr>
          <w:trHeight w:val="169"/>
        </w:trPr>
        <w:tc>
          <w:tcPr>
            <w:tcW w:w="1100" w:type="dxa"/>
            <w:vAlign w:val="bottom"/>
          </w:tcPr>
          <w:p>
            <w:pPr>
              <w:spacing w:after="0"/>
              <w:rPr>
                <w:sz w:val="14"/>
                <w:szCs w:val="14"/>
                <w:color w:val="auto"/>
              </w:rPr>
            </w:pPr>
          </w:p>
        </w:tc>
        <w:tc>
          <w:tcPr>
            <w:tcW w:w="4480" w:type="dxa"/>
            <w:vAlign w:val="bottom"/>
            <w:tcBorders>
              <w:top w:val="single" w:sz="8" w:color="0000FF"/>
            </w:tcBorders>
            <w:gridSpan w:val="28"/>
          </w:tcPr>
          <w:p>
            <w:pPr>
              <w:spacing w:after="0" w:line="169" w:lineRule="exact"/>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2021, by and between Vistra Operations Company LLC and Cipher</w:t>
              </w:r>
            </w:hyperlink>
          </w:p>
        </w:tc>
        <w:tc>
          <w:tcPr>
            <w:tcW w:w="220" w:type="dxa"/>
            <w:vAlign w:val="bottom"/>
            <w:gridSpan w:val="12"/>
          </w:tcPr>
          <w:p>
            <w:pPr>
              <w:spacing w:after="0"/>
              <w:rPr>
                <w:sz w:val="14"/>
                <w:szCs w:val="14"/>
                <w:color w:val="auto"/>
              </w:rPr>
            </w:pPr>
          </w:p>
        </w:tc>
        <w:tc>
          <w:tcPr>
            <w:tcW w:w="460" w:type="dxa"/>
            <w:vAlign w:val="bottom"/>
          </w:tcPr>
          <w:p>
            <w:pPr>
              <w:spacing w:after="0"/>
              <w:rPr>
                <w:sz w:val="14"/>
                <w:szCs w:val="14"/>
                <w:color w:val="auto"/>
              </w:rPr>
            </w:pPr>
          </w:p>
        </w:tc>
      </w:tr>
      <w:tr>
        <w:trPr>
          <w:trHeight w:val="169"/>
        </w:trPr>
        <w:tc>
          <w:tcPr>
            <w:tcW w:w="1100" w:type="dxa"/>
            <w:vAlign w:val="bottom"/>
          </w:tcPr>
          <w:p>
            <w:pPr>
              <w:spacing w:after="0"/>
              <w:rPr>
                <w:sz w:val="14"/>
                <w:szCs w:val="14"/>
                <w:color w:val="auto"/>
              </w:rPr>
            </w:pPr>
          </w:p>
        </w:tc>
        <w:tc>
          <w:tcPr>
            <w:tcW w:w="4380" w:type="dxa"/>
            <w:vAlign w:val="bottom"/>
            <w:tcBorders>
              <w:top w:val="single" w:sz="8" w:color="0000FF"/>
            </w:tcBorders>
            <w:gridSpan w:val="23"/>
          </w:tcPr>
          <w:p>
            <w:pPr>
              <w:spacing w:after="0" w:line="169" w:lineRule="exact"/>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Mining Technologies Inc.</w:t>
              </w:r>
            </w:hyperlink>
          </w:p>
        </w:tc>
        <w:tc>
          <w:tcPr>
            <w:tcW w:w="60" w:type="dxa"/>
            <w:vAlign w:val="bottom"/>
            <w:gridSpan w:val="3"/>
          </w:tcPr>
          <w:p>
            <w:pPr>
              <w:spacing w:after="0"/>
              <w:rPr>
                <w:sz w:val="14"/>
                <w:szCs w:val="14"/>
                <w:color w:val="auto"/>
              </w:rPr>
            </w:pPr>
          </w:p>
        </w:tc>
        <w:tc>
          <w:tcPr>
            <w:tcW w:w="260" w:type="dxa"/>
            <w:vAlign w:val="bottom"/>
            <w:gridSpan w:val="14"/>
          </w:tcPr>
          <w:p>
            <w:pPr>
              <w:spacing w:after="0"/>
              <w:rPr>
                <w:sz w:val="14"/>
                <w:szCs w:val="14"/>
                <w:color w:val="auto"/>
              </w:rPr>
            </w:pPr>
          </w:p>
        </w:tc>
        <w:tc>
          <w:tcPr>
            <w:tcW w:w="460" w:type="dxa"/>
            <w:vAlign w:val="bottom"/>
          </w:tcPr>
          <w:p>
            <w:pPr>
              <w:spacing w:after="0"/>
              <w:rPr>
                <w:sz w:val="14"/>
                <w:szCs w:val="14"/>
                <w:color w:val="auto"/>
              </w:rPr>
            </w:pPr>
          </w:p>
        </w:tc>
      </w:tr>
      <w:tr>
        <w:trPr>
          <w:trHeight w:val="20"/>
        </w:trPr>
        <w:tc>
          <w:tcPr>
            <w:tcW w:w="1100" w:type="dxa"/>
            <w:vAlign w:val="bottom"/>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1500" w:type="dxa"/>
            <w:vAlign w:val="bottom"/>
            <w:gridSpan w:val="8"/>
          </w:tcPr>
          <w:p>
            <w:pPr>
              <w:spacing w:after="0" w:line="20" w:lineRule="exact"/>
              <w:rPr>
                <w:sz w:val="1"/>
                <w:szCs w:val="1"/>
                <w:color w:val="auto"/>
              </w:rPr>
            </w:pPr>
          </w:p>
        </w:tc>
        <w:tc>
          <w:tcPr>
            <w:tcW w:w="1280" w:type="dxa"/>
            <w:vAlign w:val="bottom"/>
            <w:gridSpan w:val="15"/>
          </w:tcPr>
          <w:p>
            <w:pPr>
              <w:spacing w:after="0" w:line="20" w:lineRule="exact"/>
              <w:rPr>
                <w:sz w:val="1"/>
                <w:szCs w:val="1"/>
                <w:color w:val="auto"/>
              </w:rPr>
            </w:pPr>
          </w:p>
        </w:tc>
        <w:tc>
          <w:tcPr>
            <w:tcW w:w="260" w:type="dxa"/>
            <w:vAlign w:val="bottom"/>
            <w:gridSpan w:val="1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7"/>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10.19#</w:t>
            </w:r>
          </w:p>
        </w:tc>
        <w:tc>
          <w:tcPr>
            <w:tcW w:w="4700" w:type="dxa"/>
            <w:vAlign w:val="bottom"/>
            <w:gridSpan w:val="40"/>
          </w:tcPr>
          <w:p>
            <w:pPr>
              <w:spacing w:after="0"/>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Employment Agreement, dated as of May 11, 2021, by and between</w:t>
              </w:r>
            </w:hyperlink>
          </w:p>
        </w:tc>
        <w:tc>
          <w:tcPr>
            <w:tcW w:w="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S-4</w:t>
            </w:r>
          </w:p>
        </w:tc>
      </w:tr>
      <w:tr>
        <w:trPr>
          <w:trHeight w:val="169"/>
        </w:trPr>
        <w:tc>
          <w:tcPr>
            <w:tcW w:w="1100" w:type="dxa"/>
            <w:vAlign w:val="bottom"/>
          </w:tcPr>
          <w:p>
            <w:pPr>
              <w:spacing w:after="0"/>
              <w:rPr>
                <w:sz w:val="14"/>
                <w:szCs w:val="14"/>
                <w:color w:val="auto"/>
              </w:rPr>
            </w:pPr>
          </w:p>
        </w:tc>
        <w:tc>
          <w:tcPr>
            <w:tcW w:w="3160" w:type="dxa"/>
            <w:vAlign w:val="bottom"/>
            <w:tcBorders>
              <w:top w:val="single" w:sz="8" w:color="0000FF"/>
              <w:bottom w:val="single" w:sz="8" w:color="0000FF"/>
            </w:tcBorders>
            <w:gridSpan w:val="11"/>
          </w:tcPr>
          <w:p>
            <w:pPr>
              <w:spacing w:after="0" w:line="169" w:lineRule="exact"/>
              <w:rPr>
                <w:rFonts w:ascii="Times New Roman" w:cs="Times New Roman" w:eastAsia="Times New Roman" w:hAnsi="Times New Roman"/>
                <w:sz w:val="16"/>
                <w:szCs w:val="16"/>
                <w:color w:val="0000FF"/>
                <w:w w:val="99"/>
              </w:rPr>
            </w:pPr>
            <w:hyperlink r:id="rId120">
              <w:r>
                <w:rPr>
                  <w:rFonts w:ascii="Times New Roman" w:cs="Times New Roman" w:eastAsia="Times New Roman" w:hAnsi="Times New Roman"/>
                  <w:sz w:val="16"/>
                  <w:szCs w:val="16"/>
                  <w:color w:val="0000FF"/>
                  <w:w w:val="99"/>
                </w:rPr>
                <w:t>Tyler Page and Cipher Mining Technologies Inc.</w:t>
              </w:r>
            </w:hyperlink>
          </w:p>
        </w:tc>
        <w:tc>
          <w:tcPr>
            <w:tcW w:w="1280" w:type="dxa"/>
            <w:vAlign w:val="bottom"/>
            <w:tcBorders>
              <w:top w:val="single" w:sz="8" w:color="0000FF"/>
            </w:tcBorders>
            <w:gridSpan w:val="15"/>
          </w:tcPr>
          <w:p>
            <w:pPr>
              <w:spacing w:after="0"/>
              <w:rPr>
                <w:sz w:val="14"/>
                <w:szCs w:val="14"/>
                <w:color w:val="auto"/>
              </w:rPr>
            </w:pPr>
          </w:p>
        </w:tc>
        <w:tc>
          <w:tcPr>
            <w:tcW w:w="260" w:type="dxa"/>
            <w:vAlign w:val="bottom"/>
            <w:gridSpan w:val="14"/>
          </w:tcPr>
          <w:p>
            <w:pPr>
              <w:spacing w:after="0"/>
              <w:rPr>
                <w:sz w:val="14"/>
                <w:szCs w:val="14"/>
                <w:color w:val="auto"/>
              </w:rPr>
            </w:pPr>
          </w:p>
        </w:tc>
        <w:tc>
          <w:tcPr>
            <w:tcW w:w="46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0"/>
        <w:spacing w:after="0"/>
        <w:tabs>
          <w:tab w:leader="none" w:pos="1340" w:val="left"/>
          <w:tab w:leader="none" w:pos="2300" w:val="left"/>
        </w:tabs>
        <w:rPr>
          <w:sz w:val="20"/>
          <w:szCs w:val="20"/>
          <w:color w:val="auto"/>
        </w:rPr>
      </w:pPr>
      <w:r>
        <w:rPr>
          <w:rFonts w:ascii="Times New Roman" w:cs="Times New Roman" w:eastAsia="Times New Roman" w:hAnsi="Times New Roman"/>
          <w:sz w:val="16"/>
          <w:szCs w:val="16"/>
          <w:color w:val="auto"/>
        </w:rPr>
        <w:t>001-39625</w:t>
      </w:r>
      <w:r>
        <w:rPr>
          <w:sz w:val="20"/>
          <w:szCs w:val="20"/>
          <w:color w:val="auto"/>
        </w:rPr>
        <w:tab/>
      </w:r>
      <w:r>
        <w:rPr>
          <w:rFonts w:ascii="Times New Roman" w:cs="Times New Roman" w:eastAsia="Times New Roman" w:hAnsi="Times New Roman"/>
          <w:sz w:val="16"/>
          <w:szCs w:val="16"/>
          <w:color w:val="auto"/>
        </w:rPr>
        <w:t>10.2</w:t>
      </w:r>
      <w:r>
        <w:rPr>
          <w:sz w:val="20"/>
          <w:szCs w:val="20"/>
          <w:color w:val="auto"/>
        </w:rPr>
        <w:tab/>
      </w:r>
      <w:r>
        <w:rPr>
          <w:rFonts w:ascii="Times New Roman" w:cs="Times New Roman" w:eastAsia="Times New Roman" w:hAnsi="Times New Roman"/>
          <w:sz w:val="16"/>
          <w:szCs w:val="16"/>
          <w:color w:val="auto"/>
        </w:rPr>
        <w:t>8/31/21</w:t>
      </w:r>
    </w:p>
    <w:p>
      <w:pPr>
        <w:spacing w:after="0" w:line="200" w:lineRule="exact"/>
        <w:rPr>
          <w:sz w:val="20"/>
          <w:szCs w:val="20"/>
          <w:color w:val="auto"/>
        </w:rPr>
      </w:pPr>
    </w:p>
    <w:p>
      <w:pPr>
        <w:spacing w:after="0" w:line="251" w:lineRule="exact"/>
        <w:rPr>
          <w:sz w:val="20"/>
          <w:szCs w:val="20"/>
          <w:color w:val="auto"/>
        </w:rPr>
      </w:pPr>
    </w:p>
    <w:p>
      <w:pPr>
        <w:spacing w:after="0"/>
        <w:tabs>
          <w:tab w:leader="none" w:pos="1300" w:val="left"/>
          <w:tab w:leader="none" w:pos="2300" w:val="left"/>
        </w:tabs>
        <w:rPr>
          <w:sz w:val="20"/>
          <w:szCs w:val="20"/>
          <w:color w:val="auto"/>
        </w:rPr>
      </w:pPr>
      <w:r>
        <w:rPr>
          <w:rFonts w:ascii="Times New Roman" w:cs="Times New Roman" w:eastAsia="Times New Roman" w:hAnsi="Times New Roman"/>
          <w:sz w:val="16"/>
          <w:szCs w:val="16"/>
          <w:color w:val="auto"/>
        </w:rPr>
        <w:t>333-256115</w:t>
      </w:r>
      <w:r>
        <w:rPr>
          <w:sz w:val="20"/>
          <w:szCs w:val="20"/>
          <w:color w:val="auto"/>
        </w:rPr>
        <w:tab/>
      </w:r>
      <w:r>
        <w:rPr>
          <w:rFonts w:ascii="Times New Roman" w:cs="Times New Roman" w:eastAsia="Times New Roman" w:hAnsi="Times New Roman"/>
          <w:sz w:val="16"/>
          <w:szCs w:val="16"/>
          <w:color w:val="auto"/>
        </w:rPr>
        <w:t>10.16</w:t>
      </w:r>
      <w:r>
        <w:rPr>
          <w:sz w:val="20"/>
          <w:szCs w:val="20"/>
          <w:color w:val="auto"/>
        </w:rPr>
        <w:tab/>
      </w:r>
      <w:r>
        <w:rPr>
          <w:rFonts w:ascii="Times New Roman" w:cs="Times New Roman" w:eastAsia="Times New Roman" w:hAnsi="Times New Roman"/>
          <w:sz w:val="16"/>
          <w:szCs w:val="16"/>
          <w:color w:val="auto"/>
        </w:rPr>
        <w:t>6/15/21</w:t>
      </w:r>
    </w:p>
    <w:p>
      <w:pPr>
        <w:spacing w:after="0" w:line="262" w:lineRule="exact"/>
        <w:rPr>
          <w:sz w:val="20"/>
          <w:szCs w:val="20"/>
          <w:color w:val="auto"/>
        </w:rPr>
      </w:pPr>
    </w:p>
    <w:p>
      <w:pPr>
        <w:spacing w:after="0"/>
        <w:tabs>
          <w:tab w:leader="none" w:pos="1300" w:val="left"/>
          <w:tab w:leader="none" w:pos="2300" w:val="left"/>
        </w:tabs>
        <w:rPr>
          <w:sz w:val="20"/>
          <w:szCs w:val="20"/>
          <w:color w:val="auto"/>
        </w:rPr>
      </w:pPr>
      <w:r>
        <w:rPr>
          <w:rFonts w:ascii="Times New Roman" w:cs="Times New Roman" w:eastAsia="Times New Roman" w:hAnsi="Times New Roman"/>
          <w:sz w:val="16"/>
          <w:szCs w:val="16"/>
          <w:color w:val="auto"/>
        </w:rPr>
        <w:t>333-256115</w:t>
      </w:r>
      <w:r>
        <w:rPr>
          <w:sz w:val="20"/>
          <w:szCs w:val="20"/>
          <w:color w:val="auto"/>
        </w:rPr>
        <w:tab/>
      </w:r>
      <w:r>
        <w:rPr>
          <w:rFonts w:ascii="Times New Roman" w:cs="Times New Roman" w:eastAsia="Times New Roman" w:hAnsi="Times New Roman"/>
          <w:sz w:val="16"/>
          <w:szCs w:val="16"/>
          <w:color w:val="auto"/>
        </w:rPr>
        <w:t>10.17</w:t>
      </w:r>
      <w:r>
        <w:rPr>
          <w:sz w:val="20"/>
          <w:szCs w:val="20"/>
          <w:color w:val="auto"/>
        </w:rPr>
        <w:tab/>
      </w:r>
      <w:r>
        <w:rPr>
          <w:rFonts w:ascii="Times New Roman" w:cs="Times New Roman" w:eastAsia="Times New Roman" w:hAnsi="Times New Roman"/>
          <w:sz w:val="16"/>
          <w:szCs w:val="16"/>
          <w:color w:val="auto"/>
        </w:rPr>
        <w:t>6/15/21</w:t>
      </w:r>
    </w:p>
    <w:p>
      <w:pPr>
        <w:spacing w:after="0" w:line="262" w:lineRule="exact"/>
        <w:rPr>
          <w:sz w:val="20"/>
          <w:szCs w:val="20"/>
          <w:color w:val="auto"/>
        </w:rPr>
      </w:pPr>
    </w:p>
    <w:p>
      <w:pPr>
        <w:ind w:left="40"/>
        <w:spacing w:after="0"/>
        <w:tabs>
          <w:tab w:leader="none" w:pos="1340" w:val="left"/>
          <w:tab w:leader="none" w:pos="2300" w:val="left"/>
        </w:tabs>
        <w:rPr>
          <w:sz w:val="20"/>
          <w:szCs w:val="20"/>
          <w:color w:val="auto"/>
        </w:rPr>
      </w:pPr>
      <w:r>
        <w:rPr>
          <w:rFonts w:ascii="Times New Roman" w:cs="Times New Roman" w:eastAsia="Times New Roman" w:hAnsi="Times New Roman"/>
          <w:sz w:val="16"/>
          <w:szCs w:val="16"/>
          <w:color w:val="auto"/>
        </w:rPr>
        <w:t>001-39625</w:t>
      </w:r>
      <w:r>
        <w:rPr>
          <w:sz w:val="20"/>
          <w:szCs w:val="20"/>
          <w:color w:val="auto"/>
        </w:rPr>
        <w:tab/>
      </w:r>
      <w:r>
        <w:rPr>
          <w:rFonts w:ascii="Times New Roman" w:cs="Times New Roman" w:eastAsia="Times New Roman" w:hAnsi="Times New Roman"/>
          <w:sz w:val="16"/>
          <w:szCs w:val="16"/>
          <w:color w:val="auto"/>
        </w:rPr>
        <w:t>10.8</w:t>
      </w:r>
      <w:r>
        <w:rPr>
          <w:sz w:val="20"/>
          <w:szCs w:val="20"/>
          <w:color w:val="auto"/>
        </w:rPr>
        <w:tab/>
      </w:r>
      <w:r>
        <w:rPr>
          <w:rFonts w:ascii="Times New Roman" w:cs="Times New Roman" w:eastAsia="Times New Roman" w:hAnsi="Times New Roman"/>
          <w:sz w:val="16"/>
          <w:szCs w:val="16"/>
          <w:color w:val="auto"/>
        </w:rPr>
        <w:t>8/31/21</w:t>
      </w:r>
    </w:p>
    <w:p>
      <w:pPr>
        <w:spacing w:after="0" w:line="59" w:lineRule="exact"/>
        <w:rPr>
          <w:sz w:val="20"/>
          <w:szCs w:val="20"/>
          <w:color w:val="auto"/>
        </w:rPr>
      </w:pPr>
    </w:p>
    <w:p>
      <w:pPr>
        <w:ind w:left="40"/>
        <w:spacing w:after="0"/>
        <w:tabs>
          <w:tab w:leader="none" w:pos="1240" w:val="left"/>
          <w:tab w:leader="none" w:pos="2300" w:val="left"/>
        </w:tabs>
        <w:rPr>
          <w:sz w:val="20"/>
          <w:szCs w:val="20"/>
          <w:color w:val="auto"/>
        </w:rPr>
      </w:pPr>
      <w:r>
        <w:rPr>
          <w:rFonts w:ascii="Times New Roman" w:cs="Times New Roman" w:eastAsia="Times New Roman" w:hAnsi="Times New Roman"/>
          <w:sz w:val="16"/>
          <w:szCs w:val="16"/>
          <w:color w:val="auto"/>
        </w:rPr>
        <w:t>001-39625</w:t>
      </w:r>
      <w:r>
        <w:rPr>
          <w:sz w:val="20"/>
          <w:szCs w:val="20"/>
          <w:color w:val="auto"/>
        </w:rPr>
        <w:tab/>
      </w:r>
      <w:r>
        <w:rPr>
          <w:rFonts w:ascii="Times New Roman" w:cs="Times New Roman" w:eastAsia="Times New Roman" w:hAnsi="Times New Roman"/>
          <w:sz w:val="16"/>
          <w:szCs w:val="16"/>
          <w:color w:val="auto"/>
        </w:rPr>
        <w:t>10.8(a)</w:t>
      </w:r>
      <w:r>
        <w:rPr>
          <w:sz w:val="20"/>
          <w:szCs w:val="20"/>
          <w:color w:val="auto"/>
        </w:rPr>
        <w:tab/>
      </w:r>
      <w:r>
        <w:rPr>
          <w:rFonts w:ascii="Times New Roman" w:cs="Times New Roman" w:eastAsia="Times New Roman" w:hAnsi="Times New Roman"/>
          <w:sz w:val="16"/>
          <w:szCs w:val="16"/>
          <w:color w:val="auto"/>
        </w:rPr>
        <w:t>8/31/21</w:t>
      </w:r>
    </w:p>
    <w:p>
      <w:pPr>
        <w:spacing w:after="0" w:line="262" w:lineRule="exact"/>
        <w:rPr>
          <w:sz w:val="20"/>
          <w:szCs w:val="20"/>
          <w:color w:val="auto"/>
        </w:rPr>
      </w:pPr>
    </w:p>
    <w:p>
      <w:pPr>
        <w:ind w:left="40"/>
        <w:spacing w:after="0"/>
        <w:tabs>
          <w:tab w:leader="none" w:pos="1240" w:val="left"/>
          <w:tab w:leader="none" w:pos="2300" w:val="left"/>
        </w:tabs>
        <w:rPr>
          <w:sz w:val="20"/>
          <w:szCs w:val="20"/>
          <w:color w:val="auto"/>
        </w:rPr>
      </w:pPr>
      <w:r>
        <w:rPr>
          <w:rFonts w:ascii="Times New Roman" w:cs="Times New Roman" w:eastAsia="Times New Roman" w:hAnsi="Times New Roman"/>
          <w:sz w:val="16"/>
          <w:szCs w:val="16"/>
          <w:color w:val="auto"/>
        </w:rPr>
        <w:t>001-39625</w:t>
      </w:r>
      <w:r>
        <w:rPr>
          <w:sz w:val="20"/>
          <w:szCs w:val="20"/>
          <w:color w:val="auto"/>
        </w:rPr>
        <w:tab/>
      </w:r>
      <w:r>
        <w:rPr>
          <w:rFonts w:ascii="Times New Roman" w:cs="Times New Roman" w:eastAsia="Times New Roman" w:hAnsi="Times New Roman"/>
          <w:sz w:val="16"/>
          <w:szCs w:val="16"/>
          <w:color w:val="auto"/>
        </w:rPr>
        <w:t>10.8(b)</w:t>
      </w:r>
      <w:r>
        <w:rPr>
          <w:sz w:val="20"/>
          <w:szCs w:val="20"/>
          <w:color w:val="auto"/>
        </w:rPr>
        <w:tab/>
      </w:r>
      <w:r>
        <w:rPr>
          <w:rFonts w:ascii="Times New Roman" w:cs="Times New Roman" w:eastAsia="Times New Roman" w:hAnsi="Times New Roman"/>
          <w:sz w:val="16"/>
          <w:szCs w:val="16"/>
          <w:color w:val="auto"/>
        </w:rPr>
        <w:t>8/31/21</w:t>
      </w:r>
    </w:p>
    <w:p>
      <w:pPr>
        <w:spacing w:after="0" w:line="262" w:lineRule="exact"/>
        <w:rPr>
          <w:sz w:val="20"/>
          <w:szCs w:val="20"/>
          <w:color w:val="auto"/>
        </w:rPr>
      </w:pPr>
    </w:p>
    <w:p>
      <w:pPr>
        <w:ind w:left="40"/>
        <w:spacing w:after="0"/>
        <w:tabs>
          <w:tab w:leader="none" w:pos="1240" w:val="left"/>
          <w:tab w:leader="none" w:pos="2300" w:val="left"/>
        </w:tabs>
        <w:rPr>
          <w:sz w:val="20"/>
          <w:szCs w:val="20"/>
          <w:color w:val="auto"/>
        </w:rPr>
      </w:pPr>
      <w:r>
        <w:rPr>
          <w:rFonts w:ascii="Times New Roman" w:cs="Times New Roman" w:eastAsia="Times New Roman" w:hAnsi="Times New Roman"/>
          <w:sz w:val="16"/>
          <w:szCs w:val="16"/>
          <w:color w:val="auto"/>
        </w:rPr>
        <w:t>001-39625</w:t>
      </w:r>
      <w:r>
        <w:rPr>
          <w:sz w:val="20"/>
          <w:szCs w:val="20"/>
          <w:color w:val="auto"/>
        </w:rPr>
        <w:tab/>
      </w:r>
      <w:r>
        <w:rPr>
          <w:rFonts w:ascii="Times New Roman" w:cs="Times New Roman" w:eastAsia="Times New Roman" w:hAnsi="Times New Roman"/>
          <w:sz w:val="16"/>
          <w:szCs w:val="16"/>
          <w:color w:val="auto"/>
        </w:rPr>
        <w:t>10.8(c)</w:t>
      </w:r>
      <w:r>
        <w:rPr>
          <w:sz w:val="20"/>
          <w:szCs w:val="20"/>
          <w:color w:val="auto"/>
        </w:rPr>
        <w:tab/>
      </w:r>
      <w:r>
        <w:rPr>
          <w:rFonts w:ascii="Times New Roman" w:cs="Times New Roman" w:eastAsia="Times New Roman" w:hAnsi="Times New Roman"/>
          <w:sz w:val="16"/>
          <w:szCs w:val="16"/>
          <w:color w:val="auto"/>
        </w:rPr>
        <w:t>8/31/21</w:t>
      </w:r>
    </w:p>
    <w:p>
      <w:pPr>
        <w:spacing w:after="0" w:line="262" w:lineRule="exact"/>
        <w:rPr>
          <w:sz w:val="20"/>
          <w:szCs w:val="20"/>
          <w:color w:val="auto"/>
        </w:rPr>
      </w:pPr>
    </w:p>
    <w:p>
      <w:pPr>
        <w:ind w:left="40"/>
        <w:spacing w:after="0"/>
        <w:tabs>
          <w:tab w:leader="none" w:pos="1340" w:val="left"/>
          <w:tab w:leader="none" w:pos="2300" w:val="left"/>
        </w:tabs>
        <w:rPr>
          <w:sz w:val="20"/>
          <w:szCs w:val="20"/>
          <w:color w:val="auto"/>
        </w:rPr>
      </w:pPr>
      <w:r>
        <w:rPr>
          <w:rFonts w:ascii="Times New Roman" w:cs="Times New Roman" w:eastAsia="Times New Roman" w:hAnsi="Times New Roman"/>
          <w:sz w:val="16"/>
          <w:szCs w:val="16"/>
          <w:color w:val="auto"/>
        </w:rPr>
        <w:t>001-39625</w:t>
      </w:r>
      <w:r>
        <w:rPr>
          <w:sz w:val="20"/>
          <w:szCs w:val="20"/>
          <w:color w:val="auto"/>
        </w:rPr>
        <w:tab/>
      </w:r>
      <w:r>
        <w:rPr>
          <w:rFonts w:ascii="Times New Roman" w:cs="Times New Roman" w:eastAsia="Times New Roman" w:hAnsi="Times New Roman"/>
          <w:sz w:val="16"/>
          <w:szCs w:val="16"/>
          <w:color w:val="auto"/>
        </w:rPr>
        <w:t>10.1</w:t>
      </w:r>
      <w:r>
        <w:rPr>
          <w:sz w:val="20"/>
          <w:szCs w:val="20"/>
          <w:color w:val="auto"/>
        </w:rPr>
        <w:tab/>
      </w:r>
      <w:r>
        <w:rPr>
          <w:rFonts w:ascii="Times New Roman" w:cs="Times New Roman" w:eastAsia="Times New Roman" w:hAnsi="Times New Roman"/>
          <w:sz w:val="16"/>
          <w:szCs w:val="16"/>
          <w:color w:val="auto"/>
        </w:rPr>
        <w:t>9/15/22</w:t>
      </w:r>
    </w:p>
    <w:p>
      <w:pPr>
        <w:spacing w:after="0" w:line="200" w:lineRule="exact"/>
        <w:rPr>
          <w:sz w:val="20"/>
          <w:szCs w:val="20"/>
          <w:color w:val="auto"/>
        </w:rPr>
      </w:pPr>
    </w:p>
    <w:p>
      <w:pPr>
        <w:spacing w:after="0" w:line="251" w:lineRule="exact"/>
        <w:rPr>
          <w:sz w:val="20"/>
          <w:szCs w:val="20"/>
          <w:color w:val="auto"/>
        </w:rPr>
      </w:pPr>
    </w:p>
    <w:p>
      <w:pPr>
        <w:spacing w:after="0"/>
        <w:tabs>
          <w:tab w:leader="none" w:pos="1300" w:val="left"/>
          <w:tab w:leader="none" w:pos="2340" w:val="left"/>
        </w:tabs>
        <w:rPr>
          <w:sz w:val="20"/>
          <w:szCs w:val="20"/>
          <w:color w:val="auto"/>
        </w:rPr>
      </w:pPr>
      <w:r>
        <w:rPr>
          <w:rFonts w:ascii="Times New Roman" w:cs="Times New Roman" w:eastAsia="Times New Roman" w:hAnsi="Times New Roman"/>
          <w:sz w:val="16"/>
          <w:szCs w:val="16"/>
          <w:color w:val="auto"/>
        </w:rPr>
        <w:t>333-256115</w:t>
      </w:r>
      <w:r>
        <w:rPr>
          <w:sz w:val="20"/>
          <w:szCs w:val="20"/>
          <w:color w:val="auto"/>
        </w:rPr>
        <w:tab/>
      </w:r>
      <w:r>
        <w:rPr>
          <w:rFonts w:ascii="Times New Roman" w:cs="Times New Roman" w:eastAsia="Times New Roman" w:hAnsi="Times New Roman"/>
          <w:sz w:val="16"/>
          <w:szCs w:val="16"/>
          <w:color w:val="auto"/>
        </w:rPr>
        <w:t>10.22</w:t>
      </w:r>
      <w:r>
        <w:rPr>
          <w:sz w:val="20"/>
          <w:szCs w:val="20"/>
          <w:color w:val="auto"/>
        </w:rPr>
        <w:tab/>
      </w:r>
      <w:r>
        <w:rPr>
          <w:rFonts w:ascii="Times New Roman" w:cs="Times New Roman" w:eastAsia="Times New Roman" w:hAnsi="Times New Roman"/>
          <w:sz w:val="16"/>
          <w:szCs w:val="16"/>
          <w:color w:val="auto"/>
        </w:rPr>
        <w:t>7/9/21</w:t>
      </w:r>
    </w:p>
    <w:p>
      <w:pPr>
        <w:spacing w:after="0" w:line="200" w:lineRule="exact"/>
        <w:rPr>
          <w:sz w:val="20"/>
          <w:szCs w:val="20"/>
          <w:color w:val="auto"/>
        </w:rPr>
      </w:pPr>
    </w:p>
    <w:p>
      <w:pPr>
        <w:spacing w:after="0" w:line="251" w:lineRule="exact"/>
        <w:rPr>
          <w:sz w:val="20"/>
          <w:szCs w:val="20"/>
          <w:color w:val="auto"/>
        </w:rPr>
      </w:pPr>
    </w:p>
    <w:p>
      <w:pPr>
        <w:spacing w:after="0"/>
        <w:tabs>
          <w:tab w:leader="none" w:pos="1300" w:val="left"/>
          <w:tab w:leader="none" w:pos="2340" w:val="left"/>
        </w:tabs>
        <w:rPr>
          <w:sz w:val="20"/>
          <w:szCs w:val="20"/>
          <w:color w:val="auto"/>
        </w:rPr>
      </w:pPr>
      <w:r>
        <w:rPr>
          <w:rFonts w:ascii="Times New Roman" w:cs="Times New Roman" w:eastAsia="Times New Roman" w:hAnsi="Times New Roman"/>
          <w:sz w:val="16"/>
          <w:szCs w:val="16"/>
          <w:color w:val="auto"/>
        </w:rPr>
        <w:t>333-256115</w:t>
      </w:r>
      <w:r>
        <w:rPr>
          <w:sz w:val="20"/>
          <w:szCs w:val="20"/>
          <w:color w:val="auto"/>
        </w:rPr>
        <w:tab/>
      </w:r>
      <w:r>
        <w:rPr>
          <w:rFonts w:ascii="Times New Roman" w:cs="Times New Roman" w:eastAsia="Times New Roman" w:hAnsi="Times New Roman"/>
          <w:sz w:val="16"/>
          <w:szCs w:val="16"/>
          <w:color w:val="auto"/>
        </w:rPr>
        <w:t>10.23</w:t>
      </w:r>
      <w:r>
        <w:rPr>
          <w:sz w:val="20"/>
          <w:szCs w:val="20"/>
          <w:color w:val="auto"/>
        </w:rPr>
        <w:tab/>
      </w:r>
      <w:r>
        <w:rPr>
          <w:rFonts w:ascii="Times New Roman" w:cs="Times New Roman" w:eastAsia="Times New Roman" w:hAnsi="Times New Roman"/>
          <w:sz w:val="16"/>
          <w:szCs w:val="16"/>
          <w:color w:val="auto"/>
        </w:rPr>
        <w:t>7/9/21</w:t>
      </w:r>
    </w:p>
    <w:p>
      <w:pPr>
        <w:spacing w:after="0" w:line="200" w:lineRule="exact"/>
        <w:rPr>
          <w:sz w:val="20"/>
          <w:szCs w:val="20"/>
          <w:color w:val="auto"/>
        </w:rPr>
      </w:pPr>
    </w:p>
    <w:p>
      <w:pPr>
        <w:spacing w:after="0" w:line="251" w:lineRule="exact"/>
        <w:rPr>
          <w:sz w:val="20"/>
          <w:szCs w:val="20"/>
          <w:color w:val="auto"/>
        </w:rPr>
      </w:pPr>
    </w:p>
    <w:p>
      <w:pPr>
        <w:ind w:left="40"/>
        <w:spacing w:after="0"/>
        <w:tabs>
          <w:tab w:leader="none" w:pos="1300" w:val="left"/>
          <w:tab w:leader="none" w:pos="2340" w:val="left"/>
        </w:tabs>
        <w:rPr>
          <w:sz w:val="20"/>
          <w:szCs w:val="20"/>
          <w:color w:val="auto"/>
        </w:rPr>
      </w:pPr>
      <w:r>
        <w:rPr>
          <w:rFonts w:ascii="Times New Roman" w:cs="Times New Roman" w:eastAsia="Times New Roman" w:hAnsi="Times New Roman"/>
          <w:sz w:val="16"/>
          <w:szCs w:val="16"/>
          <w:color w:val="auto"/>
        </w:rPr>
        <w:t>001-39625</w:t>
      </w:r>
      <w:r>
        <w:rPr>
          <w:sz w:val="20"/>
          <w:szCs w:val="20"/>
          <w:color w:val="auto"/>
        </w:rPr>
        <w:tab/>
      </w:r>
      <w:r>
        <w:rPr>
          <w:rFonts w:ascii="Times New Roman" w:cs="Times New Roman" w:eastAsia="Times New Roman" w:hAnsi="Times New Roman"/>
          <w:sz w:val="16"/>
          <w:szCs w:val="16"/>
          <w:color w:val="auto"/>
        </w:rPr>
        <w:t>10.35</w:t>
      </w:r>
      <w:r>
        <w:rPr>
          <w:sz w:val="20"/>
          <w:szCs w:val="20"/>
          <w:color w:val="auto"/>
        </w:rPr>
        <w:tab/>
      </w:r>
      <w:r>
        <w:rPr>
          <w:rFonts w:ascii="Times New Roman" w:cs="Times New Roman" w:eastAsia="Times New Roman" w:hAnsi="Times New Roman"/>
          <w:sz w:val="16"/>
          <w:szCs w:val="16"/>
          <w:color w:val="auto"/>
        </w:rPr>
        <w:t>3/4/22</w:t>
      </w:r>
    </w:p>
    <w:p>
      <w:pPr>
        <w:spacing w:after="0" w:line="200" w:lineRule="exact"/>
        <w:rPr>
          <w:sz w:val="20"/>
          <w:szCs w:val="20"/>
          <w:color w:val="auto"/>
        </w:rPr>
      </w:pPr>
    </w:p>
    <w:p>
      <w:pPr>
        <w:spacing w:after="0" w:line="251" w:lineRule="exact"/>
        <w:rPr>
          <w:sz w:val="20"/>
          <w:szCs w:val="20"/>
          <w:color w:val="auto"/>
        </w:rPr>
      </w:pPr>
    </w:p>
    <w:p>
      <w:pPr>
        <w:ind w:left="40"/>
        <w:spacing w:after="0"/>
        <w:tabs>
          <w:tab w:leader="none" w:pos="1340" w:val="left"/>
          <w:tab w:leader="none" w:pos="2340" w:val="left"/>
        </w:tabs>
        <w:rPr>
          <w:sz w:val="20"/>
          <w:szCs w:val="20"/>
          <w:color w:val="auto"/>
        </w:rPr>
      </w:pPr>
      <w:r>
        <w:rPr>
          <w:rFonts w:ascii="Times New Roman" w:cs="Times New Roman" w:eastAsia="Times New Roman" w:hAnsi="Times New Roman"/>
          <w:sz w:val="16"/>
          <w:szCs w:val="16"/>
          <w:color w:val="auto"/>
        </w:rPr>
        <w:t>001-39625</w:t>
      </w:r>
      <w:r>
        <w:rPr>
          <w:sz w:val="20"/>
          <w:szCs w:val="20"/>
          <w:color w:val="auto"/>
        </w:rPr>
        <w:tab/>
      </w:r>
      <w:r>
        <w:rPr>
          <w:rFonts w:ascii="Times New Roman" w:cs="Times New Roman" w:eastAsia="Times New Roman" w:hAnsi="Times New Roman"/>
          <w:sz w:val="16"/>
          <w:szCs w:val="16"/>
          <w:color w:val="auto"/>
        </w:rPr>
        <w:t>10.1</w:t>
      </w:r>
      <w:r>
        <w:rPr>
          <w:sz w:val="20"/>
          <w:szCs w:val="20"/>
          <w:color w:val="auto"/>
        </w:rPr>
        <w:tab/>
      </w:r>
      <w:r>
        <w:rPr>
          <w:rFonts w:ascii="Times New Roman" w:cs="Times New Roman" w:eastAsia="Times New Roman" w:hAnsi="Times New Roman"/>
          <w:sz w:val="16"/>
          <w:szCs w:val="16"/>
          <w:color w:val="auto"/>
        </w:rPr>
        <w:t>9/1/22</w:t>
      </w:r>
    </w:p>
    <w:p>
      <w:pPr>
        <w:spacing w:after="0" w:line="200" w:lineRule="exact"/>
        <w:rPr>
          <w:sz w:val="20"/>
          <w:szCs w:val="20"/>
          <w:color w:val="auto"/>
        </w:rPr>
      </w:pPr>
    </w:p>
    <w:p>
      <w:pPr>
        <w:spacing w:after="0" w:line="251" w:lineRule="exact"/>
        <w:rPr>
          <w:sz w:val="20"/>
          <w:szCs w:val="20"/>
          <w:color w:val="auto"/>
        </w:rPr>
      </w:pPr>
    </w:p>
    <w:p>
      <w:pPr>
        <w:ind w:left="40"/>
        <w:spacing w:after="0"/>
        <w:tabs>
          <w:tab w:leader="none" w:pos="1340" w:val="left"/>
          <w:tab w:leader="none" w:pos="2300" w:val="left"/>
        </w:tabs>
        <w:rPr>
          <w:sz w:val="20"/>
          <w:szCs w:val="20"/>
          <w:color w:val="auto"/>
        </w:rPr>
      </w:pPr>
      <w:r>
        <w:rPr>
          <w:rFonts w:ascii="Times New Roman" w:cs="Times New Roman" w:eastAsia="Times New Roman" w:hAnsi="Times New Roman"/>
          <w:sz w:val="16"/>
          <w:szCs w:val="16"/>
          <w:color w:val="auto"/>
        </w:rPr>
        <w:t>001-39625</w:t>
      </w:r>
      <w:r>
        <w:rPr>
          <w:sz w:val="20"/>
          <w:szCs w:val="20"/>
          <w:color w:val="auto"/>
        </w:rPr>
        <w:tab/>
      </w:r>
      <w:r>
        <w:rPr>
          <w:rFonts w:ascii="Times New Roman" w:cs="Times New Roman" w:eastAsia="Times New Roman" w:hAnsi="Times New Roman"/>
          <w:sz w:val="16"/>
          <w:szCs w:val="16"/>
          <w:color w:val="auto"/>
        </w:rPr>
        <w:t>10.1</w:t>
      </w:r>
      <w:r>
        <w:rPr>
          <w:sz w:val="20"/>
          <w:szCs w:val="20"/>
          <w:color w:val="auto"/>
        </w:rPr>
        <w:tab/>
      </w:r>
      <w:r>
        <w:rPr>
          <w:rFonts w:ascii="Times New Roman" w:cs="Times New Roman" w:eastAsia="Times New Roman" w:hAnsi="Times New Roman"/>
          <w:sz w:val="16"/>
          <w:szCs w:val="16"/>
          <w:color w:val="auto"/>
        </w:rPr>
        <w:t>8/29/23</w:t>
      </w:r>
    </w:p>
    <w:p>
      <w:pPr>
        <w:spacing w:after="0" w:line="200" w:lineRule="exact"/>
        <w:rPr>
          <w:sz w:val="20"/>
          <w:szCs w:val="20"/>
          <w:color w:val="auto"/>
        </w:rPr>
      </w:pPr>
    </w:p>
    <w:p>
      <w:pPr>
        <w:spacing w:after="0" w:line="251" w:lineRule="exact"/>
        <w:rPr>
          <w:sz w:val="20"/>
          <w:szCs w:val="20"/>
          <w:color w:val="auto"/>
        </w:rPr>
      </w:pPr>
    </w:p>
    <w:p>
      <w:pPr>
        <w:spacing w:after="0"/>
        <w:tabs>
          <w:tab w:leader="none" w:pos="1300" w:val="left"/>
          <w:tab w:leader="none" w:pos="2340" w:val="left"/>
        </w:tabs>
        <w:rPr>
          <w:sz w:val="20"/>
          <w:szCs w:val="20"/>
          <w:color w:val="auto"/>
        </w:rPr>
      </w:pPr>
      <w:r>
        <w:rPr>
          <w:rFonts w:ascii="Times New Roman" w:cs="Times New Roman" w:eastAsia="Times New Roman" w:hAnsi="Times New Roman"/>
          <w:sz w:val="16"/>
          <w:szCs w:val="16"/>
          <w:color w:val="auto"/>
        </w:rPr>
        <w:t>333-256115</w:t>
      </w:r>
      <w:r>
        <w:rPr>
          <w:sz w:val="20"/>
          <w:szCs w:val="20"/>
          <w:color w:val="auto"/>
        </w:rPr>
        <w:tab/>
      </w:r>
      <w:r>
        <w:rPr>
          <w:rFonts w:ascii="Times New Roman" w:cs="Times New Roman" w:eastAsia="Times New Roman" w:hAnsi="Times New Roman"/>
          <w:sz w:val="16"/>
          <w:szCs w:val="16"/>
          <w:color w:val="auto"/>
        </w:rPr>
        <w:t>10.24</w:t>
      </w:r>
      <w:r>
        <w:rPr>
          <w:sz w:val="20"/>
          <w:szCs w:val="20"/>
          <w:color w:val="auto"/>
        </w:rPr>
        <w:tab/>
      </w:r>
      <w:r>
        <w:rPr>
          <w:rFonts w:ascii="Times New Roman" w:cs="Times New Roman" w:eastAsia="Times New Roman" w:hAnsi="Times New Roman"/>
          <w:sz w:val="16"/>
          <w:szCs w:val="16"/>
          <w:color w:val="auto"/>
        </w:rPr>
        <w:t>7/9/21</w:t>
      </w:r>
    </w:p>
    <w:p>
      <w:pPr>
        <w:spacing w:after="0" w:line="262" w:lineRule="exact"/>
        <w:rPr>
          <w:sz w:val="20"/>
          <w:szCs w:val="20"/>
          <w:color w:val="auto"/>
        </w:rPr>
      </w:pPr>
    </w:p>
    <w:p>
      <w:pPr>
        <w:spacing w:after="0"/>
        <w:tabs>
          <w:tab w:leader="none" w:pos="1300" w:val="left"/>
          <w:tab w:leader="none" w:pos="2340" w:val="left"/>
        </w:tabs>
        <w:rPr>
          <w:sz w:val="20"/>
          <w:szCs w:val="20"/>
          <w:color w:val="auto"/>
        </w:rPr>
      </w:pPr>
      <w:r>
        <w:rPr>
          <w:rFonts w:ascii="Times New Roman" w:cs="Times New Roman" w:eastAsia="Times New Roman" w:hAnsi="Times New Roman"/>
          <w:sz w:val="16"/>
          <w:szCs w:val="16"/>
          <w:color w:val="auto"/>
        </w:rPr>
        <w:t>333-256115</w:t>
      </w:r>
      <w:r>
        <w:rPr>
          <w:sz w:val="20"/>
          <w:szCs w:val="20"/>
          <w:color w:val="auto"/>
        </w:rPr>
        <w:tab/>
      </w:r>
      <w:r>
        <w:rPr>
          <w:rFonts w:ascii="Times New Roman" w:cs="Times New Roman" w:eastAsia="Times New Roman" w:hAnsi="Times New Roman"/>
          <w:sz w:val="16"/>
          <w:szCs w:val="16"/>
          <w:color w:val="auto"/>
        </w:rPr>
        <w:t>10.25</w:t>
      </w:r>
      <w:r>
        <w:rPr>
          <w:sz w:val="20"/>
          <w:szCs w:val="20"/>
          <w:color w:val="auto"/>
        </w:rPr>
        <w:tab/>
      </w:r>
      <w:r>
        <w:rPr>
          <w:rFonts w:ascii="Times New Roman" w:cs="Times New Roman" w:eastAsia="Times New Roman" w:hAnsi="Times New Roman"/>
          <w:sz w:val="16"/>
          <w:szCs w:val="16"/>
          <w:color w:val="auto"/>
        </w:rPr>
        <w:t>7/9/21</w:t>
      </w:r>
    </w:p>
    <w:p>
      <w:pPr>
        <w:spacing w:after="0" w:line="262" w:lineRule="exact"/>
        <w:rPr>
          <w:sz w:val="20"/>
          <w:szCs w:val="20"/>
          <w:color w:val="auto"/>
        </w:rPr>
      </w:pPr>
    </w:p>
    <w:p>
      <w:pPr>
        <w:ind w:left="40"/>
        <w:spacing w:after="0"/>
        <w:tabs>
          <w:tab w:leader="none" w:pos="1340" w:val="left"/>
          <w:tab w:leader="none" w:pos="2300" w:val="left"/>
        </w:tabs>
        <w:rPr>
          <w:sz w:val="20"/>
          <w:szCs w:val="20"/>
          <w:color w:val="auto"/>
        </w:rPr>
      </w:pPr>
      <w:r>
        <w:rPr>
          <w:rFonts w:ascii="Times New Roman" w:cs="Times New Roman" w:eastAsia="Times New Roman" w:hAnsi="Times New Roman"/>
          <w:sz w:val="16"/>
          <w:szCs w:val="16"/>
          <w:color w:val="auto"/>
        </w:rPr>
        <w:t>001-39625</w:t>
      </w:r>
      <w:r>
        <w:rPr>
          <w:sz w:val="20"/>
          <w:szCs w:val="20"/>
          <w:color w:val="auto"/>
        </w:rPr>
        <w:tab/>
      </w:r>
      <w:r>
        <w:rPr>
          <w:rFonts w:ascii="Times New Roman" w:cs="Times New Roman" w:eastAsia="Times New Roman" w:hAnsi="Times New Roman"/>
          <w:sz w:val="16"/>
          <w:szCs w:val="16"/>
          <w:color w:val="auto"/>
        </w:rPr>
        <w:t>10.2</w:t>
      </w:r>
      <w:r>
        <w:rPr>
          <w:sz w:val="20"/>
          <w:szCs w:val="20"/>
          <w:color w:val="auto"/>
        </w:rPr>
        <w:tab/>
      </w:r>
      <w:r>
        <w:rPr>
          <w:rFonts w:ascii="Times New Roman" w:cs="Times New Roman" w:eastAsia="Times New Roman" w:hAnsi="Times New Roman"/>
          <w:sz w:val="16"/>
          <w:szCs w:val="16"/>
          <w:color w:val="auto"/>
        </w:rPr>
        <w:t>8/29/23</w:t>
      </w:r>
    </w:p>
    <w:p>
      <w:pPr>
        <w:spacing w:after="0" w:line="200" w:lineRule="exact"/>
        <w:rPr>
          <w:sz w:val="20"/>
          <w:szCs w:val="20"/>
          <w:color w:val="auto"/>
        </w:rPr>
      </w:pPr>
    </w:p>
    <w:p>
      <w:pPr>
        <w:spacing w:after="0" w:line="251" w:lineRule="exact"/>
        <w:rPr>
          <w:sz w:val="20"/>
          <w:szCs w:val="20"/>
          <w:color w:val="auto"/>
        </w:rPr>
      </w:pPr>
    </w:p>
    <w:p>
      <w:pPr>
        <w:spacing w:after="0"/>
        <w:tabs>
          <w:tab w:leader="none" w:pos="1300" w:val="left"/>
          <w:tab w:leader="none" w:pos="2340" w:val="left"/>
        </w:tabs>
        <w:rPr>
          <w:sz w:val="20"/>
          <w:szCs w:val="20"/>
          <w:color w:val="auto"/>
        </w:rPr>
      </w:pPr>
      <w:r>
        <w:rPr>
          <w:rFonts w:ascii="Times New Roman" w:cs="Times New Roman" w:eastAsia="Times New Roman" w:hAnsi="Times New Roman"/>
          <w:sz w:val="16"/>
          <w:szCs w:val="16"/>
          <w:color w:val="auto"/>
        </w:rPr>
        <w:t>333-256115</w:t>
      </w:r>
      <w:r>
        <w:rPr>
          <w:sz w:val="20"/>
          <w:szCs w:val="20"/>
          <w:color w:val="auto"/>
        </w:rPr>
        <w:tab/>
      </w:r>
      <w:r>
        <w:rPr>
          <w:rFonts w:ascii="Times New Roman" w:cs="Times New Roman" w:eastAsia="Times New Roman" w:hAnsi="Times New Roman"/>
          <w:sz w:val="16"/>
          <w:szCs w:val="16"/>
          <w:color w:val="auto"/>
        </w:rPr>
        <w:t>10.26</w:t>
      </w:r>
      <w:r>
        <w:rPr>
          <w:sz w:val="20"/>
          <w:szCs w:val="20"/>
          <w:color w:val="auto"/>
        </w:rPr>
        <w:tab/>
      </w:r>
      <w:r>
        <w:rPr>
          <w:rFonts w:ascii="Times New Roman" w:cs="Times New Roman" w:eastAsia="Times New Roman" w:hAnsi="Times New Roman"/>
          <w:sz w:val="16"/>
          <w:szCs w:val="16"/>
          <w:color w:val="auto"/>
        </w:rPr>
        <w:t>7/9/21</w:t>
      </w:r>
    </w:p>
    <w:p>
      <w:pPr>
        <w:spacing w:after="0" w:line="262" w:lineRule="exact"/>
        <w:rPr>
          <w:sz w:val="20"/>
          <w:szCs w:val="20"/>
          <w:color w:val="auto"/>
        </w:rPr>
      </w:pPr>
    </w:p>
    <w:p>
      <w:pPr>
        <w:spacing w:after="0"/>
        <w:tabs>
          <w:tab w:leader="none" w:pos="1300" w:val="left"/>
          <w:tab w:leader="none" w:pos="2340" w:val="left"/>
        </w:tabs>
        <w:rPr>
          <w:sz w:val="20"/>
          <w:szCs w:val="20"/>
          <w:color w:val="auto"/>
        </w:rPr>
      </w:pPr>
      <w:r>
        <w:rPr>
          <w:rFonts w:ascii="Times New Roman" w:cs="Times New Roman" w:eastAsia="Times New Roman" w:hAnsi="Times New Roman"/>
          <w:sz w:val="16"/>
          <w:szCs w:val="16"/>
          <w:color w:val="auto"/>
        </w:rPr>
        <w:t>333-256115</w:t>
      </w:r>
      <w:r>
        <w:rPr>
          <w:sz w:val="20"/>
          <w:szCs w:val="20"/>
          <w:color w:val="auto"/>
        </w:rPr>
        <w:tab/>
      </w:r>
      <w:r>
        <w:rPr>
          <w:rFonts w:ascii="Times New Roman" w:cs="Times New Roman" w:eastAsia="Times New Roman" w:hAnsi="Times New Roman"/>
          <w:sz w:val="16"/>
          <w:szCs w:val="16"/>
          <w:color w:val="auto"/>
        </w:rPr>
        <w:t>10.27</w:t>
      </w:r>
      <w:r>
        <w:rPr>
          <w:sz w:val="20"/>
          <w:szCs w:val="20"/>
          <w:color w:val="auto"/>
        </w:rPr>
        <w:tab/>
      </w:r>
      <w:r>
        <w:rPr>
          <w:rFonts w:ascii="Times New Roman" w:cs="Times New Roman" w:eastAsia="Times New Roman" w:hAnsi="Times New Roman"/>
          <w:sz w:val="16"/>
          <w:szCs w:val="16"/>
          <w:color w:val="auto"/>
        </w:rPr>
        <w:t>7/9/21</w:t>
      </w:r>
    </w:p>
    <w:p>
      <w:pPr>
        <w:spacing w:after="0" w:line="200" w:lineRule="exact"/>
        <w:rPr>
          <w:sz w:val="20"/>
          <w:szCs w:val="20"/>
          <w:color w:val="auto"/>
        </w:rPr>
      </w:pPr>
    </w:p>
    <w:p>
      <w:pPr>
        <w:spacing w:after="0" w:line="251" w:lineRule="exact"/>
        <w:rPr>
          <w:sz w:val="20"/>
          <w:szCs w:val="20"/>
          <w:color w:val="auto"/>
        </w:rPr>
      </w:pPr>
    </w:p>
    <w:p>
      <w:pPr>
        <w:spacing w:after="0"/>
        <w:tabs>
          <w:tab w:leader="none" w:pos="1300" w:val="left"/>
          <w:tab w:leader="none" w:pos="2300" w:val="left"/>
        </w:tabs>
        <w:rPr>
          <w:sz w:val="20"/>
          <w:szCs w:val="20"/>
          <w:color w:val="auto"/>
        </w:rPr>
      </w:pPr>
      <w:r>
        <w:rPr>
          <w:rFonts w:ascii="Times New Roman" w:cs="Times New Roman" w:eastAsia="Times New Roman" w:hAnsi="Times New Roman"/>
          <w:sz w:val="16"/>
          <w:szCs w:val="16"/>
          <w:color w:val="auto"/>
        </w:rPr>
        <w:t>333-256115</w:t>
      </w:r>
      <w:r>
        <w:rPr>
          <w:sz w:val="20"/>
          <w:szCs w:val="20"/>
          <w:color w:val="auto"/>
        </w:rPr>
        <w:tab/>
      </w:r>
      <w:r>
        <w:rPr>
          <w:rFonts w:ascii="Times New Roman" w:cs="Times New Roman" w:eastAsia="Times New Roman" w:hAnsi="Times New Roman"/>
          <w:sz w:val="16"/>
          <w:szCs w:val="16"/>
          <w:color w:val="auto"/>
        </w:rPr>
        <w:t>10.23</w:t>
      </w:r>
      <w:r>
        <w:rPr>
          <w:sz w:val="20"/>
          <w:szCs w:val="20"/>
          <w:color w:val="auto"/>
        </w:rPr>
        <w:tab/>
      </w:r>
      <w:r>
        <w:rPr>
          <w:rFonts w:ascii="Times New Roman" w:cs="Times New Roman" w:eastAsia="Times New Roman" w:hAnsi="Times New Roman"/>
          <w:sz w:val="16"/>
          <w:szCs w:val="16"/>
          <w:color w:val="auto"/>
        </w:rPr>
        <w:t>5/14/21</w:t>
      </w:r>
    </w:p>
    <w:p>
      <w:pPr>
        <w:sectPr>
          <w:pgSz w:w="11900" w:h="16838" w:orient="portrait"/>
          <w:cols w:equalWidth="0" w:num="2">
            <w:col w:w="6260" w:space="600"/>
            <w:col w:w="3259"/>
          </w:cols>
          <w:pgMar w:left="340" w:top="1346" w:right="1440"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84"/>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10.20#</w:t>
            </w:r>
          </w:p>
        </w:tc>
        <w:tc>
          <w:tcPr>
            <w:tcW w:w="520" w:type="dxa"/>
            <w:vAlign w:val="bottom"/>
          </w:tcPr>
          <w:p>
            <w:pPr>
              <w:spacing w:after="0"/>
              <w:rPr>
                <w:sz w:val="16"/>
                <w:szCs w:val="16"/>
                <w:color w:val="auto"/>
              </w:rPr>
            </w:pPr>
          </w:p>
        </w:tc>
        <w:tc>
          <w:tcPr>
            <w:tcW w:w="4700" w:type="dxa"/>
            <w:vAlign w:val="bottom"/>
            <w:gridSpan w:val="35"/>
          </w:tcPr>
          <w:p>
            <w:pPr>
              <w:spacing w:after="0"/>
              <w:rPr>
                <w:rFonts w:ascii="Times New Roman" w:cs="Times New Roman" w:eastAsia="Times New Roman" w:hAnsi="Times New Roman"/>
                <w:sz w:val="16"/>
                <w:szCs w:val="16"/>
                <w:color w:val="0000FF"/>
              </w:rPr>
            </w:pPr>
            <w:hyperlink r:id="rId122">
              <w:r>
                <w:rPr>
                  <w:rFonts w:ascii="Times New Roman" w:cs="Times New Roman" w:eastAsia="Times New Roman" w:hAnsi="Times New Roman"/>
                  <w:sz w:val="16"/>
                  <w:szCs w:val="16"/>
                  <w:color w:val="0000FF"/>
                </w:rPr>
                <w:t>Employment Agreement, dated as of May 11, 2021, by and between</w:t>
              </w:r>
            </w:hyperlink>
          </w:p>
        </w:tc>
        <w:tc>
          <w:tcPr>
            <w:tcW w:w="4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S-4</w:t>
            </w:r>
          </w:p>
        </w:tc>
      </w:tr>
      <w:tr>
        <w:trPr>
          <w:trHeight w:val="169"/>
        </w:trPr>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40" w:type="dxa"/>
            <w:vAlign w:val="bottom"/>
            <w:tcBorders>
              <w:top w:val="single" w:sz="8" w:color="0000FF"/>
              <w:bottom w:val="single" w:sz="8" w:color="0000FF"/>
            </w:tcBorders>
            <w:gridSpan w:val="10"/>
          </w:tcPr>
          <w:p>
            <w:pPr>
              <w:spacing w:after="0" w:line="169" w:lineRule="exact"/>
              <w:rPr>
                <w:rFonts w:ascii="Times New Roman" w:cs="Times New Roman" w:eastAsia="Times New Roman" w:hAnsi="Times New Roman"/>
                <w:sz w:val="16"/>
                <w:szCs w:val="16"/>
                <w:color w:val="0000FF"/>
              </w:rPr>
            </w:pPr>
            <w:hyperlink r:id="rId122">
              <w:r>
                <w:rPr>
                  <w:rFonts w:ascii="Times New Roman" w:cs="Times New Roman" w:eastAsia="Times New Roman" w:hAnsi="Times New Roman"/>
                  <w:sz w:val="16"/>
                  <w:szCs w:val="16"/>
                  <w:color w:val="0000FF"/>
                </w:rPr>
                <w:t>Edward Farrell and Cipher Mining Technologies Inc.</w:t>
              </w:r>
            </w:hyperlink>
          </w:p>
        </w:tc>
        <w:tc>
          <w:tcPr>
            <w:tcW w:w="980" w:type="dxa"/>
            <w:vAlign w:val="bottom"/>
            <w:tcBorders>
              <w:top w:val="single" w:sz="8" w:color="0000FF"/>
            </w:tcBorders>
            <w:gridSpan w:val="1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236"/>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10.21#</w:t>
            </w:r>
          </w:p>
        </w:tc>
        <w:tc>
          <w:tcPr>
            <w:tcW w:w="520" w:type="dxa"/>
            <w:vAlign w:val="bottom"/>
          </w:tcPr>
          <w:p>
            <w:pPr>
              <w:spacing w:after="0"/>
              <w:rPr>
                <w:sz w:val="20"/>
                <w:szCs w:val="20"/>
                <w:color w:val="auto"/>
              </w:rPr>
            </w:pPr>
          </w:p>
        </w:tc>
        <w:tc>
          <w:tcPr>
            <w:tcW w:w="4700" w:type="dxa"/>
            <w:vAlign w:val="bottom"/>
            <w:gridSpan w:val="35"/>
          </w:tcPr>
          <w:p>
            <w:pPr>
              <w:spacing w:after="0"/>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Employment Agreement, dated as of May 11, 2021, by and between</w:t>
              </w:r>
            </w:hyperlink>
          </w:p>
        </w:tc>
        <w:tc>
          <w:tcPr>
            <w:tcW w:w="4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S-4</w:t>
            </w:r>
          </w:p>
        </w:tc>
      </w:tr>
      <w:tr>
        <w:trPr>
          <w:trHeight w:val="169"/>
        </w:trPr>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20" w:type="dxa"/>
            <w:vAlign w:val="bottom"/>
            <w:tcBorders>
              <w:top w:val="single" w:sz="8" w:color="0000FF"/>
            </w:tcBorders>
            <w:gridSpan w:val="23"/>
          </w:tcPr>
          <w:p>
            <w:pPr>
              <w:spacing w:after="0" w:line="169" w:lineRule="exact"/>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William Iwaschuk and Cipher Mining Technologies Inc.</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20"/>
        </w:trPr>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10.22#</w:t>
            </w:r>
          </w:p>
        </w:tc>
        <w:tc>
          <w:tcPr>
            <w:tcW w:w="520" w:type="dxa"/>
            <w:vAlign w:val="bottom"/>
          </w:tcPr>
          <w:p>
            <w:pPr>
              <w:spacing w:after="0"/>
              <w:rPr>
                <w:sz w:val="20"/>
                <w:szCs w:val="20"/>
                <w:color w:val="auto"/>
              </w:rPr>
            </w:pPr>
          </w:p>
        </w:tc>
        <w:tc>
          <w:tcPr>
            <w:tcW w:w="4700" w:type="dxa"/>
            <w:vAlign w:val="bottom"/>
            <w:gridSpan w:val="35"/>
          </w:tcPr>
          <w:p>
            <w:pPr>
              <w:spacing w:after="0"/>
              <w:rPr>
                <w:rFonts w:ascii="Times New Roman" w:cs="Times New Roman" w:eastAsia="Times New Roman" w:hAnsi="Times New Roman"/>
                <w:sz w:val="16"/>
                <w:szCs w:val="16"/>
                <w:color w:val="0000FF"/>
              </w:rPr>
            </w:pPr>
            <w:hyperlink r:id="rId124">
              <w:r>
                <w:rPr>
                  <w:rFonts w:ascii="Times New Roman" w:cs="Times New Roman" w:eastAsia="Times New Roman" w:hAnsi="Times New Roman"/>
                  <w:sz w:val="16"/>
                  <w:szCs w:val="16"/>
                  <w:color w:val="0000FF"/>
                </w:rPr>
                <w:t>Employment Agreement, dated as of May 11, 2021, by and between</w:t>
              </w:r>
            </w:hyperlink>
          </w:p>
        </w:tc>
        <w:tc>
          <w:tcPr>
            <w:tcW w:w="4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S-4</w:t>
            </w:r>
          </w:p>
        </w:tc>
      </w:tr>
      <w:tr>
        <w:trPr>
          <w:trHeight w:val="169"/>
        </w:trPr>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20" w:type="dxa"/>
            <w:vAlign w:val="bottom"/>
            <w:tcBorders>
              <w:top w:val="single" w:sz="8" w:color="0000FF"/>
            </w:tcBorders>
            <w:gridSpan w:val="23"/>
          </w:tcPr>
          <w:p>
            <w:pPr>
              <w:spacing w:after="0" w:line="169" w:lineRule="exact"/>
              <w:rPr>
                <w:rFonts w:ascii="Times New Roman" w:cs="Times New Roman" w:eastAsia="Times New Roman" w:hAnsi="Times New Roman"/>
                <w:sz w:val="16"/>
                <w:szCs w:val="16"/>
                <w:color w:val="0000FF"/>
              </w:rPr>
            </w:pPr>
            <w:hyperlink r:id="rId124">
              <w:r>
                <w:rPr>
                  <w:rFonts w:ascii="Times New Roman" w:cs="Times New Roman" w:eastAsia="Times New Roman" w:hAnsi="Times New Roman"/>
                  <w:sz w:val="16"/>
                  <w:szCs w:val="16"/>
                  <w:color w:val="0000FF"/>
                </w:rPr>
                <w:t>Patrick Kelly and Cipher Mining Technologies Inc.</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20"/>
        </w:trPr>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10.23#</w:t>
            </w:r>
          </w:p>
        </w:tc>
        <w:tc>
          <w:tcPr>
            <w:tcW w:w="520" w:type="dxa"/>
            <w:vAlign w:val="bottom"/>
          </w:tcPr>
          <w:p>
            <w:pPr>
              <w:spacing w:after="0"/>
              <w:rPr>
                <w:sz w:val="20"/>
                <w:szCs w:val="20"/>
                <w:color w:val="auto"/>
              </w:rPr>
            </w:pPr>
          </w:p>
        </w:tc>
        <w:tc>
          <w:tcPr>
            <w:tcW w:w="4700" w:type="dxa"/>
            <w:vAlign w:val="bottom"/>
            <w:gridSpan w:val="35"/>
          </w:tcPr>
          <w:p>
            <w:pPr>
              <w:spacing w:after="0"/>
              <w:rPr>
                <w:sz w:val="20"/>
                <w:szCs w:val="20"/>
                <w:color w:val="auto"/>
              </w:rPr>
            </w:pPr>
            <w:r>
              <w:rPr>
                <w:rFonts w:ascii="Times New Roman" w:cs="Times New Roman" w:eastAsia="Times New Roman" w:hAnsi="Times New Roman"/>
                <w:sz w:val="16"/>
                <w:szCs w:val="16"/>
                <w:color w:val="0000FF"/>
              </w:rPr>
              <w:t>Employment Agreement, dated as of October 6, 2025, by and between</w:t>
            </w:r>
          </w:p>
        </w:tc>
        <w:tc>
          <w:tcPr>
            <w:tcW w:w="400" w:type="dxa"/>
            <w:vAlign w:val="bottom"/>
          </w:tcPr>
          <w:p>
            <w:pPr>
              <w:spacing w:after="0"/>
              <w:rPr>
                <w:sz w:val="20"/>
                <w:szCs w:val="20"/>
                <w:color w:val="auto"/>
              </w:rPr>
            </w:pPr>
          </w:p>
        </w:tc>
      </w:tr>
      <w:tr>
        <w:trPr>
          <w:trHeight w:val="169"/>
        </w:trPr>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560" w:type="dxa"/>
            <w:vAlign w:val="bottom"/>
            <w:tcBorders>
              <w:top w:val="single" w:sz="8" w:color="0000FF"/>
            </w:tcBorders>
            <w:gridSpan w:val="29"/>
          </w:tcPr>
          <w:p>
            <w:pPr>
              <w:spacing w:after="0" w:line="169" w:lineRule="exact"/>
              <w:rPr>
                <w:sz w:val="20"/>
                <w:szCs w:val="20"/>
                <w:color w:val="auto"/>
              </w:rPr>
            </w:pPr>
            <w:r>
              <w:rPr>
                <w:rFonts w:ascii="Times New Roman" w:cs="Times New Roman" w:eastAsia="Times New Roman" w:hAnsi="Times New Roman"/>
                <w:sz w:val="16"/>
                <w:szCs w:val="16"/>
                <w:color w:val="0000FF"/>
              </w:rPr>
              <w:t>Gregory Mumford and Cipher Mining Inc.</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20"/>
        </w:trPr>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6"/>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10.24#</w:t>
            </w:r>
          </w:p>
        </w:tc>
        <w:tc>
          <w:tcPr>
            <w:tcW w:w="520" w:type="dxa"/>
            <w:vAlign w:val="bottom"/>
          </w:tcPr>
          <w:p>
            <w:pPr>
              <w:spacing w:after="0"/>
              <w:rPr>
                <w:sz w:val="20"/>
                <w:szCs w:val="20"/>
                <w:color w:val="auto"/>
              </w:rPr>
            </w:pPr>
          </w:p>
        </w:tc>
        <w:tc>
          <w:tcPr>
            <w:tcW w:w="4700" w:type="dxa"/>
            <w:vAlign w:val="bottom"/>
            <w:gridSpan w:val="35"/>
          </w:tcPr>
          <w:p>
            <w:pPr>
              <w:spacing w:after="0"/>
              <w:rPr>
                <w:sz w:val="20"/>
                <w:szCs w:val="20"/>
                <w:color w:val="auto"/>
              </w:rPr>
            </w:pPr>
            <w:r>
              <w:rPr>
                <w:rFonts w:ascii="Times New Roman" w:cs="Times New Roman" w:eastAsia="Times New Roman" w:hAnsi="Times New Roman"/>
                <w:sz w:val="16"/>
                <w:szCs w:val="16"/>
                <w:color w:val="0000FF"/>
              </w:rPr>
              <w:t>Consulting Services Agreement, dated as of October 6, 2025, by and</w:t>
            </w:r>
          </w:p>
        </w:tc>
        <w:tc>
          <w:tcPr>
            <w:tcW w:w="400" w:type="dxa"/>
            <w:vAlign w:val="bottom"/>
          </w:tcPr>
          <w:p>
            <w:pPr>
              <w:spacing w:after="0"/>
              <w:rPr>
                <w:sz w:val="20"/>
                <w:szCs w:val="20"/>
                <w:color w:val="auto"/>
              </w:rPr>
            </w:pPr>
          </w:p>
        </w:tc>
      </w:tr>
      <w:tr>
        <w:trPr>
          <w:trHeight w:val="169"/>
        </w:trPr>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120" w:type="dxa"/>
            <w:vAlign w:val="bottom"/>
            <w:tcBorders>
              <w:top w:val="single" w:sz="8" w:color="0000FF"/>
              <w:bottom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6"/>
                <w:szCs w:val="16"/>
                <w:color w:val="0000FF"/>
              </w:rPr>
              <w:t>between Edward Farrell and Cipher Mining Inc.</w:t>
            </w:r>
          </w:p>
        </w:tc>
        <w:tc>
          <w:tcPr>
            <w:tcW w:w="1360" w:type="dxa"/>
            <w:vAlign w:val="bottom"/>
            <w:tcBorders>
              <w:top w:val="single" w:sz="8" w:color="0000FF"/>
            </w:tcBorders>
            <w:gridSpan w:val="18"/>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236"/>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10.25#</w:t>
            </w:r>
          </w:p>
        </w:tc>
        <w:tc>
          <w:tcPr>
            <w:tcW w:w="520" w:type="dxa"/>
            <w:vAlign w:val="bottom"/>
          </w:tcPr>
          <w:p>
            <w:pPr>
              <w:spacing w:after="0"/>
              <w:rPr>
                <w:sz w:val="20"/>
                <w:szCs w:val="20"/>
                <w:color w:val="auto"/>
              </w:rPr>
            </w:pPr>
          </w:p>
        </w:tc>
        <w:tc>
          <w:tcPr>
            <w:tcW w:w="4700" w:type="dxa"/>
            <w:vAlign w:val="bottom"/>
            <w:gridSpan w:val="35"/>
          </w:tcPr>
          <w:p>
            <w:pPr>
              <w:spacing w:after="0"/>
              <w:rPr>
                <w:rFonts w:ascii="Times New Roman" w:cs="Times New Roman" w:eastAsia="Times New Roman" w:hAnsi="Times New Roman"/>
                <w:sz w:val="16"/>
                <w:szCs w:val="16"/>
                <w:color w:val="0000FF"/>
              </w:rPr>
            </w:pPr>
            <w:hyperlink r:id="rId125">
              <w:r>
                <w:rPr>
                  <w:rFonts w:ascii="Times New Roman" w:cs="Times New Roman" w:eastAsia="Times New Roman" w:hAnsi="Times New Roman"/>
                  <w:sz w:val="16"/>
                  <w:szCs w:val="16"/>
                  <w:color w:val="0000FF"/>
                </w:rPr>
                <w:t>Amended and Restated Non-Employee Directors Compensation</w:t>
              </w:r>
            </w:hyperlink>
          </w:p>
        </w:tc>
        <w:tc>
          <w:tcPr>
            <w:tcW w:w="40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7"/>
              </w:rPr>
              <w:t>10-Q</w:t>
            </w:r>
          </w:p>
        </w:tc>
      </w:tr>
      <w:tr>
        <w:trPr>
          <w:trHeight w:val="169"/>
        </w:trPr>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180" w:type="dxa"/>
            <w:vAlign w:val="bottom"/>
            <w:tcBorders>
              <w:top w:val="single" w:sz="8" w:color="0000FF"/>
            </w:tcBorders>
            <w:gridSpan w:val="18"/>
          </w:tcPr>
          <w:p>
            <w:pPr>
              <w:spacing w:after="0" w:line="169" w:lineRule="exact"/>
              <w:rPr>
                <w:rFonts w:ascii="Times New Roman" w:cs="Times New Roman" w:eastAsia="Times New Roman" w:hAnsi="Times New Roman"/>
                <w:sz w:val="16"/>
                <w:szCs w:val="16"/>
                <w:color w:val="0000FF"/>
              </w:rPr>
            </w:pPr>
            <w:hyperlink r:id="rId125">
              <w:r>
                <w:rPr>
                  <w:rFonts w:ascii="Times New Roman" w:cs="Times New Roman" w:eastAsia="Times New Roman" w:hAnsi="Times New Roman"/>
                  <w:sz w:val="16"/>
                  <w:szCs w:val="16"/>
                  <w:color w:val="0000FF"/>
                </w:rPr>
                <w:t>Policy.</w:t>
              </w:r>
            </w:hyperlink>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20"/>
        </w:trPr>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10.26</w:t>
            </w:r>
          </w:p>
        </w:tc>
        <w:tc>
          <w:tcPr>
            <w:tcW w:w="520" w:type="dxa"/>
            <w:vAlign w:val="bottom"/>
          </w:tcPr>
          <w:p>
            <w:pPr>
              <w:spacing w:after="0"/>
              <w:rPr>
                <w:sz w:val="20"/>
                <w:szCs w:val="20"/>
                <w:color w:val="auto"/>
              </w:rPr>
            </w:pPr>
          </w:p>
        </w:tc>
        <w:tc>
          <w:tcPr>
            <w:tcW w:w="4700" w:type="dxa"/>
            <w:vAlign w:val="bottom"/>
            <w:gridSpan w:val="35"/>
          </w:tcPr>
          <w:p>
            <w:pPr>
              <w:spacing w:after="0"/>
              <w:rPr>
                <w:rFonts w:ascii="Times New Roman" w:cs="Times New Roman" w:eastAsia="Times New Roman" w:hAnsi="Times New Roman"/>
                <w:sz w:val="16"/>
                <w:szCs w:val="16"/>
                <w:color w:val="0000FF"/>
              </w:rPr>
            </w:pPr>
            <w:hyperlink r:id="rId126">
              <w:r>
                <w:rPr>
                  <w:rFonts w:ascii="Times New Roman" w:cs="Times New Roman" w:eastAsia="Times New Roman" w:hAnsi="Times New Roman"/>
                  <w:sz w:val="16"/>
                  <w:szCs w:val="16"/>
                  <w:color w:val="0000FF"/>
                </w:rPr>
                <w:t>Amendment No. 1 to Controlled Equity OfferingSM Sales Agreement</w:t>
              </w:r>
            </w:hyperlink>
          </w:p>
        </w:tc>
        <w:tc>
          <w:tcPr>
            <w:tcW w:w="4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8-K</w:t>
            </w:r>
          </w:p>
        </w:tc>
      </w:tr>
      <w:tr>
        <w:trPr>
          <w:trHeight w:val="169"/>
        </w:trPr>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540" w:type="dxa"/>
            <w:vAlign w:val="bottom"/>
            <w:tcBorders>
              <w:top w:val="single" w:sz="8" w:color="0000FF"/>
            </w:tcBorders>
            <w:gridSpan w:val="28"/>
          </w:tcPr>
          <w:p>
            <w:pPr>
              <w:spacing w:after="0" w:line="169" w:lineRule="exact"/>
              <w:rPr>
                <w:rFonts w:ascii="Times New Roman" w:cs="Times New Roman" w:eastAsia="Times New Roman" w:hAnsi="Times New Roman"/>
                <w:sz w:val="16"/>
                <w:szCs w:val="16"/>
                <w:color w:val="0000FF"/>
              </w:rPr>
            </w:pPr>
            <w:hyperlink r:id="rId126">
              <w:r>
                <w:rPr>
                  <w:rFonts w:ascii="Times New Roman" w:cs="Times New Roman" w:eastAsia="Times New Roman" w:hAnsi="Times New Roman"/>
                  <w:sz w:val="16"/>
                  <w:szCs w:val="16"/>
                  <w:color w:val="0000FF"/>
                </w:rPr>
                <w:t>by and among Cipher Mining Inc. and Cantor Fitzgerald &amp; Co.,</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9"/>
        </w:trPr>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160" w:type="dxa"/>
            <w:vAlign w:val="bottom"/>
            <w:tcBorders>
              <w:top w:val="single" w:sz="8" w:color="0000FF"/>
              <w:bottom w:val="single" w:sz="8" w:color="0000FF"/>
            </w:tcBorders>
            <w:gridSpan w:val="17"/>
          </w:tcPr>
          <w:p>
            <w:pPr>
              <w:spacing w:after="0" w:line="169" w:lineRule="exact"/>
              <w:rPr>
                <w:rFonts w:ascii="Times New Roman" w:cs="Times New Roman" w:eastAsia="Times New Roman" w:hAnsi="Times New Roman"/>
                <w:sz w:val="16"/>
                <w:szCs w:val="16"/>
                <w:color w:val="0000FF"/>
              </w:rPr>
            </w:pPr>
            <w:hyperlink r:id="rId126">
              <w:r>
                <w:rPr>
                  <w:rFonts w:ascii="Times New Roman" w:cs="Times New Roman" w:eastAsia="Times New Roman" w:hAnsi="Times New Roman"/>
                  <w:sz w:val="16"/>
                  <w:szCs w:val="16"/>
                  <w:color w:val="0000FF"/>
                </w:rPr>
                <w:t>Canaccord Genuity LLC, Compass Point Research &amp; Trading,</w:t>
              </w:r>
            </w:hyperlink>
          </w:p>
        </w:tc>
        <w:tc>
          <w:tcPr>
            <w:tcW w:w="300" w:type="dxa"/>
            <w:vAlign w:val="bottom"/>
            <w:tcBorders>
              <w:bottom w:val="single" w:sz="8" w:color="0000FF"/>
            </w:tcBorders>
            <w:gridSpan w:val="8"/>
          </w:tcPr>
          <w:p>
            <w:pPr>
              <w:spacing w:after="0" w:line="169" w:lineRule="exact"/>
              <w:rPr>
                <w:rFonts w:ascii="Times New Roman" w:cs="Times New Roman" w:eastAsia="Times New Roman" w:hAnsi="Times New Roman"/>
                <w:sz w:val="16"/>
                <w:szCs w:val="16"/>
                <w:color w:val="0000FF"/>
                <w:w w:val="81"/>
              </w:rPr>
            </w:pPr>
            <w:hyperlink r:id="rId126">
              <w:r>
                <w:rPr>
                  <w:rFonts w:ascii="Times New Roman" w:cs="Times New Roman" w:eastAsia="Times New Roman" w:hAnsi="Times New Roman"/>
                  <w:sz w:val="16"/>
                  <w:szCs w:val="16"/>
                  <w:color w:val="0000FF"/>
                  <w:w w:val="81"/>
                </w:rPr>
                <w:t>LLC,</w:t>
              </w:r>
            </w:hyperlink>
          </w:p>
        </w:tc>
        <w:tc>
          <w:tcPr>
            <w:tcW w:w="240" w:type="dxa"/>
            <w:vAlign w:val="bottom"/>
            <w:gridSpan w:val="10"/>
          </w:tcPr>
          <w:p>
            <w:pPr>
              <w:spacing w:after="0"/>
              <w:rPr>
                <w:sz w:val="14"/>
                <w:szCs w:val="14"/>
                <w:color w:val="auto"/>
              </w:rPr>
            </w:pPr>
          </w:p>
        </w:tc>
        <w:tc>
          <w:tcPr>
            <w:tcW w:w="400" w:type="dxa"/>
            <w:vAlign w:val="bottom"/>
          </w:tcPr>
          <w:p>
            <w:pPr>
              <w:spacing w:after="0"/>
              <w:rPr>
                <w:sz w:val="14"/>
                <w:szCs w:val="14"/>
                <w:color w:val="auto"/>
              </w:rPr>
            </w:pPr>
          </w:p>
        </w:tc>
      </w:tr>
      <w:tr>
        <w:trPr>
          <w:trHeight w:val="183"/>
        </w:trPr>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700" w:type="dxa"/>
            <w:vAlign w:val="bottom"/>
            <w:gridSpan w:val="35"/>
          </w:tcPr>
          <w:p>
            <w:pPr>
              <w:spacing w:after="0" w:line="183" w:lineRule="exact"/>
              <w:rPr>
                <w:rFonts w:ascii="Times New Roman" w:cs="Times New Roman" w:eastAsia="Times New Roman" w:hAnsi="Times New Roman"/>
                <w:sz w:val="16"/>
                <w:szCs w:val="16"/>
                <w:color w:val="0000FF"/>
              </w:rPr>
            </w:pPr>
            <w:hyperlink r:id="rId126">
              <w:r>
                <w:rPr>
                  <w:rFonts w:ascii="Times New Roman" w:cs="Times New Roman" w:eastAsia="Times New Roman" w:hAnsi="Times New Roman"/>
                  <w:sz w:val="16"/>
                  <w:szCs w:val="16"/>
                  <w:color w:val="0000FF"/>
                </w:rPr>
                <w:t>Needham &amp; Company, LLC, Stifel, Nicolaus &amp; Company,</w:t>
              </w:r>
            </w:hyperlink>
          </w:p>
        </w:tc>
        <w:tc>
          <w:tcPr>
            <w:tcW w:w="400" w:type="dxa"/>
            <w:vAlign w:val="bottom"/>
          </w:tcPr>
          <w:p>
            <w:pPr>
              <w:spacing w:after="0"/>
              <w:rPr>
                <w:sz w:val="15"/>
                <w:szCs w:val="15"/>
                <w:color w:val="auto"/>
              </w:rPr>
            </w:pPr>
          </w:p>
        </w:tc>
      </w:tr>
      <w:tr>
        <w:trPr>
          <w:trHeight w:val="20"/>
        </w:trPr>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69"/>
        </w:trPr>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920" w:type="dxa"/>
            <w:vAlign w:val="bottom"/>
            <w:tcBorders>
              <w:bottom w:val="single" w:sz="8" w:color="0000FF"/>
            </w:tcBorders>
            <w:gridSpan w:val="14"/>
          </w:tcPr>
          <w:p>
            <w:pPr>
              <w:spacing w:after="0" w:line="169" w:lineRule="exact"/>
              <w:rPr>
                <w:rFonts w:ascii="Times New Roman" w:cs="Times New Roman" w:eastAsia="Times New Roman" w:hAnsi="Times New Roman"/>
                <w:sz w:val="16"/>
                <w:szCs w:val="16"/>
                <w:color w:val="0000FF"/>
              </w:rPr>
            </w:pPr>
            <w:hyperlink r:id="rId126">
              <w:r>
                <w:rPr>
                  <w:rFonts w:ascii="Times New Roman" w:cs="Times New Roman" w:eastAsia="Times New Roman" w:hAnsi="Times New Roman"/>
                  <w:sz w:val="16"/>
                  <w:szCs w:val="16"/>
                  <w:color w:val="0000FF"/>
                </w:rPr>
                <w:t>Incorporated and Virtu Americas LLC, dated March 6, 2024</w:t>
              </w:r>
            </w:hyperlink>
          </w:p>
        </w:tc>
        <w:tc>
          <w:tcPr>
            <w:tcW w:w="780" w:type="dxa"/>
            <w:vAlign w:val="bottom"/>
            <w:gridSpan w:val="21"/>
          </w:tcPr>
          <w:p>
            <w:pPr>
              <w:spacing w:after="0"/>
              <w:rPr>
                <w:sz w:val="14"/>
                <w:szCs w:val="14"/>
                <w:color w:val="auto"/>
              </w:rPr>
            </w:pPr>
          </w:p>
        </w:tc>
        <w:tc>
          <w:tcPr>
            <w:tcW w:w="400" w:type="dxa"/>
            <w:vAlign w:val="bottom"/>
          </w:tcPr>
          <w:p>
            <w:pPr>
              <w:spacing w:after="0"/>
              <w:rPr>
                <w:sz w:val="14"/>
                <w:szCs w:val="14"/>
                <w:color w:val="auto"/>
              </w:rPr>
            </w:pPr>
          </w:p>
        </w:tc>
      </w:tr>
      <w:tr>
        <w:trPr>
          <w:trHeight w:val="236"/>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10.27</w:t>
            </w:r>
          </w:p>
        </w:tc>
        <w:tc>
          <w:tcPr>
            <w:tcW w:w="520" w:type="dxa"/>
            <w:vAlign w:val="bottom"/>
          </w:tcPr>
          <w:p>
            <w:pPr>
              <w:spacing w:after="0"/>
              <w:rPr>
                <w:sz w:val="20"/>
                <w:szCs w:val="20"/>
                <w:color w:val="auto"/>
              </w:rPr>
            </w:pPr>
          </w:p>
        </w:tc>
        <w:tc>
          <w:tcPr>
            <w:tcW w:w="4700" w:type="dxa"/>
            <w:vAlign w:val="bottom"/>
            <w:gridSpan w:val="35"/>
          </w:tcPr>
          <w:p>
            <w:pPr>
              <w:spacing w:after="0"/>
              <w:rPr>
                <w:rFonts w:ascii="Times New Roman" w:cs="Times New Roman" w:eastAsia="Times New Roman" w:hAnsi="Times New Roman"/>
                <w:sz w:val="16"/>
                <w:szCs w:val="16"/>
                <w:color w:val="0000FF"/>
              </w:rPr>
            </w:pPr>
            <w:hyperlink r:id="rId127">
              <w:r>
                <w:rPr>
                  <w:rFonts w:ascii="Times New Roman" w:cs="Times New Roman" w:eastAsia="Times New Roman" w:hAnsi="Times New Roman"/>
                  <w:sz w:val="16"/>
                  <w:szCs w:val="16"/>
                  <w:color w:val="0000FF"/>
                </w:rPr>
                <w:t>Amended and Restated Controlled Equity OfferingSM Sales</w:t>
              </w:r>
            </w:hyperlink>
          </w:p>
        </w:tc>
        <w:tc>
          <w:tcPr>
            <w:tcW w:w="4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8-K</w:t>
            </w:r>
          </w:p>
        </w:tc>
      </w:tr>
      <w:tr>
        <w:trPr>
          <w:trHeight w:val="169"/>
        </w:trPr>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920" w:type="dxa"/>
            <w:vAlign w:val="bottom"/>
            <w:tcBorders>
              <w:top w:val="single" w:sz="8" w:color="0000FF"/>
            </w:tcBorders>
            <w:gridSpan w:val="14"/>
          </w:tcPr>
          <w:p>
            <w:pPr>
              <w:spacing w:after="0" w:line="169" w:lineRule="exact"/>
              <w:rPr>
                <w:rFonts w:ascii="Times New Roman" w:cs="Times New Roman" w:eastAsia="Times New Roman" w:hAnsi="Times New Roman"/>
                <w:sz w:val="16"/>
                <w:szCs w:val="16"/>
                <w:color w:val="0000FF"/>
              </w:rPr>
            </w:pPr>
            <w:hyperlink r:id="rId127">
              <w:r>
                <w:rPr>
                  <w:rFonts w:ascii="Times New Roman" w:cs="Times New Roman" w:eastAsia="Times New Roman" w:hAnsi="Times New Roman"/>
                  <w:sz w:val="16"/>
                  <w:szCs w:val="16"/>
                  <w:color w:val="0000FF"/>
                </w:rPr>
                <w:t>Agreement by and among Cipher Mining Inc. and Cantor</w:t>
              </w:r>
            </w:hyperlink>
          </w:p>
        </w:tc>
        <w:tc>
          <w:tcPr>
            <w:tcW w:w="780" w:type="dxa"/>
            <w:vAlign w:val="bottom"/>
            <w:gridSpan w:val="21"/>
          </w:tcPr>
          <w:p>
            <w:pPr>
              <w:spacing w:after="0" w:line="169" w:lineRule="exact"/>
              <w:rPr>
                <w:rFonts w:ascii="Times New Roman" w:cs="Times New Roman" w:eastAsia="Times New Roman" w:hAnsi="Times New Roman"/>
                <w:sz w:val="16"/>
                <w:szCs w:val="16"/>
                <w:color w:val="0000FF"/>
                <w:w w:val="93"/>
              </w:rPr>
            </w:pPr>
            <w:hyperlink r:id="rId127">
              <w:r>
                <w:rPr>
                  <w:rFonts w:ascii="Times New Roman" w:cs="Times New Roman" w:eastAsia="Times New Roman" w:hAnsi="Times New Roman"/>
                  <w:sz w:val="16"/>
                  <w:szCs w:val="16"/>
                  <w:color w:val="0000FF"/>
                  <w:w w:val="93"/>
                </w:rPr>
                <w:t>Fitzgerald &amp;</w:t>
              </w:r>
            </w:hyperlink>
          </w:p>
        </w:tc>
        <w:tc>
          <w:tcPr>
            <w:tcW w:w="400" w:type="dxa"/>
            <w:vAlign w:val="bottom"/>
          </w:tcPr>
          <w:p>
            <w:pPr>
              <w:spacing w:after="0"/>
              <w:rPr>
                <w:sz w:val="14"/>
                <w:szCs w:val="14"/>
                <w:color w:val="auto"/>
              </w:rPr>
            </w:pPr>
          </w:p>
        </w:tc>
      </w:tr>
      <w:tr>
        <w:trPr>
          <w:trHeight w:val="169"/>
        </w:trPr>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360" w:type="dxa"/>
            <w:vAlign w:val="bottom"/>
            <w:tcBorders>
              <w:top w:val="single" w:sz="8" w:color="0000FF"/>
              <w:bottom w:val="single" w:sz="8" w:color="0000FF"/>
            </w:tcBorders>
            <w:gridSpan w:val="22"/>
          </w:tcPr>
          <w:p>
            <w:pPr>
              <w:spacing w:after="0" w:line="169" w:lineRule="exact"/>
              <w:rPr>
                <w:rFonts w:ascii="Times New Roman" w:cs="Times New Roman" w:eastAsia="Times New Roman" w:hAnsi="Times New Roman"/>
                <w:sz w:val="16"/>
                <w:szCs w:val="16"/>
                <w:color w:val="0000FF"/>
              </w:rPr>
            </w:pPr>
            <w:hyperlink r:id="rId127">
              <w:r>
                <w:rPr>
                  <w:rFonts w:ascii="Times New Roman" w:cs="Times New Roman" w:eastAsia="Times New Roman" w:hAnsi="Times New Roman"/>
                  <w:sz w:val="16"/>
                  <w:szCs w:val="16"/>
                  <w:color w:val="0000FF"/>
                </w:rPr>
                <w:t>Co., Canaccord Genuity LLC, Compass Point Research &amp; Trading,</w:t>
              </w:r>
            </w:hyperlink>
          </w:p>
        </w:tc>
        <w:tc>
          <w:tcPr>
            <w:tcW w:w="260" w:type="dxa"/>
            <w:vAlign w:val="bottom"/>
            <w:tcBorders>
              <w:top w:val="single" w:sz="8" w:color="0000FF"/>
            </w:tcBorders>
            <w:gridSpan w:val="1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83"/>
        </w:trPr>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700" w:type="dxa"/>
            <w:vAlign w:val="bottom"/>
            <w:gridSpan w:val="35"/>
          </w:tcPr>
          <w:p>
            <w:pPr>
              <w:spacing w:after="0" w:line="183" w:lineRule="exact"/>
              <w:rPr>
                <w:rFonts w:ascii="Times New Roman" w:cs="Times New Roman" w:eastAsia="Times New Roman" w:hAnsi="Times New Roman"/>
                <w:sz w:val="16"/>
                <w:szCs w:val="16"/>
                <w:color w:val="0000FF"/>
              </w:rPr>
            </w:pPr>
            <w:hyperlink r:id="rId127">
              <w:r>
                <w:rPr>
                  <w:rFonts w:ascii="Times New Roman" w:cs="Times New Roman" w:eastAsia="Times New Roman" w:hAnsi="Times New Roman"/>
                  <w:sz w:val="16"/>
                  <w:szCs w:val="16"/>
                  <w:color w:val="0000FF"/>
                </w:rPr>
                <w:t>LLC, Needham &amp; Company, LLC, Keefe, Bruyette &amp; Woods, Inc.,</w:t>
              </w:r>
            </w:hyperlink>
          </w:p>
        </w:tc>
        <w:tc>
          <w:tcPr>
            <w:tcW w:w="400" w:type="dxa"/>
            <w:vAlign w:val="bottom"/>
          </w:tcPr>
          <w:p>
            <w:pPr>
              <w:spacing w:after="0"/>
              <w:rPr>
                <w:sz w:val="15"/>
                <w:szCs w:val="15"/>
                <w:color w:val="auto"/>
              </w:rPr>
            </w:pPr>
          </w:p>
        </w:tc>
      </w:tr>
      <w:tr>
        <w:trPr>
          <w:trHeight w:val="169"/>
        </w:trPr>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120" w:type="dxa"/>
            <w:vAlign w:val="bottom"/>
            <w:tcBorders>
              <w:top w:val="single" w:sz="8" w:color="0000FF"/>
              <w:bottom w:val="single" w:sz="8" w:color="0000FF"/>
            </w:tcBorders>
            <w:gridSpan w:val="15"/>
          </w:tcPr>
          <w:p>
            <w:pPr>
              <w:spacing w:after="0" w:line="169" w:lineRule="exact"/>
              <w:rPr>
                <w:rFonts w:ascii="Times New Roman" w:cs="Times New Roman" w:eastAsia="Times New Roman" w:hAnsi="Times New Roman"/>
                <w:sz w:val="16"/>
                <w:szCs w:val="16"/>
                <w:color w:val="0000FF"/>
              </w:rPr>
            </w:pPr>
            <w:hyperlink r:id="rId127">
              <w:r>
                <w:rPr>
                  <w:rFonts w:ascii="Times New Roman" w:cs="Times New Roman" w:eastAsia="Times New Roman" w:hAnsi="Times New Roman"/>
                  <w:sz w:val="16"/>
                  <w:szCs w:val="16"/>
                  <w:color w:val="0000FF"/>
                </w:rPr>
                <w:t>Virtu Americas LLC and BTIG, LLC, dated September 3, 2024</w:t>
              </w:r>
            </w:hyperlink>
          </w:p>
        </w:tc>
        <w:tc>
          <w:tcPr>
            <w:tcW w:w="220" w:type="dxa"/>
            <w:vAlign w:val="bottom"/>
            <w:tcBorders>
              <w:top w:val="single" w:sz="8" w:color="0000FF"/>
            </w:tcBorders>
            <w:gridSpan w:val="6"/>
          </w:tcPr>
          <w:p>
            <w:pPr>
              <w:spacing w:after="0"/>
              <w:rPr>
                <w:sz w:val="14"/>
                <w:szCs w:val="14"/>
                <w:color w:val="auto"/>
              </w:rPr>
            </w:pPr>
          </w:p>
        </w:tc>
        <w:tc>
          <w:tcPr>
            <w:tcW w:w="100" w:type="dxa"/>
            <w:vAlign w:val="bottom"/>
            <w:gridSpan w:val="3"/>
          </w:tcPr>
          <w:p>
            <w:pPr>
              <w:spacing w:after="0"/>
              <w:rPr>
                <w:sz w:val="14"/>
                <w:szCs w:val="14"/>
                <w:color w:val="auto"/>
              </w:rPr>
            </w:pPr>
          </w:p>
        </w:tc>
        <w:tc>
          <w:tcPr>
            <w:tcW w:w="8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236"/>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10.28</w:t>
            </w:r>
            <w:r>
              <w:rPr>
                <w:rFonts w:ascii="Times New Roman" w:cs="Times New Roman" w:eastAsia="Times New Roman" w:hAnsi="Times New Roman"/>
                <w:sz w:val="17"/>
                <w:szCs w:val="17"/>
                <w:color w:val="auto"/>
              </w:rPr>
              <w:t>†</w:t>
            </w:r>
          </w:p>
        </w:tc>
        <w:tc>
          <w:tcPr>
            <w:tcW w:w="520" w:type="dxa"/>
            <w:vAlign w:val="bottom"/>
          </w:tcPr>
          <w:p>
            <w:pPr>
              <w:spacing w:after="0"/>
              <w:rPr>
                <w:sz w:val="20"/>
                <w:szCs w:val="20"/>
                <w:color w:val="auto"/>
              </w:rPr>
            </w:pPr>
          </w:p>
        </w:tc>
        <w:tc>
          <w:tcPr>
            <w:tcW w:w="4700" w:type="dxa"/>
            <w:vAlign w:val="bottom"/>
            <w:gridSpan w:val="35"/>
          </w:tcPr>
          <w:p>
            <w:pPr>
              <w:spacing w:after="0"/>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Future Sales and Purchase Agreement, dated as of December 16, 2023,</w:t>
              </w:r>
            </w:hyperlink>
          </w:p>
        </w:tc>
        <w:tc>
          <w:tcPr>
            <w:tcW w:w="40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7"/>
              </w:rPr>
              <w:t>10-K</w:t>
            </w:r>
          </w:p>
        </w:tc>
      </w:tr>
      <w:tr>
        <w:trPr>
          <w:trHeight w:val="169"/>
        </w:trPr>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40" w:type="dxa"/>
            <w:vAlign w:val="bottom"/>
            <w:tcBorders>
              <w:top w:val="single" w:sz="8" w:color="0000FF"/>
            </w:tcBorders>
            <w:gridSpan w:val="33"/>
          </w:tcPr>
          <w:p>
            <w:pPr>
              <w:spacing w:after="0" w:line="169" w:lineRule="exact"/>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by and between Cipher Mining Infrastructure LLC and Bitmain</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9"/>
        </w:trPr>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12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6"/>
                <w:szCs w:val="16"/>
                <w:color w:val="0000FF"/>
                <w:w w:val="99"/>
              </w:rPr>
            </w:pPr>
            <w:hyperlink r:id="rId128">
              <w:r>
                <w:rPr>
                  <w:rFonts w:ascii="Times New Roman" w:cs="Times New Roman" w:eastAsia="Times New Roman" w:hAnsi="Times New Roman"/>
                  <w:sz w:val="16"/>
                  <w:szCs w:val="16"/>
                  <w:color w:val="0000FF"/>
                  <w:w w:val="99"/>
                </w:rPr>
                <w:t>Technologies Delaware Limited.</w:t>
              </w:r>
            </w:hyperlink>
          </w:p>
        </w:tc>
        <w:tc>
          <w:tcPr>
            <w:tcW w:w="2020" w:type="dxa"/>
            <w:vAlign w:val="bottom"/>
            <w:tcBorders>
              <w:top w:val="single" w:sz="8" w:color="0000FF"/>
            </w:tcBorders>
            <w:gridSpan w:val="12"/>
          </w:tcPr>
          <w:p>
            <w:pPr>
              <w:spacing w:after="0"/>
              <w:rPr>
                <w:sz w:val="14"/>
                <w:szCs w:val="14"/>
                <w:color w:val="auto"/>
              </w:rPr>
            </w:pPr>
          </w:p>
        </w:tc>
        <w:tc>
          <w:tcPr>
            <w:tcW w:w="12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4"/>
          </w:tcPr>
          <w:p>
            <w:pPr>
              <w:spacing w:after="0"/>
              <w:rPr>
                <w:sz w:val="14"/>
                <w:szCs w:val="14"/>
                <w:color w:val="auto"/>
              </w:rPr>
            </w:pPr>
          </w:p>
        </w:tc>
        <w:tc>
          <w:tcPr>
            <w:tcW w:w="8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23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520" w:type="dxa"/>
            <w:vAlign w:val="bottom"/>
          </w:tcPr>
          <w:p>
            <w:pPr>
              <w:spacing w:after="0"/>
              <w:rPr>
                <w:sz w:val="20"/>
                <w:szCs w:val="20"/>
                <w:color w:val="auto"/>
              </w:rPr>
            </w:pPr>
          </w:p>
        </w:tc>
        <w:tc>
          <w:tcPr>
            <w:tcW w:w="4640" w:type="dxa"/>
            <w:vAlign w:val="bottom"/>
            <w:tcBorders>
              <w:bottom w:val="single" w:sz="8" w:color="0000FF"/>
            </w:tcBorders>
            <w:gridSpan w:val="33"/>
          </w:tcPr>
          <w:p>
            <w:pPr>
              <w:spacing w:after="0"/>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Supplemental Agreement to the Future Sales and Purchase Agreement,</w:t>
              </w:r>
            </w:hyperlink>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7"/>
              </w:rPr>
              <w:t>10-Q</w:t>
            </w:r>
          </w:p>
        </w:tc>
      </w:tr>
      <w:tr>
        <w:trPr>
          <w:trHeight w:val="169"/>
        </w:trPr>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40" w:type="dxa"/>
            <w:vAlign w:val="bottom"/>
            <w:gridSpan w:val="33"/>
          </w:tcPr>
          <w:p>
            <w:pPr>
              <w:spacing w:after="0" w:line="169" w:lineRule="exact"/>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dated June 5, 2024, by and between Cipher Mining Infrastructure LLC</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9"/>
        </w:trPr>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92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and Bitmain Technologies Delaware Limited</w:t>
              </w:r>
            </w:hyperlink>
          </w:p>
        </w:tc>
        <w:tc>
          <w:tcPr>
            <w:tcW w:w="1680" w:type="dxa"/>
            <w:vAlign w:val="bottom"/>
            <w:tcBorders>
              <w:top w:val="single" w:sz="8" w:color="0000FF"/>
            </w:tcBorders>
            <w:gridSpan w:val="24"/>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236"/>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10.30</w:t>
            </w:r>
          </w:p>
        </w:tc>
        <w:tc>
          <w:tcPr>
            <w:tcW w:w="520" w:type="dxa"/>
            <w:vAlign w:val="bottom"/>
          </w:tcPr>
          <w:p>
            <w:pPr>
              <w:spacing w:after="0"/>
              <w:rPr>
                <w:sz w:val="20"/>
                <w:szCs w:val="20"/>
                <w:color w:val="auto"/>
              </w:rPr>
            </w:pPr>
          </w:p>
        </w:tc>
        <w:tc>
          <w:tcPr>
            <w:tcW w:w="4520" w:type="dxa"/>
            <w:vAlign w:val="bottom"/>
            <w:tcBorders>
              <w:bottom w:val="single" w:sz="8" w:color="0000FF"/>
            </w:tcBorders>
            <w:gridSpan w:val="27"/>
          </w:tcPr>
          <w:p>
            <w:pPr>
              <w:spacing w:after="0"/>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Amendment Agreement to the Future Sales and Purchase Agreement,</w:t>
              </w:r>
            </w:hyperlink>
          </w:p>
        </w:tc>
        <w:tc>
          <w:tcPr>
            <w:tcW w:w="180" w:type="dxa"/>
            <w:vAlign w:val="bottom"/>
            <w:gridSpan w:val="8"/>
          </w:tcPr>
          <w:p>
            <w:pPr>
              <w:spacing w:after="0"/>
              <w:rPr>
                <w:sz w:val="20"/>
                <w:szCs w:val="20"/>
                <w:color w:val="auto"/>
              </w:rPr>
            </w:pPr>
          </w:p>
        </w:tc>
        <w:tc>
          <w:tcPr>
            <w:tcW w:w="40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7"/>
              </w:rPr>
              <w:t>10-Q</w:t>
            </w:r>
          </w:p>
        </w:tc>
      </w:tr>
      <w:tr>
        <w:trPr>
          <w:trHeight w:val="169"/>
        </w:trPr>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700" w:type="dxa"/>
            <w:vAlign w:val="bottom"/>
            <w:gridSpan w:val="35"/>
          </w:tcPr>
          <w:p>
            <w:pPr>
              <w:spacing w:after="0" w:line="169" w:lineRule="exact"/>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dated July 10, 2024, by and between Cipher Mining Infrastructure LLC</w:t>
              </w:r>
            </w:hyperlink>
          </w:p>
        </w:tc>
        <w:tc>
          <w:tcPr>
            <w:tcW w:w="400" w:type="dxa"/>
            <w:vAlign w:val="bottom"/>
          </w:tcPr>
          <w:p>
            <w:pPr>
              <w:spacing w:after="0"/>
              <w:rPr>
                <w:sz w:val="14"/>
                <w:szCs w:val="14"/>
                <w:color w:val="auto"/>
              </w:rPr>
            </w:pPr>
          </w:p>
        </w:tc>
      </w:tr>
      <w:tr>
        <w:trPr>
          <w:trHeight w:val="169"/>
        </w:trPr>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92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and Bitmain Technologies Delaware Limited</w:t>
              </w:r>
            </w:hyperlink>
          </w:p>
        </w:tc>
        <w:tc>
          <w:tcPr>
            <w:tcW w:w="1740" w:type="dxa"/>
            <w:vAlign w:val="bottom"/>
            <w:tcBorders>
              <w:top w:val="single" w:sz="8" w:color="0000FF"/>
            </w:tcBorders>
            <w:gridSpan w:val="27"/>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237"/>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10.31^</w:t>
            </w:r>
          </w:p>
        </w:tc>
        <w:tc>
          <w:tcPr>
            <w:tcW w:w="520" w:type="dxa"/>
            <w:vAlign w:val="bottom"/>
          </w:tcPr>
          <w:p>
            <w:pPr>
              <w:spacing w:after="0"/>
              <w:rPr>
                <w:sz w:val="20"/>
                <w:szCs w:val="20"/>
                <w:color w:val="auto"/>
              </w:rPr>
            </w:pPr>
          </w:p>
        </w:tc>
        <w:tc>
          <w:tcPr>
            <w:tcW w:w="4700" w:type="dxa"/>
            <w:vAlign w:val="bottom"/>
            <w:gridSpan w:val="35"/>
          </w:tcPr>
          <w:p>
            <w:pPr>
              <w:spacing w:after="0"/>
              <w:rPr>
                <w:rFonts w:ascii="Times New Roman" w:cs="Times New Roman" w:eastAsia="Times New Roman" w:hAnsi="Times New Roman"/>
                <w:sz w:val="16"/>
                <w:szCs w:val="16"/>
                <w:color w:val="0000FF"/>
              </w:rPr>
            </w:pPr>
            <w:hyperlink r:id="rId131">
              <w:r>
                <w:rPr>
                  <w:rFonts w:ascii="Times New Roman" w:cs="Times New Roman" w:eastAsia="Times New Roman" w:hAnsi="Times New Roman"/>
                  <w:sz w:val="16"/>
                  <w:szCs w:val="16"/>
                  <w:color w:val="0000FF"/>
                </w:rPr>
                <w:t>Subscription Agreement, dated January 30, 2025, by and between</w:t>
              </w:r>
            </w:hyperlink>
          </w:p>
        </w:tc>
        <w:tc>
          <w:tcPr>
            <w:tcW w:w="4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8-K</w:t>
            </w:r>
          </w:p>
        </w:tc>
      </w:tr>
      <w:tr>
        <w:trPr>
          <w:trHeight w:val="169"/>
        </w:trPr>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76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6"/>
                <w:szCs w:val="16"/>
                <w:color w:val="0000FF"/>
              </w:rPr>
            </w:pPr>
            <w:hyperlink r:id="rId131">
              <w:r>
                <w:rPr>
                  <w:rFonts w:ascii="Times New Roman" w:cs="Times New Roman" w:eastAsia="Times New Roman" w:hAnsi="Times New Roman"/>
                  <w:sz w:val="16"/>
                  <w:szCs w:val="16"/>
                  <w:color w:val="0000FF"/>
                </w:rPr>
                <w:t>Cipher Mining Inc. and Star Beacon LLC</w:t>
              </w:r>
            </w:hyperlink>
          </w:p>
        </w:tc>
        <w:tc>
          <w:tcPr>
            <w:tcW w:w="1500" w:type="dxa"/>
            <w:vAlign w:val="bottom"/>
            <w:tcBorders>
              <w:top w:val="single" w:sz="8" w:color="0000FF"/>
            </w:tcBorders>
            <w:gridSpan w:val="13"/>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4"/>
          </w:tcPr>
          <w:p>
            <w:pPr>
              <w:spacing w:after="0"/>
              <w:rPr>
                <w:sz w:val="14"/>
                <w:szCs w:val="14"/>
                <w:color w:val="auto"/>
              </w:rPr>
            </w:pPr>
          </w:p>
        </w:tc>
        <w:tc>
          <w:tcPr>
            <w:tcW w:w="140" w:type="dxa"/>
            <w:vAlign w:val="bottom"/>
            <w:gridSpan w:val="6"/>
          </w:tcPr>
          <w:p>
            <w:pPr>
              <w:spacing w:after="0"/>
              <w:rPr>
                <w:sz w:val="14"/>
                <w:szCs w:val="14"/>
                <w:color w:val="auto"/>
              </w:rPr>
            </w:pPr>
          </w:p>
        </w:tc>
        <w:tc>
          <w:tcPr>
            <w:tcW w:w="120" w:type="dxa"/>
            <w:vAlign w:val="bottom"/>
            <w:gridSpan w:val="5"/>
          </w:tcPr>
          <w:p>
            <w:pPr>
              <w:spacing w:after="0"/>
              <w:rPr>
                <w:sz w:val="14"/>
                <w:szCs w:val="14"/>
                <w:color w:val="auto"/>
              </w:rPr>
            </w:pPr>
          </w:p>
        </w:tc>
        <w:tc>
          <w:tcPr>
            <w:tcW w:w="400" w:type="dxa"/>
            <w:vAlign w:val="bottom"/>
          </w:tcPr>
          <w:p>
            <w:pPr>
              <w:spacing w:after="0"/>
              <w:rPr>
                <w:sz w:val="14"/>
                <w:szCs w:val="14"/>
                <w:color w:val="auto"/>
              </w:rPr>
            </w:pPr>
          </w:p>
        </w:tc>
      </w:tr>
      <w:tr>
        <w:trPr>
          <w:trHeight w:val="237"/>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10.32</w:t>
            </w:r>
          </w:p>
        </w:tc>
        <w:tc>
          <w:tcPr>
            <w:tcW w:w="520" w:type="dxa"/>
            <w:vAlign w:val="bottom"/>
          </w:tcPr>
          <w:p>
            <w:pPr>
              <w:spacing w:after="0"/>
              <w:rPr>
                <w:sz w:val="20"/>
                <w:szCs w:val="20"/>
                <w:color w:val="auto"/>
              </w:rPr>
            </w:pPr>
          </w:p>
        </w:tc>
        <w:tc>
          <w:tcPr>
            <w:tcW w:w="4700" w:type="dxa"/>
            <w:vAlign w:val="bottom"/>
            <w:gridSpan w:val="35"/>
          </w:tcPr>
          <w:p>
            <w:pPr>
              <w:spacing w:after="0"/>
              <w:rPr>
                <w:rFonts w:ascii="Times New Roman" w:cs="Times New Roman" w:eastAsia="Times New Roman" w:hAnsi="Times New Roman"/>
                <w:sz w:val="16"/>
                <w:szCs w:val="16"/>
                <w:color w:val="0000FF"/>
              </w:rPr>
            </w:pPr>
            <w:hyperlink r:id="rId132">
              <w:r>
                <w:rPr>
                  <w:rFonts w:ascii="Times New Roman" w:cs="Times New Roman" w:eastAsia="Times New Roman" w:hAnsi="Times New Roman"/>
                  <w:sz w:val="16"/>
                  <w:szCs w:val="16"/>
                  <w:color w:val="0000FF"/>
                </w:rPr>
                <w:t>Registration Rights Agreement, dated January 30, 2025, by and</w:t>
              </w:r>
            </w:hyperlink>
          </w:p>
        </w:tc>
        <w:tc>
          <w:tcPr>
            <w:tcW w:w="4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8-K</w:t>
            </w:r>
          </w:p>
        </w:tc>
      </w:tr>
      <w:tr>
        <w:trPr>
          <w:trHeight w:val="169"/>
        </w:trPr>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320" w:type="dxa"/>
            <w:vAlign w:val="bottom"/>
            <w:tcBorders>
              <w:top w:val="single" w:sz="8" w:color="0000FF"/>
              <w:bottom w:val="single" w:sz="8" w:color="0000FF"/>
            </w:tcBorders>
            <w:gridSpan w:val="9"/>
          </w:tcPr>
          <w:p>
            <w:pPr>
              <w:spacing w:after="0" w:line="169" w:lineRule="exact"/>
              <w:rPr>
                <w:rFonts w:ascii="Times New Roman" w:cs="Times New Roman" w:eastAsia="Times New Roman" w:hAnsi="Times New Roman"/>
                <w:sz w:val="16"/>
                <w:szCs w:val="16"/>
                <w:color w:val="0000FF"/>
              </w:rPr>
            </w:pPr>
            <w:hyperlink r:id="rId132">
              <w:r>
                <w:rPr>
                  <w:rFonts w:ascii="Times New Roman" w:cs="Times New Roman" w:eastAsia="Times New Roman" w:hAnsi="Times New Roman"/>
                  <w:sz w:val="16"/>
                  <w:szCs w:val="16"/>
                  <w:color w:val="0000FF"/>
                </w:rPr>
                <w:t>between Cipher Mining Inc. and Star Beacon LLC</w:t>
              </w:r>
            </w:hyperlink>
          </w:p>
        </w:tc>
        <w:tc>
          <w:tcPr>
            <w:tcW w:w="800" w:type="dxa"/>
            <w:vAlign w:val="bottom"/>
            <w:tcBorders>
              <w:top w:val="single" w:sz="8" w:color="0000FF"/>
            </w:tcBorders>
            <w:gridSpan w:val="6"/>
          </w:tcPr>
          <w:p>
            <w:pPr>
              <w:spacing w:after="0"/>
              <w:rPr>
                <w:sz w:val="14"/>
                <w:szCs w:val="14"/>
                <w:color w:val="auto"/>
              </w:rPr>
            </w:pPr>
          </w:p>
        </w:tc>
        <w:tc>
          <w:tcPr>
            <w:tcW w:w="14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4"/>
          </w:tcPr>
          <w:p>
            <w:pPr>
              <w:spacing w:after="0"/>
              <w:rPr>
                <w:sz w:val="14"/>
                <w:szCs w:val="14"/>
                <w:color w:val="auto"/>
              </w:rPr>
            </w:pPr>
          </w:p>
        </w:tc>
        <w:tc>
          <w:tcPr>
            <w:tcW w:w="140" w:type="dxa"/>
            <w:vAlign w:val="bottom"/>
            <w:gridSpan w:val="6"/>
          </w:tcPr>
          <w:p>
            <w:pPr>
              <w:spacing w:after="0"/>
              <w:rPr>
                <w:sz w:val="14"/>
                <w:szCs w:val="14"/>
                <w:color w:val="auto"/>
              </w:rPr>
            </w:pPr>
          </w:p>
        </w:tc>
        <w:tc>
          <w:tcPr>
            <w:tcW w:w="120" w:type="dxa"/>
            <w:vAlign w:val="bottom"/>
            <w:gridSpan w:val="5"/>
          </w:tcPr>
          <w:p>
            <w:pPr>
              <w:spacing w:after="0"/>
              <w:rPr>
                <w:sz w:val="14"/>
                <w:szCs w:val="14"/>
                <w:color w:val="auto"/>
              </w:rPr>
            </w:pPr>
          </w:p>
        </w:tc>
        <w:tc>
          <w:tcPr>
            <w:tcW w:w="400" w:type="dxa"/>
            <w:vAlign w:val="bottom"/>
          </w:tcPr>
          <w:p>
            <w:pPr>
              <w:spacing w:after="0"/>
              <w:rPr>
                <w:sz w:val="14"/>
                <w:szCs w:val="14"/>
                <w:color w:val="auto"/>
              </w:rPr>
            </w:pPr>
          </w:p>
        </w:tc>
      </w:tr>
      <w:tr>
        <w:trPr>
          <w:trHeight w:val="237"/>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10.33†^</w:t>
            </w:r>
          </w:p>
        </w:tc>
        <w:tc>
          <w:tcPr>
            <w:tcW w:w="520" w:type="dxa"/>
            <w:vAlign w:val="bottom"/>
          </w:tcPr>
          <w:p>
            <w:pPr>
              <w:spacing w:after="0"/>
              <w:rPr>
                <w:sz w:val="20"/>
                <w:szCs w:val="20"/>
                <w:color w:val="auto"/>
              </w:rPr>
            </w:pPr>
          </w:p>
        </w:tc>
        <w:tc>
          <w:tcPr>
            <w:tcW w:w="4280" w:type="dxa"/>
            <w:vAlign w:val="bottom"/>
            <w:tcBorders>
              <w:bottom w:val="single" w:sz="8" w:color="0000FF"/>
            </w:tcBorders>
            <w:gridSpan w:val="20"/>
          </w:tcPr>
          <w:p>
            <w:pPr>
              <w:spacing w:after="0"/>
              <w:rPr>
                <w:rFonts w:ascii="Times New Roman" w:cs="Times New Roman" w:eastAsia="Times New Roman" w:hAnsi="Times New Roman"/>
                <w:sz w:val="16"/>
                <w:szCs w:val="16"/>
                <w:color w:val="0000FF"/>
              </w:rPr>
            </w:pPr>
            <w:hyperlink r:id="rId133">
              <w:r>
                <w:rPr>
                  <w:rFonts w:ascii="Times New Roman" w:cs="Times New Roman" w:eastAsia="Times New Roman" w:hAnsi="Times New Roman"/>
                  <w:sz w:val="16"/>
                  <w:szCs w:val="16"/>
                  <w:color w:val="0000FF"/>
                </w:rPr>
                <w:t>Recognition Agreement, by and among Cipher Barber Lake LLC,</w:t>
              </w:r>
            </w:hyperlink>
          </w:p>
        </w:tc>
        <w:tc>
          <w:tcPr>
            <w:tcW w:w="420" w:type="dxa"/>
            <w:vAlign w:val="bottom"/>
            <w:gridSpan w:val="15"/>
          </w:tcPr>
          <w:p>
            <w:pPr>
              <w:spacing w:after="0"/>
              <w:rPr>
                <w:sz w:val="20"/>
                <w:szCs w:val="20"/>
                <w:color w:val="auto"/>
              </w:rPr>
            </w:pPr>
          </w:p>
        </w:tc>
        <w:tc>
          <w:tcPr>
            <w:tcW w:w="4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8-K</w:t>
            </w:r>
          </w:p>
        </w:tc>
      </w:tr>
      <w:tr>
        <w:trPr>
          <w:trHeight w:val="169"/>
        </w:trPr>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40" w:type="dxa"/>
            <w:vAlign w:val="bottom"/>
            <w:tcBorders>
              <w:bottom w:val="single" w:sz="8" w:color="0000FF"/>
            </w:tcBorders>
            <w:gridSpan w:val="24"/>
          </w:tcPr>
          <w:p>
            <w:pPr>
              <w:spacing w:after="0" w:line="169" w:lineRule="exact"/>
              <w:rPr>
                <w:rFonts w:ascii="Times New Roman" w:cs="Times New Roman" w:eastAsia="Times New Roman" w:hAnsi="Times New Roman"/>
                <w:sz w:val="16"/>
                <w:szCs w:val="16"/>
                <w:color w:val="0000FF"/>
              </w:rPr>
            </w:pPr>
            <w:hyperlink r:id="rId133">
              <w:r>
                <w:rPr>
                  <w:rFonts w:ascii="Times New Roman" w:cs="Times New Roman" w:eastAsia="Times New Roman" w:hAnsi="Times New Roman"/>
                  <w:sz w:val="16"/>
                  <w:szCs w:val="16"/>
                  <w:color w:val="0000FF"/>
                </w:rPr>
                <w:t>Fluidstack USA II Inc. and Google LLC, dated September 24, 2025.</w:t>
              </w:r>
            </w:hyperlink>
          </w:p>
        </w:tc>
        <w:tc>
          <w:tcPr>
            <w:tcW w:w="260" w:type="dxa"/>
            <w:vAlign w:val="bottom"/>
            <w:gridSpan w:val="11"/>
          </w:tcPr>
          <w:p>
            <w:pPr>
              <w:spacing w:after="0"/>
              <w:rPr>
                <w:sz w:val="14"/>
                <w:szCs w:val="14"/>
                <w:color w:val="auto"/>
              </w:rPr>
            </w:pPr>
          </w:p>
        </w:tc>
        <w:tc>
          <w:tcPr>
            <w:tcW w:w="400" w:type="dxa"/>
            <w:vAlign w:val="bottom"/>
          </w:tcPr>
          <w:p>
            <w:pPr>
              <w:spacing w:after="0"/>
              <w:rPr>
                <w:sz w:val="14"/>
                <w:szCs w:val="14"/>
                <w:color w:val="auto"/>
              </w:rPr>
            </w:pPr>
          </w:p>
        </w:tc>
      </w:tr>
      <w:tr>
        <w:trPr>
          <w:trHeight w:val="236"/>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10.34</w:t>
            </w:r>
          </w:p>
        </w:tc>
        <w:tc>
          <w:tcPr>
            <w:tcW w:w="520" w:type="dxa"/>
            <w:vAlign w:val="bottom"/>
          </w:tcPr>
          <w:p>
            <w:pPr>
              <w:spacing w:after="0"/>
              <w:rPr>
                <w:sz w:val="20"/>
                <w:szCs w:val="20"/>
                <w:color w:val="auto"/>
              </w:rPr>
            </w:pPr>
          </w:p>
        </w:tc>
        <w:tc>
          <w:tcPr>
            <w:tcW w:w="3640" w:type="dxa"/>
            <w:vAlign w:val="bottom"/>
            <w:tcBorders>
              <w:bottom w:val="single" w:sz="8" w:color="0000FF"/>
            </w:tcBorders>
            <w:gridSpan w:val="11"/>
          </w:tcPr>
          <w:p>
            <w:pPr>
              <w:spacing w:after="0"/>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Form of confirmation for the Capped Call Transactions.</w:t>
              </w:r>
            </w:hyperlink>
          </w:p>
        </w:tc>
        <w:tc>
          <w:tcPr>
            <w:tcW w:w="1060" w:type="dxa"/>
            <w:vAlign w:val="bottom"/>
            <w:gridSpan w:val="24"/>
          </w:tcPr>
          <w:p>
            <w:pPr>
              <w:spacing w:after="0"/>
              <w:rPr>
                <w:sz w:val="20"/>
                <w:szCs w:val="20"/>
                <w:color w:val="auto"/>
              </w:rPr>
            </w:pPr>
          </w:p>
        </w:tc>
        <w:tc>
          <w:tcPr>
            <w:tcW w:w="4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8-K</w:t>
            </w:r>
          </w:p>
        </w:tc>
      </w:tr>
      <w:tr>
        <w:trPr>
          <w:trHeight w:val="223"/>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10.35*</w:t>
            </w:r>
          </w:p>
        </w:tc>
        <w:tc>
          <w:tcPr>
            <w:tcW w:w="520" w:type="dxa"/>
            <w:vAlign w:val="bottom"/>
          </w:tcPr>
          <w:p>
            <w:pPr>
              <w:spacing w:after="0"/>
              <w:rPr>
                <w:sz w:val="19"/>
                <w:szCs w:val="19"/>
                <w:color w:val="auto"/>
              </w:rPr>
            </w:pPr>
          </w:p>
        </w:tc>
        <w:tc>
          <w:tcPr>
            <w:tcW w:w="4700" w:type="dxa"/>
            <w:vAlign w:val="bottom"/>
            <w:gridSpan w:val="35"/>
          </w:tcPr>
          <w:p>
            <w:pPr>
              <w:spacing w:after="0"/>
              <w:rPr>
                <w:rFonts w:ascii="Times New Roman" w:cs="Times New Roman" w:eastAsia="Times New Roman" w:hAnsi="Times New Roman"/>
                <w:sz w:val="16"/>
                <w:szCs w:val="16"/>
                <w:color w:val="0000FF"/>
              </w:rPr>
            </w:pPr>
            <w:hyperlink r:id="rId135">
              <w:r>
                <w:rPr>
                  <w:rFonts w:ascii="Times New Roman" w:cs="Times New Roman" w:eastAsia="Times New Roman" w:hAnsi="Times New Roman"/>
                  <w:sz w:val="16"/>
                  <w:szCs w:val="16"/>
                  <w:color w:val="0000FF"/>
                </w:rPr>
                <w:t>Amended and Restated Recognition Agreement, by and among Cipher</w:t>
              </w:r>
            </w:hyperlink>
          </w:p>
        </w:tc>
        <w:tc>
          <w:tcPr>
            <w:tcW w:w="4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8-K</w:t>
            </w:r>
          </w:p>
        </w:tc>
      </w:tr>
      <w:tr>
        <w:trPr>
          <w:trHeight w:val="169"/>
        </w:trPr>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580" w:type="dxa"/>
            <w:vAlign w:val="bottom"/>
            <w:tcBorders>
              <w:top w:val="single" w:sz="8" w:color="0000FF"/>
            </w:tcBorders>
            <w:gridSpan w:val="30"/>
          </w:tcPr>
          <w:p>
            <w:pPr>
              <w:spacing w:after="0" w:line="169" w:lineRule="exact"/>
              <w:rPr>
                <w:rFonts w:ascii="Times New Roman" w:cs="Times New Roman" w:eastAsia="Times New Roman" w:hAnsi="Times New Roman"/>
                <w:sz w:val="16"/>
                <w:szCs w:val="16"/>
                <w:color w:val="0000FF"/>
              </w:rPr>
            </w:pPr>
            <w:hyperlink r:id="rId135">
              <w:r>
                <w:rPr>
                  <w:rFonts w:ascii="Times New Roman" w:cs="Times New Roman" w:eastAsia="Times New Roman" w:hAnsi="Times New Roman"/>
                  <w:sz w:val="16"/>
                  <w:szCs w:val="16"/>
                  <w:color w:val="0000FF"/>
                </w:rPr>
                <w:t>Barber Lake LLC, Fluidstack USA II Inc. and Google LLC, dated</w:t>
              </w:r>
            </w:hyperlink>
          </w:p>
        </w:tc>
        <w:tc>
          <w:tcPr>
            <w:tcW w:w="120" w:type="dxa"/>
            <w:vAlign w:val="bottom"/>
            <w:gridSpan w:val="5"/>
          </w:tcPr>
          <w:p>
            <w:pPr>
              <w:spacing w:after="0"/>
              <w:rPr>
                <w:sz w:val="14"/>
                <w:szCs w:val="14"/>
                <w:color w:val="auto"/>
              </w:rPr>
            </w:pPr>
          </w:p>
        </w:tc>
        <w:tc>
          <w:tcPr>
            <w:tcW w:w="400" w:type="dxa"/>
            <w:vAlign w:val="bottom"/>
          </w:tcPr>
          <w:p>
            <w:pPr>
              <w:spacing w:after="0"/>
              <w:rPr>
                <w:sz w:val="14"/>
                <w:szCs w:val="14"/>
                <w:color w:val="auto"/>
              </w:rPr>
            </w:pPr>
          </w:p>
        </w:tc>
      </w:tr>
      <w:tr>
        <w:trPr>
          <w:trHeight w:val="169"/>
        </w:trPr>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6"/>
                <w:szCs w:val="16"/>
                <w:color w:val="0000FF"/>
              </w:rPr>
            </w:pPr>
            <w:hyperlink r:id="rId135">
              <w:r>
                <w:rPr>
                  <w:rFonts w:ascii="Times New Roman" w:cs="Times New Roman" w:eastAsia="Times New Roman" w:hAnsi="Times New Roman"/>
                  <w:sz w:val="16"/>
                  <w:szCs w:val="16"/>
                  <w:color w:val="0000FF"/>
                </w:rPr>
                <w:t>November 20, 2025.</w:t>
              </w:r>
            </w:hyperlink>
          </w:p>
        </w:tc>
        <w:tc>
          <w:tcPr>
            <w:tcW w:w="2940" w:type="dxa"/>
            <w:vAlign w:val="bottom"/>
            <w:tcBorders>
              <w:top w:val="single" w:sz="8" w:color="0000FF"/>
            </w:tcBorders>
            <w:gridSpan w:val="17"/>
          </w:tcPr>
          <w:p>
            <w:pPr>
              <w:spacing w:after="0"/>
              <w:rPr>
                <w:sz w:val="14"/>
                <w:szCs w:val="14"/>
                <w:color w:val="auto"/>
              </w:rPr>
            </w:pPr>
          </w:p>
        </w:tc>
        <w:tc>
          <w:tcPr>
            <w:tcW w:w="420" w:type="dxa"/>
            <w:vAlign w:val="bottom"/>
            <w:gridSpan w:val="15"/>
          </w:tcPr>
          <w:p>
            <w:pPr>
              <w:spacing w:after="0"/>
              <w:rPr>
                <w:sz w:val="14"/>
                <w:szCs w:val="14"/>
                <w:color w:val="auto"/>
              </w:rPr>
            </w:pPr>
          </w:p>
        </w:tc>
        <w:tc>
          <w:tcPr>
            <w:tcW w:w="400" w:type="dxa"/>
            <w:vAlign w:val="bottom"/>
          </w:tcPr>
          <w:p>
            <w:pPr>
              <w:spacing w:after="0"/>
              <w:rPr>
                <w:sz w:val="14"/>
                <w:szCs w:val="14"/>
                <w:color w:val="auto"/>
              </w:rPr>
            </w:pPr>
          </w:p>
        </w:tc>
      </w:tr>
      <w:tr>
        <w:trPr>
          <w:trHeight w:val="237"/>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19.1</w:t>
            </w:r>
          </w:p>
        </w:tc>
        <w:tc>
          <w:tcPr>
            <w:tcW w:w="520" w:type="dxa"/>
            <w:vAlign w:val="bottom"/>
          </w:tcPr>
          <w:p>
            <w:pPr>
              <w:spacing w:after="0"/>
              <w:rPr>
                <w:sz w:val="20"/>
                <w:szCs w:val="20"/>
                <w:color w:val="auto"/>
              </w:rPr>
            </w:pPr>
          </w:p>
        </w:tc>
        <w:tc>
          <w:tcPr>
            <w:tcW w:w="22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Insider Trading Compliance Policy</w:t>
            </w:r>
          </w:p>
        </w:tc>
        <w:tc>
          <w:tcPr>
            <w:tcW w:w="2420" w:type="dxa"/>
            <w:vAlign w:val="bottom"/>
            <w:gridSpan w:val="30"/>
          </w:tcPr>
          <w:p>
            <w:pPr>
              <w:spacing w:after="0"/>
              <w:rPr>
                <w:sz w:val="20"/>
                <w:szCs w:val="20"/>
                <w:color w:val="auto"/>
              </w:rPr>
            </w:pPr>
          </w:p>
        </w:tc>
        <w:tc>
          <w:tcPr>
            <w:tcW w:w="400" w:type="dxa"/>
            <w:vAlign w:val="bottom"/>
          </w:tcPr>
          <w:p>
            <w:pPr>
              <w:spacing w:after="0"/>
              <w:rPr>
                <w:sz w:val="20"/>
                <w:szCs w:val="20"/>
                <w:color w:val="auto"/>
              </w:rPr>
            </w:pPr>
          </w:p>
        </w:tc>
      </w:tr>
      <w:tr>
        <w:trPr>
          <w:trHeight w:val="223"/>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21.1</w:t>
            </w:r>
          </w:p>
        </w:tc>
        <w:tc>
          <w:tcPr>
            <w:tcW w:w="520" w:type="dxa"/>
            <w:vAlign w:val="bottom"/>
          </w:tcPr>
          <w:p>
            <w:pPr>
              <w:spacing w:after="0"/>
              <w:rPr>
                <w:sz w:val="19"/>
                <w:szCs w:val="19"/>
                <w:color w:val="auto"/>
              </w:rPr>
            </w:pPr>
          </w:p>
        </w:tc>
        <w:tc>
          <w:tcPr>
            <w:tcW w:w="27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rPr>
              <w:t>List of Subsidiaries of Cipher Digital Inc.</w:t>
            </w:r>
          </w:p>
        </w:tc>
        <w:tc>
          <w:tcPr>
            <w:tcW w:w="1940" w:type="dxa"/>
            <w:vAlign w:val="bottom"/>
            <w:gridSpan w:val="29"/>
          </w:tcPr>
          <w:p>
            <w:pPr>
              <w:spacing w:after="0"/>
              <w:rPr>
                <w:sz w:val="19"/>
                <w:szCs w:val="19"/>
                <w:color w:val="auto"/>
              </w:rPr>
            </w:pPr>
          </w:p>
        </w:tc>
        <w:tc>
          <w:tcPr>
            <w:tcW w:w="400" w:type="dxa"/>
            <w:vAlign w:val="bottom"/>
          </w:tcPr>
          <w:p>
            <w:pPr>
              <w:spacing w:after="0"/>
              <w:rPr>
                <w:sz w:val="19"/>
                <w:szCs w:val="19"/>
                <w:color w:val="auto"/>
              </w:rPr>
            </w:pPr>
          </w:p>
        </w:tc>
      </w:tr>
      <w:tr>
        <w:trPr>
          <w:trHeight w:val="223"/>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23.1</w:t>
            </w:r>
          </w:p>
        </w:tc>
        <w:tc>
          <w:tcPr>
            <w:tcW w:w="520" w:type="dxa"/>
            <w:vAlign w:val="bottom"/>
          </w:tcPr>
          <w:p>
            <w:pPr>
              <w:spacing w:after="0"/>
              <w:rPr>
                <w:sz w:val="19"/>
                <w:szCs w:val="19"/>
                <w:color w:val="auto"/>
              </w:rPr>
            </w:pPr>
          </w:p>
        </w:tc>
        <w:tc>
          <w:tcPr>
            <w:tcW w:w="4700" w:type="dxa"/>
            <w:vAlign w:val="bottom"/>
            <w:gridSpan w:val="35"/>
          </w:tcPr>
          <w:p>
            <w:pPr>
              <w:spacing w:after="0"/>
              <w:rPr>
                <w:sz w:val="20"/>
                <w:szCs w:val="20"/>
                <w:color w:val="auto"/>
              </w:rPr>
            </w:pPr>
            <w:r>
              <w:rPr>
                <w:rFonts w:ascii="Times New Roman" w:cs="Times New Roman" w:eastAsia="Times New Roman" w:hAnsi="Times New Roman"/>
                <w:sz w:val="16"/>
                <w:szCs w:val="16"/>
                <w:color w:val="0000FF"/>
              </w:rPr>
              <w:t>Consent of CBIZ CPAs P.C., Independent Registered Public</w:t>
            </w:r>
          </w:p>
        </w:tc>
        <w:tc>
          <w:tcPr>
            <w:tcW w:w="400" w:type="dxa"/>
            <w:vAlign w:val="bottom"/>
          </w:tcPr>
          <w:p>
            <w:pPr>
              <w:spacing w:after="0"/>
              <w:rPr>
                <w:sz w:val="19"/>
                <w:szCs w:val="19"/>
                <w:color w:val="auto"/>
              </w:rPr>
            </w:pPr>
          </w:p>
        </w:tc>
      </w:tr>
      <w:tr>
        <w:trPr>
          <w:trHeight w:val="169"/>
        </w:trPr>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900" w:type="dxa"/>
            <w:vAlign w:val="bottom"/>
            <w:tcBorders>
              <w:top w:val="single" w:sz="8" w:color="0000FF"/>
            </w:tcBorders>
            <w:gridSpan w:val="13"/>
          </w:tcPr>
          <w:p>
            <w:pPr>
              <w:spacing w:after="0" w:line="169" w:lineRule="exact"/>
              <w:rPr>
                <w:sz w:val="20"/>
                <w:szCs w:val="20"/>
                <w:color w:val="auto"/>
              </w:rPr>
            </w:pPr>
            <w:r>
              <w:rPr>
                <w:rFonts w:ascii="Times New Roman" w:cs="Times New Roman" w:eastAsia="Times New Roman" w:hAnsi="Times New Roman"/>
                <w:sz w:val="16"/>
                <w:szCs w:val="16"/>
                <w:color w:val="0000FF"/>
              </w:rPr>
              <w:t>Accounting Firm.</w:t>
            </w:r>
          </w:p>
        </w:tc>
        <w:tc>
          <w:tcPr>
            <w:tcW w:w="800" w:type="dxa"/>
            <w:vAlign w:val="bottom"/>
            <w:gridSpan w:val="22"/>
          </w:tcPr>
          <w:p>
            <w:pPr>
              <w:spacing w:after="0"/>
              <w:rPr>
                <w:sz w:val="14"/>
                <w:szCs w:val="14"/>
                <w:color w:val="auto"/>
              </w:rPr>
            </w:pPr>
          </w:p>
        </w:tc>
        <w:tc>
          <w:tcPr>
            <w:tcW w:w="400" w:type="dxa"/>
            <w:vAlign w:val="bottom"/>
          </w:tcPr>
          <w:p>
            <w:pPr>
              <w:spacing w:after="0"/>
              <w:rPr>
                <w:sz w:val="14"/>
                <w:szCs w:val="14"/>
                <w:color w:val="auto"/>
              </w:rPr>
            </w:pPr>
          </w:p>
        </w:tc>
      </w:tr>
      <w:tr>
        <w:trPr>
          <w:trHeight w:val="938"/>
        </w:trPr>
        <w:tc>
          <w:tcPr>
            <w:tcW w:w="580" w:type="dxa"/>
            <w:vAlign w:val="bottom"/>
          </w:tcPr>
          <w:p>
            <w:pPr>
              <w:spacing w:after="0"/>
              <w:rPr>
                <w:sz w:val="24"/>
                <w:szCs w:val="24"/>
                <w:color w:val="auto"/>
              </w:rPr>
            </w:pPr>
          </w:p>
        </w:tc>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69</w:t>
            </w:r>
          </w:p>
        </w:tc>
        <w:tc>
          <w:tcPr>
            <w:tcW w:w="44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55880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1300" w:val="left"/>
          <w:tab w:leader="none" w:pos="2300" w:val="left"/>
        </w:tabs>
        <w:rPr>
          <w:sz w:val="20"/>
          <w:szCs w:val="20"/>
          <w:color w:val="auto"/>
        </w:rPr>
      </w:pPr>
      <w:r>
        <w:rPr>
          <w:rFonts w:ascii="Times New Roman" w:cs="Times New Roman" w:eastAsia="Times New Roman" w:hAnsi="Times New Roman"/>
          <w:sz w:val="16"/>
          <w:szCs w:val="16"/>
          <w:color w:val="auto"/>
        </w:rPr>
        <w:t>333-256115</w:t>
      </w:r>
      <w:r>
        <w:rPr>
          <w:sz w:val="20"/>
          <w:szCs w:val="20"/>
          <w:color w:val="auto"/>
        </w:rPr>
        <w:tab/>
      </w:r>
      <w:r>
        <w:rPr>
          <w:rFonts w:ascii="Times New Roman" w:cs="Times New Roman" w:eastAsia="Times New Roman" w:hAnsi="Times New Roman"/>
          <w:sz w:val="16"/>
          <w:szCs w:val="16"/>
          <w:color w:val="auto"/>
        </w:rPr>
        <w:t>10.24</w:t>
      </w:r>
      <w:r>
        <w:rPr>
          <w:sz w:val="20"/>
          <w:szCs w:val="20"/>
          <w:color w:val="auto"/>
        </w:rPr>
        <w:tab/>
      </w:r>
      <w:r>
        <w:rPr>
          <w:rFonts w:ascii="Times New Roman" w:cs="Times New Roman" w:eastAsia="Times New Roman" w:hAnsi="Times New Roman"/>
          <w:sz w:val="16"/>
          <w:szCs w:val="16"/>
          <w:color w:val="auto"/>
        </w:rPr>
        <w:t>5/14/21</w:t>
      </w:r>
    </w:p>
    <w:p>
      <w:pPr>
        <w:spacing w:after="0" w:line="262" w:lineRule="exact"/>
        <w:rPr>
          <w:sz w:val="20"/>
          <w:szCs w:val="20"/>
          <w:color w:val="auto"/>
        </w:rPr>
      </w:pPr>
    </w:p>
    <w:p>
      <w:pPr>
        <w:spacing w:after="0"/>
        <w:tabs>
          <w:tab w:leader="none" w:pos="1300" w:val="left"/>
          <w:tab w:leader="none" w:pos="2300" w:val="left"/>
        </w:tabs>
        <w:rPr>
          <w:sz w:val="20"/>
          <w:szCs w:val="20"/>
          <w:color w:val="auto"/>
        </w:rPr>
      </w:pPr>
      <w:r>
        <w:rPr>
          <w:rFonts w:ascii="Times New Roman" w:cs="Times New Roman" w:eastAsia="Times New Roman" w:hAnsi="Times New Roman"/>
          <w:sz w:val="16"/>
          <w:szCs w:val="16"/>
          <w:color w:val="auto"/>
        </w:rPr>
        <w:t>333-256115</w:t>
      </w:r>
      <w:r>
        <w:rPr>
          <w:sz w:val="20"/>
          <w:szCs w:val="20"/>
          <w:color w:val="auto"/>
        </w:rPr>
        <w:tab/>
      </w:r>
      <w:r>
        <w:rPr>
          <w:rFonts w:ascii="Times New Roman" w:cs="Times New Roman" w:eastAsia="Times New Roman" w:hAnsi="Times New Roman"/>
          <w:sz w:val="16"/>
          <w:szCs w:val="16"/>
          <w:color w:val="auto"/>
        </w:rPr>
        <w:t>10.25</w:t>
      </w:r>
      <w:r>
        <w:rPr>
          <w:sz w:val="20"/>
          <w:szCs w:val="20"/>
          <w:color w:val="auto"/>
        </w:rPr>
        <w:tab/>
      </w:r>
      <w:r>
        <w:rPr>
          <w:rFonts w:ascii="Times New Roman" w:cs="Times New Roman" w:eastAsia="Times New Roman" w:hAnsi="Times New Roman"/>
          <w:sz w:val="16"/>
          <w:szCs w:val="16"/>
          <w:color w:val="auto"/>
        </w:rPr>
        <w:t>5/14/21</w:t>
      </w:r>
    </w:p>
    <w:p>
      <w:pPr>
        <w:spacing w:after="0" w:line="262" w:lineRule="exact"/>
        <w:rPr>
          <w:sz w:val="20"/>
          <w:szCs w:val="20"/>
          <w:color w:val="auto"/>
        </w:rPr>
      </w:pPr>
    </w:p>
    <w:p>
      <w:pPr>
        <w:spacing w:after="0"/>
        <w:tabs>
          <w:tab w:leader="none" w:pos="1300" w:val="left"/>
          <w:tab w:leader="none" w:pos="2300" w:val="left"/>
        </w:tabs>
        <w:rPr>
          <w:sz w:val="20"/>
          <w:szCs w:val="20"/>
          <w:color w:val="auto"/>
        </w:rPr>
      </w:pPr>
      <w:r>
        <w:rPr>
          <w:rFonts w:ascii="Times New Roman" w:cs="Times New Roman" w:eastAsia="Times New Roman" w:hAnsi="Times New Roman"/>
          <w:sz w:val="16"/>
          <w:szCs w:val="16"/>
          <w:color w:val="auto"/>
        </w:rPr>
        <w:t>333-256115</w:t>
      </w:r>
      <w:r>
        <w:rPr>
          <w:sz w:val="20"/>
          <w:szCs w:val="20"/>
          <w:color w:val="auto"/>
        </w:rPr>
        <w:tab/>
      </w:r>
      <w:r>
        <w:rPr>
          <w:rFonts w:ascii="Times New Roman" w:cs="Times New Roman" w:eastAsia="Times New Roman" w:hAnsi="Times New Roman"/>
          <w:sz w:val="16"/>
          <w:szCs w:val="16"/>
          <w:color w:val="auto"/>
        </w:rPr>
        <w:t>10.26</w:t>
      </w:r>
      <w:r>
        <w:rPr>
          <w:sz w:val="20"/>
          <w:szCs w:val="20"/>
          <w:color w:val="auto"/>
        </w:rPr>
        <w:tab/>
      </w:r>
      <w:r>
        <w:rPr>
          <w:rFonts w:ascii="Times New Roman" w:cs="Times New Roman" w:eastAsia="Times New Roman" w:hAnsi="Times New Roman"/>
          <w:sz w:val="16"/>
          <w:szCs w:val="16"/>
          <w:color w:val="auto"/>
        </w:rPr>
        <w:t>5/14/21</w:t>
      </w:r>
    </w:p>
    <w:p>
      <w:pPr>
        <w:spacing w:after="0" w:line="2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w:t>
      </w:r>
    </w:p>
    <w:p>
      <w:pPr>
        <w:spacing w:after="0" w:line="2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10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8"/>
              </w:rPr>
              <w:t>001-39625</w:t>
            </w:r>
          </w:p>
        </w:tc>
        <w:tc>
          <w:tcPr>
            <w:tcW w:w="9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10.1</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8/13/24</w:t>
            </w:r>
          </w:p>
        </w:tc>
      </w:tr>
      <w:tr>
        <w:trPr>
          <w:trHeight w:val="446"/>
        </w:trPr>
        <w:tc>
          <w:tcPr>
            <w:tcW w:w="10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8"/>
              </w:rPr>
              <w:t>001-39625</w:t>
            </w:r>
          </w:p>
        </w:tc>
        <w:tc>
          <w:tcPr>
            <w:tcW w:w="9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1.1</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tabs>
          <w:tab w:leader="none" w:pos="1380" w:val="left"/>
          <w:tab w:leader="none" w:pos="2340" w:val="left"/>
        </w:tabs>
        <w:rPr>
          <w:sz w:val="20"/>
          <w:szCs w:val="20"/>
          <w:color w:val="auto"/>
        </w:rPr>
      </w:pPr>
      <w:r>
        <w:rPr>
          <w:rFonts w:ascii="Times New Roman" w:cs="Times New Roman" w:eastAsia="Times New Roman" w:hAnsi="Times New Roman"/>
          <w:sz w:val="16"/>
          <w:szCs w:val="16"/>
          <w:color w:val="auto"/>
        </w:rPr>
        <w:t>001-39625</w:t>
      </w:r>
      <w:r>
        <w:rPr>
          <w:sz w:val="20"/>
          <w:szCs w:val="20"/>
          <w:color w:val="auto"/>
        </w:rPr>
        <w:tab/>
      </w:r>
      <w:r>
        <w:rPr>
          <w:rFonts w:ascii="Times New Roman" w:cs="Times New Roman" w:eastAsia="Times New Roman" w:hAnsi="Times New Roman"/>
          <w:sz w:val="16"/>
          <w:szCs w:val="16"/>
          <w:color w:val="auto"/>
        </w:rPr>
        <w:t>1.1</w:t>
      </w:r>
      <w:r>
        <w:rPr>
          <w:sz w:val="20"/>
          <w:szCs w:val="20"/>
          <w:color w:val="auto"/>
        </w:rPr>
        <w:tab/>
      </w:r>
      <w:r>
        <w:rPr>
          <w:rFonts w:ascii="Times New Roman" w:cs="Times New Roman" w:eastAsia="Times New Roman" w:hAnsi="Times New Roman"/>
          <w:sz w:val="16"/>
          <w:szCs w:val="16"/>
          <w:color w:val="auto"/>
        </w:rPr>
        <w:t>9/4/24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9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8"/>
              </w:rPr>
              <w:t>001-39625</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10.36</w:t>
            </w:r>
          </w:p>
        </w:tc>
        <w:tc>
          <w:tcPr>
            <w:tcW w:w="86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rPr>
              <w:t>3/5/24</w:t>
            </w:r>
          </w:p>
        </w:tc>
      </w:tr>
      <w:tr>
        <w:trPr>
          <w:trHeight w:val="634"/>
        </w:trPr>
        <w:tc>
          <w:tcPr>
            <w:tcW w:w="9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8"/>
              </w:rPr>
              <w:t>001-39625</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86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rPr>
              <w:t>8/13/24</w:t>
            </w:r>
          </w:p>
        </w:tc>
      </w:tr>
      <w:tr>
        <w:trPr>
          <w:trHeight w:val="635"/>
        </w:trPr>
        <w:tc>
          <w:tcPr>
            <w:tcW w:w="9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8"/>
              </w:rPr>
              <w:t>001-39625</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86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rPr>
              <w:t>8/13/24</w:t>
            </w:r>
          </w:p>
        </w:tc>
      </w:tr>
      <w:tr>
        <w:trPr>
          <w:trHeight w:val="634"/>
        </w:trPr>
        <w:tc>
          <w:tcPr>
            <w:tcW w:w="9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8"/>
              </w:rPr>
              <w:t>001-39625</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86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rPr>
              <w:t>1/30/25</w:t>
            </w:r>
          </w:p>
        </w:tc>
      </w:tr>
      <w:tr>
        <w:trPr>
          <w:trHeight w:val="445"/>
        </w:trPr>
        <w:tc>
          <w:tcPr>
            <w:tcW w:w="9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8"/>
              </w:rPr>
              <w:t>001-39625</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86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rPr>
              <w:t>1/30/25</w:t>
            </w:r>
          </w:p>
        </w:tc>
      </w:tr>
      <w:tr>
        <w:trPr>
          <w:trHeight w:val="446"/>
        </w:trPr>
        <w:tc>
          <w:tcPr>
            <w:tcW w:w="9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8"/>
              </w:rPr>
              <w:t>001-39625</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86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rPr>
              <w:t>9/25/25</w:t>
            </w:r>
          </w:p>
        </w:tc>
      </w:tr>
      <w:tr>
        <w:trPr>
          <w:trHeight w:val="445"/>
        </w:trPr>
        <w:tc>
          <w:tcPr>
            <w:tcW w:w="9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8"/>
              </w:rPr>
              <w:t>001-39625</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86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rPr>
              <w:t>9/30/25</w:t>
            </w:r>
          </w:p>
        </w:tc>
      </w:tr>
      <w:tr>
        <w:trPr>
          <w:trHeight w:val="243"/>
        </w:trPr>
        <w:tc>
          <w:tcPr>
            <w:tcW w:w="9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8"/>
              </w:rPr>
              <w:t>001-39625</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860" w:type="dxa"/>
            <w:vAlign w:val="bottom"/>
          </w:tcPr>
          <w:p>
            <w:pPr>
              <w:jc w:val="center"/>
              <w:ind w:left="219"/>
              <w:spacing w:after="0"/>
              <w:rPr>
                <w:sz w:val="20"/>
                <w:szCs w:val="20"/>
                <w:color w:val="auto"/>
              </w:rPr>
            </w:pPr>
            <w:r>
              <w:rPr>
                <w:rFonts w:ascii="Times New Roman" w:cs="Times New Roman" w:eastAsia="Times New Roman" w:hAnsi="Times New Roman"/>
                <w:sz w:val="16"/>
                <w:szCs w:val="16"/>
                <w:color w:val="auto"/>
                <w:w w:val="98"/>
              </w:rPr>
              <w:t>11/20/25</w:t>
            </w:r>
          </w:p>
        </w:tc>
      </w:tr>
    </w:tbl>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w:t>
      </w:r>
    </w:p>
    <w:p>
      <w:pPr>
        <w:spacing w:after="0" w:line="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w:t>
      </w:r>
    </w:p>
    <w:p>
      <w:pPr>
        <w:spacing w:after="0" w:line="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w:t>
      </w:r>
    </w:p>
    <w:p>
      <w:pPr>
        <w:sectPr>
          <w:pgSz w:w="11900" w:h="16838" w:orient="portrait"/>
          <w:cols w:equalWidth="0" w:num="2">
            <w:col w:w="6200" w:space="660"/>
            <w:col w:w="3840"/>
          </w:cols>
          <w:pgMar w:left="340" w:top="1346" w:right="859" w:bottom="1440" w:gutter="0" w:footer="0" w:header="0"/>
        </w:sectPr>
      </w:pPr>
    </w:p>
    <w:bookmarkStart w:id="75" w:name="page76"/>
    <w:bookmarkEnd w:id="75"/>
    <w:tbl>
      <w:tblPr>
        <w:tblLayout w:type="fixed"/>
        <w:tblInd w:w="20" w:type="dxa"/>
        <w:tblCellMar>
          <w:top w:w="0" w:type="dxa"/>
          <w:left w:w="0" w:type="dxa"/>
          <w:bottom w:w="0" w:type="dxa"/>
          <w:right w:w="0" w:type="dxa"/>
        </w:tblCellMar>
      </w:tblPr>
      <w:tr>
        <w:trPr>
          <w:trHeight w:val="18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23.2</w:t>
            </w:r>
          </w:p>
        </w:tc>
        <w:tc>
          <w:tcPr>
            <w:tcW w:w="70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Consent of Marcum LLP, Independent Registered Public Accounting</w:t>
            </w:r>
          </w:p>
        </w:tc>
        <w:tc>
          <w:tcPr>
            <w:tcW w:w="2560" w:type="dxa"/>
            <w:vAlign w:val="bottom"/>
          </w:tcPr>
          <w:p>
            <w:pPr>
              <w:jc w:val="center"/>
              <w:ind w:left="2319"/>
              <w:spacing w:after="0"/>
              <w:rPr>
                <w:sz w:val="20"/>
                <w:szCs w:val="20"/>
                <w:color w:val="auto"/>
              </w:rPr>
            </w:pPr>
            <w:r>
              <w:rPr>
                <w:rFonts w:ascii="Times New Roman" w:cs="Times New Roman" w:eastAsia="Times New Roman" w:hAnsi="Times New Roman"/>
                <w:sz w:val="16"/>
                <w:szCs w:val="16"/>
                <w:color w:val="auto"/>
                <w:w w:val="99"/>
              </w:rPr>
              <w:t>*</w:t>
            </w:r>
          </w:p>
        </w:tc>
      </w:tr>
      <w:tr>
        <w:trPr>
          <w:trHeight w:val="169"/>
        </w:trPr>
        <w:tc>
          <w:tcPr>
            <w:tcW w:w="1100" w:type="dxa"/>
            <w:vAlign w:val="bottom"/>
          </w:tcPr>
          <w:p>
            <w:pPr>
              <w:spacing w:after="0"/>
              <w:rPr>
                <w:sz w:val="14"/>
                <w:szCs w:val="14"/>
                <w:color w:val="auto"/>
              </w:rPr>
            </w:pPr>
          </w:p>
        </w:tc>
        <w:tc>
          <w:tcPr>
            <w:tcW w:w="36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6"/>
                <w:szCs w:val="16"/>
                <w:color w:val="0000FF"/>
                <w:w w:val="96"/>
              </w:rPr>
              <w:t>Firm.</w:t>
            </w:r>
          </w:p>
        </w:tc>
        <w:tc>
          <w:tcPr>
            <w:tcW w:w="4120" w:type="dxa"/>
            <w:vAlign w:val="bottom"/>
            <w:tcBorders>
              <w:top w:val="single" w:sz="8" w:color="0000FF"/>
            </w:tcBorders>
            <w:gridSpan w:val="4"/>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560" w:type="dxa"/>
            <w:vAlign w:val="bottom"/>
          </w:tcPr>
          <w:p>
            <w:pPr>
              <w:spacing w:after="0"/>
              <w:rPr>
                <w:sz w:val="14"/>
                <w:szCs w:val="14"/>
                <w:color w:val="auto"/>
              </w:rPr>
            </w:pPr>
          </w:p>
        </w:tc>
      </w:tr>
      <w:tr>
        <w:trPr>
          <w:trHeight w:val="23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70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Rule</w:t>
            </w:r>
          </w:p>
        </w:tc>
        <w:tc>
          <w:tcPr>
            <w:tcW w:w="2560" w:type="dxa"/>
            <w:vAlign w:val="bottom"/>
          </w:tcPr>
          <w:p>
            <w:pPr>
              <w:jc w:val="center"/>
              <w:ind w:left="2319"/>
              <w:spacing w:after="0"/>
              <w:rPr>
                <w:sz w:val="20"/>
                <w:szCs w:val="20"/>
                <w:color w:val="auto"/>
              </w:rPr>
            </w:pPr>
            <w:r>
              <w:rPr>
                <w:rFonts w:ascii="Times New Roman" w:cs="Times New Roman" w:eastAsia="Times New Roman" w:hAnsi="Times New Roman"/>
                <w:sz w:val="16"/>
                <w:szCs w:val="16"/>
                <w:color w:val="auto"/>
                <w:w w:val="99"/>
              </w:rPr>
              <w:t>*</w:t>
            </w:r>
          </w:p>
        </w:tc>
      </w:tr>
      <w:tr>
        <w:trPr>
          <w:trHeight w:val="169"/>
        </w:trPr>
        <w:tc>
          <w:tcPr>
            <w:tcW w:w="1100" w:type="dxa"/>
            <w:vAlign w:val="bottom"/>
          </w:tcPr>
          <w:p>
            <w:pPr>
              <w:spacing w:after="0"/>
              <w:rPr>
                <w:sz w:val="14"/>
                <w:szCs w:val="14"/>
                <w:color w:val="auto"/>
              </w:rPr>
            </w:pPr>
          </w:p>
        </w:tc>
        <w:tc>
          <w:tcPr>
            <w:tcW w:w="136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6"/>
                <w:szCs w:val="16"/>
                <w:color w:val="0000FF"/>
              </w:rPr>
              <w:t>13a</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14(a)/15d</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14(a).</w:t>
            </w:r>
          </w:p>
        </w:tc>
        <w:tc>
          <w:tcPr>
            <w:tcW w:w="2340" w:type="dxa"/>
            <w:vAlign w:val="bottom"/>
            <w:tcBorders>
              <w:top w:val="single" w:sz="8" w:color="0000FF"/>
            </w:tcBorders>
            <w:gridSpan w:val="2"/>
          </w:tcPr>
          <w:p>
            <w:pPr>
              <w:spacing w:after="0"/>
              <w:rPr>
                <w:sz w:val="14"/>
                <w:szCs w:val="14"/>
                <w:color w:val="auto"/>
              </w:rPr>
            </w:pPr>
          </w:p>
        </w:tc>
        <w:tc>
          <w:tcPr>
            <w:tcW w:w="82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560" w:type="dxa"/>
            <w:vAlign w:val="bottom"/>
          </w:tcPr>
          <w:p>
            <w:pPr>
              <w:spacing w:after="0"/>
              <w:rPr>
                <w:sz w:val="14"/>
                <w:szCs w:val="14"/>
                <w:color w:val="auto"/>
              </w:rPr>
            </w:pPr>
          </w:p>
        </w:tc>
      </w:tr>
      <w:tr>
        <w:trPr>
          <w:trHeight w:val="23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70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Rule</w:t>
            </w:r>
          </w:p>
        </w:tc>
        <w:tc>
          <w:tcPr>
            <w:tcW w:w="2560" w:type="dxa"/>
            <w:vAlign w:val="bottom"/>
          </w:tcPr>
          <w:p>
            <w:pPr>
              <w:jc w:val="center"/>
              <w:ind w:left="2319"/>
              <w:spacing w:after="0"/>
              <w:rPr>
                <w:sz w:val="20"/>
                <w:szCs w:val="20"/>
                <w:color w:val="auto"/>
              </w:rPr>
            </w:pPr>
            <w:r>
              <w:rPr>
                <w:rFonts w:ascii="Times New Roman" w:cs="Times New Roman" w:eastAsia="Times New Roman" w:hAnsi="Times New Roman"/>
                <w:sz w:val="16"/>
                <w:szCs w:val="16"/>
                <w:color w:val="auto"/>
                <w:w w:val="99"/>
              </w:rPr>
              <w:t>*</w:t>
            </w:r>
          </w:p>
        </w:tc>
      </w:tr>
      <w:tr>
        <w:trPr>
          <w:trHeight w:val="169"/>
        </w:trPr>
        <w:tc>
          <w:tcPr>
            <w:tcW w:w="1100" w:type="dxa"/>
            <w:vAlign w:val="bottom"/>
          </w:tcPr>
          <w:p>
            <w:pPr>
              <w:spacing w:after="0"/>
              <w:rPr>
                <w:sz w:val="14"/>
                <w:szCs w:val="14"/>
                <w:color w:val="auto"/>
              </w:rPr>
            </w:pPr>
          </w:p>
        </w:tc>
        <w:tc>
          <w:tcPr>
            <w:tcW w:w="136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6"/>
                <w:szCs w:val="16"/>
                <w:color w:val="0000FF"/>
              </w:rPr>
              <w:t>13a</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14(a)/15d</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14(a).</w:t>
            </w:r>
          </w:p>
        </w:tc>
        <w:tc>
          <w:tcPr>
            <w:tcW w:w="2300" w:type="dxa"/>
            <w:vAlign w:val="bottom"/>
            <w:tcBorders>
              <w:top w:val="single" w:sz="8" w:color="0000FF"/>
            </w:tcBorders>
          </w:tcPr>
          <w:p>
            <w:pPr>
              <w:spacing w:after="0"/>
              <w:rPr>
                <w:sz w:val="14"/>
                <w:szCs w:val="14"/>
                <w:color w:val="auto"/>
              </w:rPr>
            </w:pPr>
          </w:p>
        </w:tc>
        <w:tc>
          <w:tcPr>
            <w:tcW w:w="86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560" w:type="dxa"/>
            <w:vAlign w:val="bottom"/>
          </w:tcPr>
          <w:p>
            <w:pPr>
              <w:spacing w:after="0"/>
              <w:rPr>
                <w:sz w:val="14"/>
                <w:szCs w:val="14"/>
                <w:color w:val="auto"/>
              </w:rPr>
            </w:pPr>
          </w:p>
        </w:tc>
      </w:tr>
      <w:tr>
        <w:trPr>
          <w:trHeight w:val="23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32.1</w:t>
            </w:r>
          </w:p>
        </w:tc>
        <w:tc>
          <w:tcPr>
            <w:tcW w:w="70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18 U.S.C. Section</w:t>
            </w:r>
          </w:p>
        </w:tc>
        <w:tc>
          <w:tcPr>
            <w:tcW w:w="2560" w:type="dxa"/>
            <w:vAlign w:val="bottom"/>
          </w:tcPr>
          <w:p>
            <w:pPr>
              <w:jc w:val="center"/>
              <w:ind w:left="2319"/>
              <w:spacing w:after="0"/>
              <w:rPr>
                <w:sz w:val="20"/>
                <w:szCs w:val="20"/>
                <w:color w:val="auto"/>
              </w:rPr>
            </w:pPr>
            <w:r>
              <w:rPr>
                <w:rFonts w:ascii="Times New Roman" w:cs="Times New Roman" w:eastAsia="Times New Roman" w:hAnsi="Times New Roman"/>
                <w:sz w:val="16"/>
                <w:szCs w:val="16"/>
                <w:color w:val="auto"/>
                <w:w w:val="99"/>
              </w:rPr>
              <w:t>**</w:t>
            </w:r>
          </w:p>
        </w:tc>
      </w:tr>
      <w:tr>
        <w:trPr>
          <w:trHeight w:val="169"/>
        </w:trPr>
        <w:tc>
          <w:tcPr>
            <w:tcW w:w="1100" w:type="dxa"/>
            <w:vAlign w:val="bottom"/>
          </w:tcPr>
          <w:p>
            <w:pPr>
              <w:spacing w:after="0"/>
              <w:rPr>
                <w:sz w:val="14"/>
                <w:szCs w:val="14"/>
                <w:color w:val="auto"/>
              </w:rPr>
            </w:pPr>
          </w:p>
        </w:tc>
        <w:tc>
          <w:tcPr>
            <w:tcW w:w="36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6"/>
                <w:szCs w:val="16"/>
                <w:color w:val="0000FF"/>
                <w:w w:val="94"/>
              </w:rPr>
              <w:t>1350.</w:t>
            </w:r>
          </w:p>
        </w:tc>
        <w:tc>
          <w:tcPr>
            <w:tcW w:w="1000" w:type="dxa"/>
            <w:vAlign w:val="bottom"/>
            <w:tcBorders>
              <w:top w:val="single" w:sz="8" w:color="0000FF"/>
            </w:tcBorders>
          </w:tcPr>
          <w:p>
            <w:pPr>
              <w:spacing w:after="0"/>
              <w:rPr>
                <w:sz w:val="14"/>
                <w:szCs w:val="14"/>
                <w:color w:val="auto"/>
              </w:rPr>
            </w:pPr>
          </w:p>
        </w:tc>
        <w:tc>
          <w:tcPr>
            <w:tcW w:w="23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520" w:type="dxa"/>
            <w:vAlign w:val="bottom"/>
          </w:tcPr>
          <w:p>
            <w:pPr>
              <w:spacing w:after="0"/>
              <w:rPr>
                <w:sz w:val="14"/>
                <w:szCs w:val="14"/>
                <w:color w:val="auto"/>
              </w:rPr>
            </w:pPr>
          </w:p>
        </w:tc>
        <w:tc>
          <w:tcPr>
            <w:tcW w:w="2560" w:type="dxa"/>
            <w:vAlign w:val="bottom"/>
          </w:tcPr>
          <w:p>
            <w:pPr>
              <w:spacing w:after="0"/>
              <w:rPr>
                <w:sz w:val="14"/>
                <w:szCs w:val="14"/>
                <w:color w:val="auto"/>
              </w:rPr>
            </w:pPr>
          </w:p>
        </w:tc>
      </w:tr>
      <w:tr>
        <w:trPr>
          <w:trHeight w:val="237"/>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32.2</w:t>
            </w:r>
          </w:p>
        </w:tc>
        <w:tc>
          <w:tcPr>
            <w:tcW w:w="70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18 U.S.C. Section</w:t>
            </w:r>
          </w:p>
        </w:tc>
        <w:tc>
          <w:tcPr>
            <w:tcW w:w="2560" w:type="dxa"/>
            <w:vAlign w:val="bottom"/>
          </w:tcPr>
          <w:p>
            <w:pPr>
              <w:jc w:val="center"/>
              <w:ind w:left="2319"/>
              <w:spacing w:after="0"/>
              <w:rPr>
                <w:sz w:val="20"/>
                <w:szCs w:val="20"/>
                <w:color w:val="auto"/>
              </w:rPr>
            </w:pPr>
            <w:r>
              <w:rPr>
                <w:rFonts w:ascii="Times New Roman" w:cs="Times New Roman" w:eastAsia="Times New Roman" w:hAnsi="Times New Roman"/>
                <w:sz w:val="16"/>
                <w:szCs w:val="16"/>
                <w:color w:val="auto"/>
                <w:w w:val="99"/>
              </w:rPr>
              <w:t>**</w:t>
            </w:r>
          </w:p>
        </w:tc>
      </w:tr>
      <w:tr>
        <w:trPr>
          <w:trHeight w:val="169"/>
        </w:trPr>
        <w:tc>
          <w:tcPr>
            <w:tcW w:w="1100" w:type="dxa"/>
            <w:vAlign w:val="bottom"/>
          </w:tcPr>
          <w:p>
            <w:pPr>
              <w:spacing w:after="0"/>
              <w:rPr>
                <w:sz w:val="14"/>
                <w:szCs w:val="14"/>
                <w:color w:val="auto"/>
              </w:rPr>
            </w:pPr>
          </w:p>
        </w:tc>
        <w:tc>
          <w:tcPr>
            <w:tcW w:w="36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6"/>
                <w:szCs w:val="16"/>
                <w:color w:val="0000FF"/>
                <w:w w:val="94"/>
              </w:rPr>
              <w:t>1350.</w:t>
            </w:r>
          </w:p>
        </w:tc>
        <w:tc>
          <w:tcPr>
            <w:tcW w:w="1000" w:type="dxa"/>
            <w:vAlign w:val="bottom"/>
            <w:tcBorders>
              <w:top w:val="single" w:sz="8" w:color="0000FF"/>
            </w:tcBorders>
          </w:tcPr>
          <w:p>
            <w:pPr>
              <w:spacing w:after="0"/>
              <w:rPr>
                <w:sz w:val="14"/>
                <w:szCs w:val="14"/>
                <w:color w:val="auto"/>
              </w:rPr>
            </w:pPr>
          </w:p>
        </w:tc>
        <w:tc>
          <w:tcPr>
            <w:tcW w:w="23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560" w:type="dxa"/>
            <w:vAlign w:val="bottom"/>
          </w:tcPr>
          <w:p>
            <w:pPr>
              <w:spacing w:after="0"/>
              <w:rPr>
                <w:sz w:val="14"/>
                <w:szCs w:val="14"/>
                <w:color w:val="auto"/>
              </w:rPr>
            </w:pPr>
          </w:p>
        </w:tc>
      </w:tr>
      <w:tr>
        <w:trPr>
          <w:trHeight w:val="25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708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w:t>
            </w:r>
          </w:p>
        </w:tc>
        <w:tc>
          <w:tcPr>
            <w:tcW w:w="2560" w:type="dxa"/>
            <w:vAlign w:val="bottom"/>
          </w:tcPr>
          <w:p>
            <w:pPr>
              <w:jc w:val="center"/>
              <w:ind w:left="2319"/>
              <w:spacing w:after="0"/>
              <w:rPr>
                <w:sz w:val="20"/>
                <w:szCs w:val="20"/>
                <w:color w:val="auto"/>
              </w:rPr>
            </w:pPr>
            <w:r>
              <w:rPr>
                <w:rFonts w:ascii="Times New Roman" w:cs="Times New Roman" w:eastAsia="Times New Roman" w:hAnsi="Times New Roman"/>
                <w:sz w:val="16"/>
                <w:szCs w:val="16"/>
                <w:color w:val="auto"/>
                <w:w w:val="99"/>
              </w:rPr>
              <w:t>*</w:t>
            </w:r>
          </w:p>
        </w:tc>
      </w:tr>
      <w:tr>
        <w:trPr>
          <w:trHeight w:val="189"/>
        </w:trPr>
        <w:tc>
          <w:tcPr>
            <w:tcW w:w="1100" w:type="dxa"/>
            <w:vAlign w:val="bottom"/>
          </w:tcPr>
          <w:p>
            <w:pPr>
              <w:spacing w:after="0"/>
              <w:rPr>
                <w:sz w:val="16"/>
                <w:szCs w:val="16"/>
                <w:color w:val="auto"/>
              </w:rPr>
            </w:pPr>
          </w:p>
        </w:tc>
        <w:tc>
          <w:tcPr>
            <w:tcW w:w="708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appear in the Interactive Data File because its XBRL tags are embedded</w:t>
            </w:r>
          </w:p>
        </w:tc>
        <w:tc>
          <w:tcPr>
            <w:tcW w:w="2560" w:type="dxa"/>
            <w:vAlign w:val="bottom"/>
          </w:tcPr>
          <w:p>
            <w:pPr>
              <w:spacing w:after="0"/>
              <w:rPr>
                <w:sz w:val="16"/>
                <w:szCs w:val="16"/>
                <w:color w:val="auto"/>
              </w:rPr>
            </w:pPr>
          </w:p>
        </w:tc>
      </w:tr>
      <w:tr>
        <w:trPr>
          <w:trHeight w:val="210"/>
        </w:trPr>
        <w:tc>
          <w:tcPr>
            <w:tcW w:w="1100" w:type="dxa"/>
            <w:vAlign w:val="bottom"/>
          </w:tcPr>
          <w:p>
            <w:pPr>
              <w:spacing w:after="0"/>
              <w:rPr>
                <w:sz w:val="18"/>
                <w:szCs w:val="18"/>
                <w:color w:val="auto"/>
              </w:rPr>
            </w:pPr>
          </w:p>
        </w:tc>
        <w:tc>
          <w:tcPr>
            <w:tcW w:w="708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within the Inline XBRL document</w:t>
            </w:r>
          </w:p>
        </w:tc>
        <w:tc>
          <w:tcPr>
            <w:tcW w:w="2560" w:type="dxa"/>
            <w:vAlign w:val="bottom"/>
          </w:tcPr>
          <w:p>
            <w:pPr>
              <w:spacing w:after="0"/>
              <w:rPr>
                <w:sz w:val="18"/>
                <w:szCs w:val="18"/>
                <w:color w:val="auto"/>
              </w:rPr>
            </w:pPr>
          </w:p>
        </w:tc>
      </w:tr>
      <w:tr>
        <w:trPr>
          <w:trHeight w:val="257"/>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708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2560" w:type="dxa"/>
            <w:vAlign w:val="bottom"/>
          </w:tcPr>
          <w:p>
            <w:pPr>
              <w:jc w:val="center"/>
              <w:ind w:left="2319"/>
              <w:spacing w:after="0"/>
              <w:rPr>
                <w:sz w:val="20"/>
                <w:szCs w:val="20"/>
                <w:color w:val="auto"/>
              </w:rPr>
            </w:pPr>
            <w:r>
              <w:rPr>
                <w:rFonts w:ascii="Times New Roman" w:cs="Times New Roman" w:eastAsia="Times New Roman" w:hAnsi="Times New Roman"/>
                <w:sz w:val="16"/>
                <w:szCs w:val="16"/>
                <w:color w:val="auto"/>
                <w:w w:val="99"/>
              </w:rPr>
              <w:t>*</w:t>
            </w:r>
          </w:p>
        </w:tc>
      </w:tr>
      <w:tr>
        <w:trPr>
          <w:trHeight w:val="222"/>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708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w:t>
            </w:r>
          </w:p>
        </w:tc>
        <w:tc>
          <w:tcPr>
            <w:tcW w:w="2560" w:type="dxa"/>
            <w:vAlign w:val="bottom"/>
          </w:tcPr>
          <w:p>
            <w:pPr>
              <w:jc w:val="center"/>
              <w:ind w:left="2319"/>
              <w:spacing w:after="0"/>
              <w:rPr>
                <w:sz w:val="20"/>
                <w:szCs w:val="20"/>
                <w:color w:val="auto"/>
              </w:rPr>
            </w:pPr>
            <w:r>
              <w:rPr>
                <w:rFonts w:ascii="Times New Roman" w:cs="Times New Roman" w:eastAsia="Times New Roman" w:hAnsi="Times New Roman"/>
                <w:sz w:val="16"/>
                <w:szCs w:val="16"/>
                <w:color w:val="auto"/>
                <w:w w:val="99"/>
              </w:rPr>
              <w:t>*</w:t>
            </w:r>
          </w:p>
        </w:tc>
      </w:tr>
      <w:tr>
        <w:trPr>
          <w:trHeight w:val="210"/>
        </w:trPr>
        <w:tc>
          <w:tcPr>
            <w:tcW w:w="1100" w:type="dxa"/>
            <w:vAlign w:val="bottom"/>
          </w:tcPr>
          <w:p>
            <w:pPr>
              <w:spacing w:after="0"/>
              <w:rPr>
                <w:sz w:val="18"/>
                <w:szCs w:val="18"/>
                <w:color w:val="auto"/>
              </w:rPr>
            </w:pPr>
          </w:p>
        </w:tc>
        <w:tc>
          <w:tcPr>
            <w:tcW w:w="708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contained in Exhibit 101)</w:t>
            </w:r>
          </w:p>
        </w:tc>
        <w:tc>
          <w:tcPr>
            <w:tcW w:w="2560" w:type="dxa"/>
            <w:vAlign w:val="bottom"/>
          </w:tcPr>
          <w:p>
            <w:pPr>
              <w:spacing w:after="0"/>
              <w:rPr>
                <w:sz w:val="18"/>
                <w:szCs w:val="18"/>
                <w:color w:val="auto"/>
              </w:rPr>
            </w:pPr>
          </w:p>
        </w:tc>
      </w:tr>
    </w:tbl>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31" w:lineRule="exact"/>
        <w:rPr>
          <w:sz w:val="20"/>
          <w:szCs w:val="20"/>
          <w:color w:val="auto"/>
        </w:rPr>
      </w:pPr>
    </w:p>
    <w:p>
      <w:pPr>
        <w:jc w:val="both"/>
        <w:ind w:left="180" w:hanging="172"/>
        <w:spacing w:after="0" w:line="254" w:lineRule="auto"/>
        <w:tabs>
          <w:tab w:leader="none" w:pos="192"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7"/>
          <w:szCs w:val="17"/>
          <w:color w:val="auto"/>
        </w:rPr>
        <w:t>Certain confidential portions (indicated by brackets and asterisks) have been omitted from this exhibit pursuant to Item 601(b)(10)(iv) of Regulation S-K because such information is (i) non-material, (ii) is of the type that the registrant customarily and actually treats as private or confidential and (iii) would</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be competitively harmful if publicly disclosed.</w:t>
      </w:r>
    </w:p>
    <w:p>
      <w:pPr>
        <w:spacing w:after="0" w:line="9" w:lineRule="exact"/>
        <w:rPr>
          <w:sz w:val="20"/>
          <w:szCs w:val="20"/>
          <w:color w:val="auto"/>
        </w:rPr>
      </w:pPr>
    </w:p>
    <w:p>
      <w:pPr>
        <w:ind w:left="180" w:right="40" w:hanging="172"/>
        <w:spacing w:after="0" w:line="260" w:lineRule="auto"/>
        <w:tabs>
          <w:tab w:leader="none" w:pos="14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have been omitted pursuant to Item 601(a)(5) of Regulation S-K. The registrant undertakes to provide copies of any of the omitted schedules or exhibits upon request by the Securities and Exchange Commission.</w:t>
      </w:r>
    </w:p>
    <w:p>
      <w:pPr>
        <w:spacing w:after="0" w:line="200" w:lineRule="exact"/>
        <w:rPr>
          <w:sz w:val="20"/>
          <w:szCs w:val="20"/>
          <w:color w:val="auto"/>
        </w:rPr>
      </w:pPr>
    </w:p>
    <w:p>
      <w:pPr>
        <w:spacing w:after="0" w:line="3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46" w:right="3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color w:val="auto"/>
        </w:rPr>
        <w:t>Item 16. Form 10-K Summary.</w:t>
      </w:r>
    </w:p>
    <w:p>
      <w:pPr>
        <w:sectPr>
          <w:pgSz w:w="11900" w:h="16838" w:orient="portrait"/>
          <w:cols w:equalWidth="0" w:num="1">
            <w:col w:w="10139"/>
          </w:cols>
          <w:pgMar w:left="320" w:top="1292" w:right="1440" w:bottom="1440" w:gutter="0" w:footer="0" w:header="0"/>
        </w:sectPr>
      </w:pPr>
    </w:p>
    <w:p>
      <w:pPr>
        <w:spacing w:after="0" w:line="200" w:lineRule="exact"/>
        <w:rPr>
          <w:sz w:val="20"/>
          <w:szCs w:val="20"/>
          <w:color w:val="auto"/>
        </w:rPr>
      </w:pPr>
    </w:p>
    <w:p>
      <w:pPr>
        <w:jc w:val="right"/>
        <w:ind w:right="8559"/>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92" w:right="1440" w:bottom="1440" w:gutter="0" w:footer="0" w:header="0"/>
          <w:type w:val="continuous"/>
        </w:sectPr>
      </w:pPr>
    </w:p>
    <w:bookmarkStart w:id="77" w:name="page78"/>
    <w:bookmarkEnd w:id="77"/>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113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8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229" w:lineRule="exact"/>
        <w:rPr>
          <w:sz w:val="20"/>
          <w:szCs w:val="20"/>
          <w:color w:val="auto"/>
        </w:rPr>
      </w:pPr>
    </w:p>
    <w:p>
      <w:pPr>
        <w:ind w:left="20"/>
        <w:spacing w:after="0"/>
        <w:tabs>
          <w:tab w:leader="none" w:pos="5100" w:val="left"/>
          <w:tab w:leader="none" w:pos="5900" w:val="left"/>
        </w:tabs>
        <w:rPr>
          <w:sz w:val="20"/>
          <w:szCs w:val="20"/>
          <w:color w:val="auto"/>
        </w:rPr>
      </w:pPr>
      <w:r>
        <w:rPr>
          <w:rFonts w:ascii="Times New Roman" w:cs="Times New Roman" w:eastAsia="Times New Roman" w:hAnsi="Times New Roman"/>
          <w:sz w:val="18"/>
          <w:szCs w:val="18"/>
          <w:color w:val="auto"/>
        </w:rPr>
        <w:t>Date: February 24,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Tyler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34290</wp:posOffset>
            </wp:positionV>
            <wp:extent cx="33858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9">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5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Tyler Page</w:t>
      </w:r>
    </w:p>
    <w:p>
      <w:pPr>
        <w:spacing w:after="0" w:line="6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65"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27" w:lineRule="exact"/>
        <w:rPr>
          <w:sz w:val="20"/>
          <w:szCs w:val="20"/>
          <w:color w:val="auto"/>
        </w:rPr>
      </w:pPr>
    </w:p>
    <w:p>
      <w:pPr>
        <w:ind w:left="20"/>
        <w:spacing w:after="0"/>
        <w:tabs>
          <w:tab w:leader="none" w:pos="5100" w:val="left"/>
          <w:tab w:leader="none" w:pos="5900" w:val="left"/>
        </w:tabs>
        <w:rPr>
          <w:sz w:val="20"/>
          <w:szCs w:val="20"/>
          <w:color w:val="auto"/>
        </w:rPr>
      </w:pPr>
      <w:r>
        <w:rPr>
          <w:rFonts w:ascii="Times New Roman" w:cs="Times New Roman" w:eastAsia="Times New Roman" w:hAnsi="Times New Roman"/>
          <w:sz w:val="18"/>
          <w:szCs w:val="18"/>
          <w:color w:val="auto"/>
        </w:rPr>
        <w:t>Date: February 24,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Gregory Mumford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34290</wp:posOffset>
            </wp:positionV>
            <wp:extent cx="33858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0">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5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Gregory Mumford</w:t>
      </w:r>
    </w:p>
    <w:p>
      <w:pPr>
        <w:spacing w:after="0" w:line="6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65"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92" w:right="399" w:bottom="1440" w:gutter="0" w:footer="0" w:header="0"/>
        </w:sectPr>
      </w:pPr>
    </w:p>
    <w:bookmarkStart w:id="78" w:name="page79"/>
    <w:bookmarkEnd w:id="78"/>
    <w:p>
      <w:pPr>
        <w:ind w:left="4280"/>
        <w:spacing w:after="0"/>
        <w:rPr>
          <w:sz w:val="20"/>
          <w:szCs w:val="20"/>
          <w:color w:val="auto"/>
        </w:rPr>
      </w:pPr>
      <w:r>
        <w:rPr>
          <w:rFonts w:ascii="Times New Roman" w:cs="Times New Roman" w:eastAsia="Times New Roman" w:hAnsi="Times New Roman"/>
          <w:sz w:val="18"/>
          <w:szCs w:val="18"/>
          <w:b w:val="1"/>
          <w:bCs w:val="1"/>
          <w:color w:val="auto"/>
        </w:rPr>
        <w:t>SIGNATURES AND POWER OF ATTORNEY</w:t>
      </w:r>
    </w:p>
    <w:p>
      <w:pPr>
        <w:spacing w:after="0" w:line="189" w:lineRule="exact"/>
        <w:rPr>
          <w:sz w:val="20"/>
          <w:szCs w:val="20"/>
          <w:color w:val="auto"/>
        </w:rPr>
      </w:pPr>
    </w:p>
    <w:p>
      <w:pPr>
        <w:ind w:firstLine="1134"/>
        <w:spacing w:after="0" w:line="255" w:lineRule="auto"/>
        <w:rPr>
          <w:sz w:val="20"/>
          <w:szCs w:val="20"/>
          <w:color w:val="auto"/>
        </w:rPr>
      </w:pPr>
      <w:r>
        <w:rPr>
          <w:rFonts w:ascii="Times New Roman" w:cs="Times New Roman" w:eastAsia="Times New Roman" w:hAnsi="Times New Roman"/>
          <w:sz w:val="18"/>
          <w:szCs w:val="18"/>
          <w:color w:val="auto"/>
        </w:rPr>
        <w:t>KNOW ALL BY THESE PRESENTS, that each person whose signature appears below hereby constitutes and appoints Tyler Page, Gregory Mumford and William Iwaschuk, and each of them, his or her true and lawful agent, proxy and attorney-in-fact, with full power of substitution and resubstitution, for him or her and in his or her name, place and stead, in any and all capacities, to sign any or all amendments to this Annual Report on Form 10-K and to file the same, with all exhibits thereto, and other documents in connection therewith, with the Securities and Exchange Commission, authorizing said persons and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said attorneys-in-fact and agents, or his substitute or substitutes, may lawfully do or cause to be done by virtue thereof.</w:t>
      </w:r>
    </w:p>
    <w:p>
      <w:pPr>
        <w:spacing w:after="0" w:line="148" w:lineRule="exact"/>
        <w:rPr>
          <w:sz w:val="20"/>
          <w:szCs w:val="20"/>
          <w:color w:val="auto"/>
        </w:rPr>
      </w:pPr>
    </w:p>
    <w:p>
      <w:pPr>
        <w:ind w:right="440" w:firstLine="113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ind w:left="126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80" w:type="dxa"/>
            <w:vAlign w:val="bottom"/>
          </w:tcPr>
          <w:p>
            <w:pPr>
              <w:spacing w:after="0"/>
              <w:rPr>
                <w:sz w:val="20"/>
                <w:szCs w:val="20"/>
                <w:color w:val="auto"/>
              </w:rPr>
            </w:pPr>
          </w:p>
        </w:tc>
        <w:tc>
          <w:tcPr>
            <w:tcW w:w="5280" w:type="dxa"/>
            <w:vAlign w:val="bottom"/>
            <w:gridSpan w:val="2"/>
          </w:tcPr>
          <w:p>
            <w:pPr>
              <w:ind w:left="24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60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0" w:type="dxa"/>
            <w:vAlign w:val="bottom"/>
          </w:tcPr>
          <w:p>
            <w:pPr>
              <w:spacing w:after="0"/>
              <w:rPr>
                <w:sz w:val="1"/>
                <w:szCs w:val="1"/>
                <w:color w:val="auto"/>
              </w:rPr>
            </w:pPr>
          </w:p>
        </w:tc>
      </w:tr>
      <w:tr>
        <w:trPr>
          <w:trHeight w:val="27"/>
        </w:trPr>
        <w:tc>
          <w:tcPr>
            <w:tcW w:w="3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Tyler Page</w:t>
            </w:r>
          </w:p>
        </w:tc>
        <w:tc>
          <w:tcPr>
            <w:tcW w:w="80" w:type="dxa"/>
            <w:vAlign w:val="bottom"/>
          </w:tcPr>
          <w:p>
            <w:pPr>
              <w:spacing w:after="0"/>
              <w:rPr>
                <w:sz w:val="24"/>
                <w:szCs w:val="24"/>
                <w:color w:val="auto"/>
              </w:rPr>
            </w:pPr>
          </w:p>
        </w:tc>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 Chief Executive Officer</w:t>
            </w:r>
          </w:p>
        </w:tc>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24, 2026</w:t>
            </w:r>
          </w:p>
        </w:tc>
        <w:tc>
          <w:tcPr>
            <w:tcW w:w="0" w:type="dxa"/>
            <w:vAlign w:val="bottom"/>
          </w:tcPr>
          <w:p>
            <w:pPr>
              <w:spacing w:after="0"/>
              <w:rPr>
                <w:sz w:val="1"/>
                <w:szCs w:val="1"/>
                <w:color w:val="auto"/>
              </w:rPr>
            </w:pPr>
          </w:p>
        </w:tc>
      </w:tr>
      <w:tr>
        <w:trPr>
          <w:trHeight w:val="27"/>
        </w:trPr>
        <w:tc>
          <w:tcPr>
            <w:tcW w:w="3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2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Tyler Page</w:t>
            </w:r>
          </w:p>
        </w:tc>
        <w:tc>
          <w:tcPr>
            <w:tcW w:w="80" w:type="dxa"/>
            <w:vAlign w:val="bottom"/>
          </w:tcPr>
          <w:p>
            <w:pPr>
              <w:spacing w:after="0"/>
              <w:rPr>
                <w:sz w:val="20"/>
                <w:szCs w:val="20"/>
                <w:color w:val="auto"/>
              </w:rPr>
            </w:pPr>
          </w:p>
        </w:tc>
        <w:tc>
          <w:tcPr>
            <w:tcW w:w="5280" w:type="dxa"/>
            <w:vAlign w:val="bottom"/>
            <w:gridSpan w:val="2"/>
            <w:vMerge w:val="continue"/>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Gregory Mumford</w:t>
            </w:r>
          </w:p>
        </w:tc>
        <w:tc>
          <w:tcPr>
            <w:tcW w:w="80" w:type="dxa"/>
            <w:vAlign w:val="bottom"/>
          </w:tcPr>
          <w:p>
            <w:pPr>
              <w:spacing w:after="0"/>
              <w:rPr>
                <w:sz w:val="24"/>
                <w:szCs w:val="24"/>
                <w:color w:val="auto"/>
              </w:rPr>
            </w:pPr>
          </w:p>
        </w:tc>
        <w:tc>
          <w:tcPr>
            <w:tcW w:w="5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24, 2026</w:t>
            </w:r>
          </w:p>
        </w:tc>
        <w:tc>
          <w:tcPr>
            <w:tcW w:w="0" w:type="dxa"/>
            <w:vAlign w:val="bottom"/>
          </w:tcPr>
          <w:p>
            <w:pPr>
              <w:spacing w:after="0"/>
              <w:rPr>
                <w:sz w:val="1"/>
                <w:szCs w:val="1"/>
                <w:color w:val="auto"/>
              </w:rPr>
            </w:pPr>
          </w:p>
        </w:tc>
      </w:tr>
      <w:tr>
        <w:trPr>
          <w:trHeight w:val="27"/>
        </w:trPr>
        <w:tc>
          <w:tcPr>
            <w:tcW w:w="3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2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Gregory Mumford</w:t>
            </w:r>
          </w:p>
        </w:tc>
        <w:tc>
          <w:tcPr>
            <w:tcW w:w="80" w:type="dxa"/>
            <w:vAlign w:val="bottom"/>
          </w:tcPr>
          <w:p>
            <w:pPr>
              <w:spacing w:after="0"/>
              <w:rPr>
                <w:sz w:val="20"/>
                <w:szCs w:val="20"/>
                <w:color w:val="auto"/>
              </w:rPr>
            </w:pPr>
          </w:p>
        </w:tc>
        <w:tc>
          <w:tcPr>
            <w:tcW w:w="5280" w:type="dxa"/>
            <w:vAlign w:val="bottom"/>
            <w:gridSpan w:val="2"/>
            <w:vMerge w:val="continue"/>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James Newsome</w:t>
            </w:r>
          </w:p>
        </w:tc>
        <w:tc>
          <w:tcPr>
            <w:tcW w:w="80" w:type="dxa"/>
            <w:vAlign w:val="bottom"/>
          </w:tcPr>
          <w:p>
            <w:pPr>
              <w:spacing w:after="0"/>
              <w:rPr>
                <w:sz w:val="24"/>
                <w:szCs w:val="24"/>
                <w:color w:val="auto"/>
              </w:rPr>
            </w:pPr>
          </w:p>
        </w:tc>
        <w:tc>
          <w:tcPr>
            <w:tcW w:w="5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Chairman of the Board</w:t>
            </w:r>
          </w:p>
        </w:tc>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24, 2026</w:t>
            </w:r>
          </w:p>
        </w:tc>
        <w:tc>
          <w:tcPr>
            <w:tcW w:w="0" w:type="dxa"/>
            <w:vAlign w:val="bottom"/>
          </w:tcPr>
          <w:p>
            <w:pPr>
              <w:spacing w:after="0"/>
              <w:rPr>
                <w:sz w:val="1"/>
                <w:szCs w:val="1"/>
                <w:color w:val="auto"/>
              </w:rPr>
            </w:pPr>
          </w:p>
        </w:tc>
      </w:tr>
      <w:tr>
        <w:trPr>
          <w:trHeight w:val="27"/>
        </w:trPr>
        <w:tc>
          <w:tcPr>
            <w:tcW w:w="3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Newsome</w:t>
            </w:r>
          </w:p>
        </w:tc>
        <w:tc>
          <w:tcPr>
            <w:tcW w:w="8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Thomas Duda</w:t>
            </w:r>
          </w:p>
        </w:tc>
        <w:tc>
          <w:tcPr>
            <w:tcW w:w="80" w:type="dxa"/>
            <w:vAlign w:val="bottom"/>
          </w:tcPr>
          <w:p>
            <w:pPr>
              <w:spacing w:after="0"/>
              <w:rPr>
                <w:sz w:val="24"/>
                <w:szCs w:val="24"/>
                <w:color w:val="auto"/>
              </w:rPr>
            </w:pPr>
          </w:p>
        </w:tc>
        <w:tc>
          <w:tcPr>
            <w:tcW w:w="5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24, 2026</w:t>
            </w:r>
          </w:p>
        </w:tc>
        <w:tc>
          <w:tcPr>
            <w:tcW w:w="0" w:type="dxa"/>
            <w:vAlign w:val="bottom"/>
          </w:tcPr>
          <w:p>
            <w:pPr>
              <w:spacing w:after="0"/>
              <w:rPr>
                <w:sz w:val="1"/>
                <w:szCs w:val="1"/>
                <w:color w:val="auto"/>
              </w:rPr>
            </w:pPr>
          </w:p>
        </w:tc>
      </w:tr>
      <w:tr>
        <w:trPr>
          <w:trHeight w:val="27"/>
        </w:trPr>
        <w:tc>
          <w:tcPr>
            <w:tcW w:w="3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Duda</w:t>
            </w:r>
          </w:p>
        </w:tc>
        <w:tc>
          <w:tcPr>
            <w:tcW w:w="8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Holly Morrow Evans</w:t>
            </w:r>
          </w:p>
        </w:tc>
        <w:tc>
          <w:tcPr>
            <w:tcW w:w="80" w:type="dxa"/>
            <w:vAlign w:val="bottom"/>
          </w:tcPr>
          <w:p>
            <w:pPr>
              <w:spacing w:after="0"/>
              <w:rPr>
                <w:sz w:val="24"/>
                <w:szCs w:val="24"/>
                <w:color w:val="auto"/>
              </w:rPr>
            </w:pPr>
          </w:p>
        </w:tc>
        <w:tc>
          <w:tcPr>
            <w:tcW w:w="5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24, 2026</w:t>
            </w:r>
          </w:p>
        </w:tc>
        <w:tc>
          <w:tcPr>
            <w:tcW w:w="0" w:type="dxa"/>
            <w:vAlign w:val="bottom"/>
          </w:tcPr>
          <w:p>
            <w:pPr>
              <w:spacing w:after="0"/>
              <w:rPr>
                <w:sz w:val="1"/>
                <w:szCs w:val="1"/>
                <w:color w:val="auto"/>
              </w:rPr>
            </w:pPr>
          </w:p>
        </w:tc>
      </w:tr>
      <w:tr>
        <w:trPr>
          <w:trHeight w:val="27"/>
        </w:trPr>
        <w:tc>
          <w:tcPr>
            <w:tcW w:w="3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Holly Morrow Evans</w:t>
            </w:r>
          </w:p>
        </w:tc>
        <w:tc>
          <w:tcPr>
            <w:tcW w:w="8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Robert Flatley</w:t>
            </w:r>
          </w:p>
        </w:tc>
        <w:tc>
          <w:tcPr>
            <w:tcW w:w="80" w:type="dxa"/>
            <w:vAlign w:val="bottom"/>
          </w:tcPr>
          <w:p>
            <w:pPr>
              <w:spacing w:after="0"/>
              <w:rPr>
                <w:sz w:val="24"/>
                <w:szCs w:val="24"/>
                <w:color w:val="auto"/>
              </w:rPr>
            </w:pPr>
          </w:p>
        </w:tc>
        <w:tc>
          <w:tcPr>
            <w:tcW w:w="5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24, 2026</w:t>
            </w:r>
          </w:p>
        </w:tc>
        <w:tc>
          <w:tcPr>
            <w:tcW w:w="0" w:type="dxa"/>
            <w:vAlign w:val="bottom"/>
          </w:tcPr>
          <w:p>
            <w:pPr>
              <w:spacing w:after="0"/>
              <w:rPr>
                <w:sz w:val="1"/>
                <w:szCs w:val="1"/>
                <w:color w:val="auto"/>
              </w:rPr>
            </w:pPr>
          </w:p>
        </w:tc>
      </w:tr>
      <w:tr>
        <w:trPr>
          <w:trHeight w:val="27"/>
        </w:trPr>
        <w:tc>
          <w:tcPr>
            <w:tcW w:w="3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Flatley</w:t>
            </w:r>
          </w:p>
        </w:tc>
        <w:tc>
          <w:tcPr>
            <w:tcW w:w="8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Cary Grossman</w:t>
            </w:r>
          </w:p>
        </w:tc>
        <w:tc>
          <w:tcPr>
            <w:tcW w:w="80" w:type="dxa"/>
            <w:vAlign w:val="bottom"/>
          </w:tcPr>
          <w:p>
            <w:pPr>
              <w:spacing w:after="0"/>
              <w:rPr>
                <w:sz w:val="24"/>
                <w:szCs w:val="24"/>
                <w:color w:val="auto"/>
              </w:rPr>
            </w:pPr>
          </w:p>
        </w:tc>
        <w:tc>
          <w:tcPr>
            <w:tcW w:w="5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24, 2026</w:t>
            </w:r>
          </w:p>
        </w:tc>
        <w:tc>
          <w:tcPr>
            <w:tcW w:w="0" w:type="dxa"/>
            <w:vAlign w:val="bottom"/>
          </w:tcPr>
          <w:p>
            <w:pPr>
              <w:spacing w:after="0"/>
              <w:rPr>
                <w:sz w:val="1"/>
                <w:szCs w:val="1"/>
                <w:color w:val="auto"/>
              </w:rPr>
            </w:pPr>
          </w:p>
        </w:tc>
      </w:tr>
      <w:tr>
        <w:trPr>
          <w:trHeight w:val="27"/>
        </w:trPr>
        <w:tc>
          <w:tcPr>
            <w:tcW w:w="3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Cary Grossman</w:t>
            </w:r>
          </w:p>
        </w:tc>
        <w:tc>
          <w:tcPr>
            <w:tcW w:w="8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Caitlin Long</w:t>
            </w:r>
          </w:p>
        </w:tc>
        <w:tc>
          <w:tcPr>
            <w:tcW w:w="80" w:type="dxa"/>
            <w:vAlign w:val="bottom"/>
          </w:tcPr>
          <w:p>
            <w:pPr>
              <w:spacing w:after="0"/>
              <w:rPr>
                <w:sz w:val="24"/>
                <w:szCs w:val="24"/>
                <w:color w:val="auto"/>
              </w:rPr>
            </w:pPr>
          </w:p>
        </w:tc>
        <w:tc>
          <w:tcPr>
            <w:tcW w:w="5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24, 2026</w:t>
            </w:r>
          </w:p>
        </w:tc>
        <w:tc>
          <w:tcPr>
            <w:tcW w:w="0" w:type="dxa"/>
            <w:vAlign w:val="bottom"/>
          </w:tcPr>
          <w:p>
            <w:pPr>
              <w:spacing w:after="0"/>
              <w:rPr>
                <w:sz w:val="1"/>
                <w:szCs w:val="1"/>
                <w:color w:val="auto"/>
              </w:rPr>
            </w:pPr>
          </w:p>
        </w:tc>
      </w:tr>
      <w:tr>
        <w:trPr>
          <w:trHeight w:val="27"/>
        </w:trPr>
        <w:tc>
          <w:tcPr>
            <w:tcW w:w="3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Caitlin Long</w:t>
            </w:r>
          </w:p>
        </w:tc>
        <w:tc>
          <w:tcPr>
            <w:tcW w:w="8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Wesley Williams</w:t>
            </w:r>
          </w:p>
        </w:tc>
        <w:tc>
          <w:tcPr>
            <w:tcW w:w="80" w:type="dxa"/>
            <w:vAlign w:val="bottom"/>
          </w:tcPr>
          <w:p>
            <w:pPr>
              <w:spacing w:after="0"/>
              <w:rPr>
                <w:sz w:val="24"/>
                <w:szCs w:val="24"/>
                <w:color w:val="auto"/>
              </w:rPr>
            </w:pPr>
          </w:p>
        </w:tc>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24, 2026</w:t>
            </w:r>
          </w:p>
        </w:tc>
        <w:tc>
          <w:tcPr>
            <w:tcW w:w="0" w:type="dxa"/>
            <w:vAlign w:val="bottom"/>
          </w:tcPr>
          <w:p>
            <w:pPr>
              <w:spacing w:after="0"/>
              <w:rPr>
                <w:sz w:val="1"/>
                <w:szCs w:val="1"/>
                <w:color w:val="auto"/>
              </w:rPr>
            </w:pPr>
          </w:p>
        </w:tc>
      </w:tr>
      <w:tr>
        <w:trPr>
          <w:trHeight w:val="27"/>
        </w:trPr>
        <w:tc>
          <w:tcPr>
            <w:tcW w:w="3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Wesley Williams</w:t>
            </w:r>
          </w:p>
        </w:tc>
        <w:tc>
          <w:tcPr>
            <w:tcW w:w="8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0"/>
        </w:trPr>
        <w:tc>
          <w:tcPr>
            <w:tcW w:w="3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320" w:type="dxa"/>
            <w:vAlign w:val="bottom"/>
            <w:gridSpan w:val="3"/>
          </w:tcPr>
          <w:p>
            <w:pPr>
              <w:jc w:val="center"/>
              <w:ind w:right="144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740" w:type="dxa"/>
            <w:vAlign w:val="bottom"/>
          </w:tcPr>
          <w:p>
            <w:pPr>
              <w:spacing w:after="0"/>
              <w:rPr>
                <w:sz w:val="20"/>
                <w:szCs w:val="20"/>
                <w:color w:val="auto"/>
              </w:rPr>
            </w:pPr>
          </w:p>
        </w:tc>
      </w:tr>
      <w:tr>
        <w:trPr>
          <w:trHeight w:val="405"/>
        </w:trPr>
        <w:tc>
          <w:tcPr>
            <w:tcW w:w="20" w:type="dxa"/>
            <w:vAlign w:val="bottom"/>
          </w:tcPr>
          <w:p>
            <w:pPr>
              <w:spacing w:after="0"/>
              <w:rPr>
                <w:sz w:val="24"/>
                <w:szCs w:val="24"/>
                <w:color w:val="auto"/>
              </w:rPr>
            </w:pPr>
          </w:p>
        </w:tc>
        <w:tc>
          <w:tcPr>
            <w:tcW w:w="2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7380" w:type="dxa"/>
            <w:vAlign w:val="bottom"/>
            <w:gridSpan w:val="6"/>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F-8</w:t>
            </w:r>
          </w:p>
        </w:tc>
      </w:tr>
      <w:tr>
        <w:trPr>
          <w:trHeight w:val="250"/>
        </w:trPr>
        <w:tc>
          <w:tcPr>
            <w:tcW w:w="20" w:type="dxa"/>
            <w:vAlign w:val="bottom"/>
          </w:tcPr>
          <w:p>
            <w:pPr>
              <w:spacing w:after="0"/>
              <w:rPr>
                <w:sz w:val="21"/>
                <w:szCs w:val="21"/>
                <w:color w:val="auto"/>
              </w:rPr>
            </w:pPr>
          </w:p>
        </w:tc>
        <w:tc>
          <w:tcPr>
            <w:tcW w:w="28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6660" w:type="dxa"/>
            <w:vAlign w:val="bottom"/>
            <w:gridSpan w:val="5"/>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F-10</w:t>
            </w:r>
          </w:p>
        </w:tc>
      </w:tr>
      <w:tr>
        <w:trPr>
          <w:trHeight w:val="250"/>
        </w:trPr>
        <w:tc>
          <w:tcPr>
            <w:tcW w:w="20" w:type="dxa"/>
            <w:vAlign w:val="bottom"/>
          </w:tcPr>
          <w:p>
            <w:pPr>
              <w:spacing w:after="0"/>
              <w:rPr>
                <w:sz w:val="21"/>
                <w:szCs w:val="21"/>
                <w:color w:val="auto"/>
              </w:rPr>
            </w:pPr>
          </w:p>
        </w:tc>
        <w:tc>
          <w:tcPr>
            <w:tcW w:w="94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Changes in Redeemable Noncontrolling Interest, and Stockholders’ Equity (Deficit)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F-11</w:t>
            </w:r>
          </w:p>
        </w:tc>
      </w:tr>
      <w:tr>
        <w:trPr>
          <w:trHeight w:val="250"/>
        </w:trPr>
        <w:tc>
          <w:tcPr>
            <w:tcW w:w="20" w:type="dxa"/>
            <w:vAlign w:val="bottom"/>
          </w:tcPr>
          <w:p>
            <w:pPr>
              <w:spacing w:after="0"/>
              <w:rPr>
                <w:sz w:val="21"/>
                <w:szCs w:val="21"/>
                <w:color w:val="auto"/>
              </w:rPr>
            </w:pPr>
          </w:p>
        </w:tc>
        <w:tc>
          <w:tcPr>
            <w:tcW w:w="28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5200" w:type="dxa"/>
            <w:vAlign w:val="bottom"/>
            <w:tcBorders>
              <w:top w:val="single" w:sz="8" w:color="0000FF"/>
            </w:tcBorders>
            <w:gridSpan w:val="3"/>
          </w:tcPr>
          <w:p>
            <w:pPr>
              <w:spacing w:after="0"/>
              <w:rPr>
                <w:sz w:val="21"/>
                <w:szCs w:val="21"/>
                <w:color w:val="auto"/>
              </w:rPr>
            </w:pPr>
          </w:p>
        </w:tc>
        <w:tc>
          <w:tcPr>
            <w:tcW w:w="14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F-13</w:t>
            </w:r>
          </w:p>
        </w:tc>
      </w:tr>
      <w:tr>
        <w:trPr>
          <w:trHeight w:val="250"/>
        </w:trPr>
        <w:tc>
          <w:tcPr>
            <w:tcW w:w="20" w:type="dxa"/>
            <w:vAlign w:val="bottom"/>
          </w:tcPr>
          <w:p>
            <w:pPr>
              <w:spacing w:after="0"/>
              <w:rPr>
                <w:sz w:val="21"/>
                <w:szCs w:val="21"/>
                <w:color w:val="auto"/>
              </w:rPr>
            </w:pPr>
          </w:p>
        </w:tc>
        <w:tc>
          <w:tcPr>
            <w:tcW w:w="31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6320" w:type="dxa"/>
            <w:vAlign w:val="bottom"/>
            <w:gridSpan w:val="3"/>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F-16</w:t>
            </w:r>
          </w:p>
        </w:tc>
      </w:tr>
      <w:tr>
        <w:trPr>
          <w:trHeight w:val="250"/>
        </w:trPr>
        <w:tc>
          <w:tcPr>
            <w:tcW w:w="20" w:type="dxa"/>
            <w:vAlign w:val="bottom"/>
          </w:tcPr>
          <w:p>
            <w:pPr>
              <w:spacing w:after="0"/>
              <w:rPr>
                <w:sz w:val="21"/>
                <w:szCs w:val="21"/>
                <w:color w:val="auto"/>
              </w:rPr>
            </w:pPr>
          </w:p>
        </w:tc>
        <w:tc>
          <w:tcPr>
            <w:tcW w:w="94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Schedule I - Condensed Financial Information of the Registrant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F-49</w:t>
            </w:r>
          </w:p>
        </w:tc>
      </w:tr>
      <w:tr>
        <w:trPr>
          <w:trHeight w:val="952"/>
        </w:trPr>
        <w:tc>
          <w:tcPr>
            <w:tcW w:w="20" w:type="dxa"/>
            <w:vAlign w:val="bottom"/>
          </w:tcPr>
          <w:p>
            <w:pPr>
              <w:spacing w:after="0"/>
              <w:rPr>
                <w:sz w:val="24"/>
                <w:szCs w:val="24"/>
                <w:color w:val="auto"/>
              </w:rPr>
            </w:pPr>
          </w:p>
        </w:tc>
        <w:tc>
          <w:tcPr>
            <w:tcW w:w="4580" w:type="dxa"/>
            <w:vAlign w:val="bottom"/>
            <w:tcBorders>
              <w:top w:val="single" w:sz="8" w:color="0000FF"/>
            </w:tcBorders>
            <w:gridSpan w:val="5"/>
          </w:tcPr>
          <w:p>
            <w:pPr>
              <w:spacing w:after="0"/>
              <w:rPr>
                <w:sz w:val="24"/>
                <w:szCs w:val="24"/>
                <w:color w:val="auto"/>
              </w:rPr>
            </w:pPr>
          </w:p>
        </w:tc>
        <w:tc>
          <w:tcPr>
            <w:tcW w:w="3500" w:type="dxa"/>
            <w:vAlign w:val="bottom"/>
          </w:tcPr>
          <w:p>
            <w:pPr>
              <w:jc w:val="right"/>
              <w:ind w:right="2350"/>
              <w:spacing w:after="0"/>
              <w:rPr>
                <w:sz w:val="20"/>
                <w:szCs w:val="20"/>
                <w:color w:val="auto"/>
              </w:rPr>
            </w:pPr>
            <w:r>
              <w:rPr>
                <w:rFonts w:ascii="Times New Roman" w:cs="Times New Roman" w:eastAsia="Times New Roman" w:hAnsi="Times New Roman"/>
                <w:sz w:val="18"/>
                <w:szCs w:val="18"/>
                <w:color w:val="auto"/>
              </w:rPr>
              <w:t>4</w:t>
            </w:r>
          </w:p>
        </w:tc>
        <w:tc>
          <w:tcPr>
            <w:tcW w:w="14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80" w:name="page81"/>
    <w:bookmarkEnd w:id="80"/>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Cipher Digital Inc.</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Cipher Digital Inc. (the “Company”) as of December 31, 2025, the related consolidated statements of operations, changes in redeemable noncontrolling interest and stockholders’ equity (deficit), and cash flows for the year ended December 31, 2025, and the related notes and Schedule I listed in the Index at Item 15 (collectively referred to as the “financial statements”).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opinion, based on our audit, the financial statements present fairly, in all material respects, the financial position of the Company as of December 31, 2025, and the results of its operations and its cash flows for the year ended December 31, 2025, in conformity with accounting principles generally accepted in the United States of America.</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2025, based on the criteria established in Internal Control - Integrated Framework issued by the Committee of Sponsoring Organizations of the Treadway Commission (COSO) in 2013 and our report dated February 24, 2026, expressed an unqualified opinion on the effectiveness of the Company’s internal control over financial reporting.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Description of the Matter:</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more fully in Note 2 in the financial statements, the Company enters into bitcoin mining pools by executing a contract, as amended from time to time, with a mining pool operator to provide computing power to the mining pool. Providing computing power to a mining pool operator for the purpose of cryptocurrency transaction verification is an output of the Company’s ordinary activities.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principal consideration for our determination that performing procedures related to revenue recognition is a critical audit matter is due to the nature and extent of audit effort required to perform audit procedures over the completeness and occurrence of revenue recognized.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81" w:name="page82"/>
    <w:bookmarkEnd w:id="81"/>
    <w:p>
      <w:pPr>
        <w:spacing w:after="0" w:line="282" w:lineRule="auto"/>
        <w:rPr>
          <w:sz w:val="20"/>
          <w:szCs w:val="20"/>
          <w:color w:val="auto"/>
        </w:rPr>
      </w:pPr>
      <w:r>
        <w:rPr>
          <w:rFonts w:ascii="Times New Roman" w:cs="Times New Roman" w:eastAsia="Times New Roman" w:hAnsi="Times New Roman"/>
          <w:sz w:val="18"/>
          <w:szCs w:val="18"/>
          <w:color w:val="auto"/>
        </w:rPr>
        <w:t>Addressing this matter involved performing procedures and evaluating audit evidence in connection with forming our overall opinion on the financial statements. These procedures included, among others:</w:t>
      </w:r>
    </w:p>
    <w:p>
      <w:pPr>
        <w:spacing w:after="0" w:line="135"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site visits at the Company’s mining facilities to perform observations of the physical controls and mining equipment inventory</w:t>
      </w:r>
    </w:p>
    <w:p>
      <w:pPr>
        <w:spacing w:after="0" w:line="184"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independently traced certain financial and performance data directly to the blockchain network to test the occurrence and accuracy of mining revenue as a participant in the mining pools</w:t>
      </w:r>
    </w:p>
    <w:p>
      <w:pPr>
        <w:spacing w:after="0" w:line="12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independently confirmed with the third-party mining pool operator the significant contractual terms utilized in the determination of mining revenue, total mining rewards earned, and the digital asset wallet addresses in which the rewards are deposited to test the occurrence and accuracy of mining revenue as the participant</w:t>
      </w:r>
    </w:p>
    <w:p>
      <w:pPr>
        <w:spacing w:after="0" w:line="14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analytical procedures over the completeness, occurrence and accuracy of revenue recognized by the Company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confirmed the year-end digital asset balances directly with the custodians of the Company’s wallets</w:t>
      </w:r>
    </w:p>
    <w:p>
      <w:pPr>
        <w:spacing w:after="0" w:line="1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Derivative accounting for a) the conversion feature embedded in the 2031 Convertible Notes, and b) the Capped Calls related to the 2031 Convertible Notes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Description of the Matter:</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described more fully in Note 16 in the financial statements, the Company issued the 2031 Convertible Notes on September 30, 2025. The 2031 Convertible Notes contained embedded derivatives requiring bifurcation at issuance stemming from the lack of authorized and unissued shares of common stock available to settle the 2031 Convertible Notes. Concurrent with the issuance of 2031 Convertible Notes, the Company entered into capped call transactions that were initially reported at fair value on the Company’s consolidated balance sheet also due to the lack of sufficient authorized and unissued shares of common stock.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Given the complexity involved in the accounting and reporting of these derivatives, auditing this account required significant auditor judgment.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How we Addressed the Matter in our Audit:</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Addressing this matter involved performing procedures and evaluating audit evidence in connection with forming our overall opinion on the financial statements. These procedures included, among others:</w:t>
      </w:r>
    </w:p>
    <w:p>
      <w:pPr>
        <w:spacing w:after="0" w:line="141"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involved subject matter professionals to supplement the engagement team in evaluating the Company’s accounting for these transactions</w:t>
      </w:r>
    </w:p>
    <w:p>
      <w:pPr>
        <w:spacing w:after="0" w:line="184"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valuation specialists, we evaluated the appropriateness of the valuation methodologies and models used by management. This included testing the completeness, accuracy, and relevance of the market data inputs and evaluating the significant assumptions for reasonableness</w:t>
      </w:r>
    </w:p>
    <w:p>
      <w:pPr>
        <w:spacing w:after="0" w:line="148"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an independent revaluation of the embedded derivative and capped calls using our own valuation models, based on independently obtained market data</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adequacy of the Company’s disclosures related to these transactions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CBIZ CPAs P.C.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CBIZ CPAs P.C.</w:t>
      </w:r>
    </w:p>
    <w:p>
      <w:pPr>
        <w:spacing w:after="0" w:line="25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have served as the Company’s auditor since 2021 (such date takes into account the acquisition of the attest business of Marcum LLP by CBIZ CPAs P.C. effective November 1,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2026</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82" w:name="page83"/>
    <w:bookmarkEnd w:id="82"/>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Cipher Digital Inc.</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Cipher Digital Inc. (formerly known as Cipher Mining Inc.) (the “Company”) as of December 31, 2024, the related consolidated statements of operations, changes in redeemable noncontrolling interest and stockholders’ equity (deficit) and cash flows for the years ended December 31, 2024 and 2023, and the related notes and Schedule I listed in the Index at Item 15 (collectively referred to as the “financial statements”). In our opinion, based on our audits, the financial statements present fairly, in all material respects, the financial position of the Company as of December 31, 2024, and the results of its operations and its cash flows for the years ended December 31, 2024 and 2023, in conformity with accounting principles generally accepted in the United States of America.</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served as the Company’s auditor from 2021 to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2025, except for Schedule I listed in the Index at Item 15, as to which the date is February 24, 2026.</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share and per share amounts)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80" w:type="dxa"/>
            <w:vAlign w:val="bottom"/>
          </w:tcPr>
          <w:p>
            <w:pPr>
              <w:spacing w:after="0"/>
              <w:rPr>
                <w:sz w:val="19"/>
                <w:szCs w:val="19"/>
                <w:color w:val="auto"/>
              </w:rPr>
            </w:pPr>
          </w:p>
        </w:tc>
        <w:tc>
          <w:tcPr>
            <w:tcW w:w="16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29"/>
        </w:trPr>
        <w:tc>
          <w:tcPr>
            <w:tcW w:w="7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r>
      <w:tr>
        <w:trPr>
          <w:trHeight w:val="23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53"/>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628,263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5,585</w:t>
            </w:r>
          </w:p>
        </w:tc>
      </w:tr>
      <w:tr>
        <w:trPr>
          <w:trHeight w:val="233"/>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Restricted cash, current</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1,761,292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receivable</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w:t>
            </w:r>
          </w:p>
        </w:tc>
      </w:tr>
      <w:tr>
        <w:trPr>
          <w:trHeight w:val="233"/>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Receivables, related party</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2,090</w:t>
            </w:r>
          </w:p>
        </w:tc>
      </w:tr>
      <w:tr>
        <w:trPr>
          <w:trHeight w:val="253"/>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3,387</w:t>
            </w:r>
          </w:p>
        </w:tc>
      </w:tr>
      <w:tr>
        <w:trPr>
          <w:trHeight w:val="233"/>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Bitcoin</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92,651</w:t>
            </w:r>
          </w:p>
        </w:tc>
      </w:tr>
      <w:tr>
        <w:trPr>
          <w:trHeight w:val="253"/>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Receivable for bitcoin collateral</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32,248</w:t>
            </w:r>
          </w:p>
        </w:tc>
      </w:tr>
      <w:tr>
        <w:trPr>
          <w:trHeight w:val="233"/>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Miners held for sale</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94,879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Derivative asset</w:t>
            </w:r>
          </w:p>
        </w:tc>
        <w:tc>
          <w:tcPr>
            <w:tcW w:w="18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34,090</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31,648</w:t>
            </w:r>
          </w:p>
        </w:tc>
      </w:tr>
      <w:tr>
        <w:trPr>
          <w:trHeight w:val="233"/>
        </w:trPr>
        <w:tc>
          <w:tcPr>
            <w:tcW w:w="7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2,652,859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168,205</w:t>
            </w:r>
          </w:p>
        </w:tc>
      </w:tr>
      <w:tr>
        <w:trPr>
          <w:trHeight w:val="25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 noncurrent</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275,076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14,392</w:t>
            </w:r>
          </w:p>
        </w:tc>
      </w:tr>
      <w:tr>
        <w:trPr>
          <w:trHeight w:val="23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622,455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480,865</w:t>
            </w:r>
          </w:p>
        </w:tc>
      </w:tr>
      <w:tr>
        <w:trPr>
          <w:trHeight w:val="25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Deposits on equipment</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38,872</w:t>
            </w:r>
          </w:p>
        </w:tc>
      </w:tr>
      <w:tr>
        <w:trPr>
          <w:trHeight w:val="23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77,388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8,881</w:t>
            </w:r>
          </w:p>
        </w:tc>
      </w:tr>
      <w:tr>
        <w:trPr>
          <w:trHeight w:val="25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in equity investees</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53,908</w:t>
            </w:r>
          </w:p>
        </w:tc>
      </w:tr>
      <w:tr>
        <w:trPr>
          <w:trHeight w:val="23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 asset</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54,022</w:t>
            </w:r>
          </w:p>
        </w:tc>
      </w:tr>
      <w:tr>
        <w:trPr>
          <w:trHeight w:val="25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12,561</w:t>
            </w:r>
          </w:p>
        </w:tc>
      </w:tr>
      <w:tr>
        <w:trPr>
          <w:trHeight w:val="23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Security deposits</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27,732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19,782</w:t>
            </w:r>
          </w:p>
        </w:tc>
      </w:tr>
      <w:tr>
        <w:trPr>
          <w:trHeight w:val="246"/>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18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561,995</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3,958</w:t>
            </w:r>
          </w:p>
        </w:tc>
      </w:tr>
      <w:tr>
        <w:trPr>
          <w:trHeight w:val="243"/>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4,291,908</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855,446</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1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REDEEMABLE NONCONTROLLING INTEREST, AND STOCKHOLDERS’ EQUITY</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3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53"/>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40,064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22,699</w:t>
            </w:r>
          </w:p>
        </w:tc>
      </w:tr>
      <w:tr>
        <w:trPr>
          <w:trHeight w:val="233"/>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90,086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69,824</w:t>
            </w:r>
          </w:p>
        </w:tc>
      </w:tr>
      <w:tr>
        <w:trPr>
          <w:trHeight w:val="253"/>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Finance lease liability, current portion</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3,798</w:t>
            </w:r>
          </w:p>
        </w:tc>
      </w:tr>
      <w:tr>
        <w:trPr>
          <w:trHeight w:val="233"/>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lease liability, current portion</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3,127</w:t>
            </w:r>
          </w:p>
        </w:tc>
      </w:tr>
      <w:tr>
        <w:trPr>
          <w:trHeight w:val="253"/>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Warrant liability</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525,160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7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Short-term borrowings</w:t>
            </w: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37,793</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32,330</w:t>
            </w:r>
          </w:p>
        </w:tc>
      </w:tr>
      <w:tr>
        <w:trPr>
          <w:trHeight w:val="243"/>
        </w:trPr>
        <w:tc>
          <w:tcPr>
            <w:tcW w:w="7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699,071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131,778</w:t>
            </w:r>
          </w:p>
        </w:tc>
      </w:tr>
      <w:tr>
        <w:trPr>
          <w:trHeight w:val="23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borrowings, net</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2,711,648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33,696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20,282</w:t>
            </w:r>
          </w:p>
        </w:tc>
      </w:tr>
      <w:tr>
        <w:trPr>
          <w:trHeight w:val="23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lease liability</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7,331</w:t>
            </w:r>
          </w:p>
        </w:tc>
      </w:tr>
      <w:tr>
        <w:trPr>
          <w:trHeight w:val="25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9,833</w:t>
            </w:r>
          </w:p>
        </w:tc>
      </w:tr>
      <w:tr>
        <w:trPr>
          <w:trHeight w:val="237"/>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Deferred tax liability</w:t>
            </w: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4,269</w:t>
            </w:r>
          </w:p>
        </w:tc>
      </w:tr>
      <w:tr>
        <w:trPr>
          <w:trHeight w:val="243"/>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3,456,054</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173,493</w:t>
            </w:r>
          </w:p>
        </w:tc>
      </w:tr>
      <w:tr>
        <w:trPr>
          <w:trHeight w:val="21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w:t>
            </w:r>
            <w:r>
              <w:rPr>
                <w:rFonts w:ascii="Times New Roman" w:cs="Times New Roman" w:eastAsia="Times New Roman" w:hAnsi="Times New Roman"/>
                <w:sz w:val="16"/>
                <w:szCs w:val="16"/>
                <w:i w:val="1"/>
                <w:iCs w:val="1"/>
                <w:color w:val="auto"/>
              </w:rPr>
              <w:t>Note 14</w:t>
            </w: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5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Redeemable noncontrolling interest</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30,319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12"/>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Preferred stock, $0.001 par value; 10,000,000 shares authorized, none issued and outstanding as of</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43"/>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December 31, 2025, and December 31, 2024</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stock, $0.001 par value, 1,000,000,000 and 500,000,000 shares authorized as of December 31, 2025</w:t>
            </w: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189"/>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and December 31, 2024, respectively, 412,074,529 and 361,432,449 shares issued as of December 31, 2025</w:t>
            </w: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03"/>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and December 31, 2024, respectively, and 404,963,061 and 350,783,817 shares outstanding as of</w:t>
            </w: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34"/>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December 31, 2025, and December 31, 2024, respectively</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w:t>
            </w:r>
          </w:p>
        </w:tc>
      </w:tr>
      <w:tr>
        <w:trPr>
          <w:trHeight w:val="253"/>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1,808,786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863,015</w:t>
            </w:r>
          </w:p>
        </w:tc>
      </w:tr>
      <w:tr>
        <w:trPr>
          <w:trHeight w:val="223"/>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Accumulated deficit</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(1,003,656)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(181,412)</w:t>
            </w:r>
          </w:p>
        </w:tc>
      </w:tr>
    </w:tbl>
    <w:p>
      <w:pPr>
        <w:spacing w:after="0" w:line="200" w:lineRule="exact"/>
        <w:rPr>
          <w:sz w:val="20"/>
          <w:szCs w:val="20"/>
          <w:color w:val="auto"/>
        </w:rPr>
      </w:pPr>
    </w:p>
    <w:p>
      <w:pPr>
        <w:sectPr>
          <w:pgSz w:w="11900" w:h="16838" w:orient="portrait"/>
          <w:cols w:equalWidth="0" w:num="1">
            <w:col w:w="11120"/>
          </w:cols>
          <w:pgMar w:left="380" w:top="1292" w:right="39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87630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1292" w:right="399" w:bottom="1440" w:gutter="0" w:footer="0" w:header="0"/>
          <w:type w:val="continuous"/>
        </w:sectPr>
      </w:pPr>
    </w:p>
    <w:bookmarkStart w:id="84" w:name="page85"/>
    <w:bookmarkEnd w:id="84"/>
    <w:tbl>
      <w:tblPr>
        <w:tblLayout w:type="fixed"/>
        <w:tblInd w:w="0" w:type="dxa"/>
        <w:tblCellMar>
          <w:top w:w="0" w:type="dxa"/>
          <w:left w:w="0" w:type="dxa"/>
          <w:bottom w:w="0" w:type="dxa"/>
          <w:right w:w="0" w:type="dxa"/>
        </w:tblCellMar>
      </w:tblPr>
      <w:tr>
        <w:trPr>
          <w:trHeight w:val="216"/>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Treasury stock, at par, 7,111,468 and 10,648,632 shares at December 31, 2025 and December 31, 2024,</w:t>
            </w:r>
          </w:p>
        </w:tc>
        <w:tc>
          <w:tcPr>
            <w:tcW w:w="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3"/>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respectively</w:t>
            </w:r>
          </w:p>
        </w:tc>
        <w:tc>
          <w:tcPr>
            <w:tcW w:w="6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37"/>
        </w:trPr>
        <w:tc>
          <w:tcPr>
            <w:tcW w:w="73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6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805,535</w:t>
            </w:r>
          </w:p>
        </w:tc>
        <w:tc>
          <w:tcPr>
            <w:tcW w:w="10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681,953</w:t>
            </w:r>
          </w:p>
        </w:tc>
      </w:tr>
      <w:tr>
        <w:trPr>
          <w:trHeight w:val="268"/>
        </w:trPr>
        <w:tc>
          <w:tcPr>
            <w:tcW w:w="7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 liabilities, redeemable noncontrolling interest, and stockholders’ equity</w:t>
            </w: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4,291,908</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855,446</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1152" w:right="399" w:bottom="1440" w:gutter="0" w:footer="0" w:header="0"/>
        </w:sectPr>
      </w:pPr>
    </w:p>
    <w:bookmarkStart w:id="85" w:name="page86"/>
    <w:bookmarkEnd w:id="8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for share and per share amounts)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6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r>
      <w:tr>
        <w:trPr>
          <w:trHeight w:val="237"/>
        </w:trPr>
        <w:tc>
          <w:tcPr>
            <w:tcW w:w="46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 bitcoin mining</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223,942</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151,270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126,842</w:t>
            </w:r>
          </w:p>
        </w:tc>
      </w:tr>
      <w:tr>
        <w:trPr>
          <w:trHeight w:val="213"/>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operating (expenses) income</w:t>
            </w: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r>
      <w:tr>
        <w:trPr>
          <w:trHeight w:val="253"/>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 of revenue</w:t>
            </w: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(81,216)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(62,364)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(50,309)</w:t>
            </w:r>
          </w:p>
        </w:tc>
      </w:tr>
      <w:tr>
        <w:trPr>
          <w:trHeight w:val="233"/>
        </w:trPr>
        <w:tc>
          <w:tcPr>
            <w:tcW w:w="4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(79,129)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(60,796)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(57,399)</w:t>
            </w:r>
          </w:p>
        </w:tc>
      </w:tr>
      <w:tr>
        <w:trPr>
          <w:trHeight w:val="253"/>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(36,382)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(32,655)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(27,796)</w:t>
            </w:r>
          </w:p>
        </w:tc>
      </w:tr>
      <w:tr>
        <w:trPr>
          <w:trHeight w:val="233"/>
        </w:trPr>
        <w:tc>
          <w:tcPr>
            <w:tcW w:w="4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(198,973)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(102,448)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(59,093)</w:t>
            </w:r>
          </w:p>
        </w:tc>
      </w:tr>
      <w:tr>
        <w:trPr>
          <w:trHeight w:val="253"/>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fair value of power purchase agreement</w:t>
            </w: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(28,860)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26,836</w:t>
            </w:r>
          </w:p>
        </w:tc>
      </w:tr>
      <w:tr>
        <w:trPr>
          <w:trHeight w:val="233"/>
        </w:trPr>
        <w:tc>
          <w:tcPr>
            <w:tcW w:w="4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Power sales</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9,941</w:t>
            </w:r>
          </w:p>
        </w:tc>
      </w:tr>
      <w:tr>
        <w:trPr>
          <w:trHeight w:val="253"/>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Equity in losses of equity investees</w:t>
            </w: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(20,822)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(2,530)</w:t>
            </w:r>
          </w:p>
        </w:tc>
      </w:tr>
      <w:tr>
        <w:trPr>
          <w:trHeight w:val="233"/>
        </w:trPr>
        <w:tc>
          <w:tcPr>
            <w:tcW w:w="4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Unrealized (losses) gains on fair value of bitcoin</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(41,603)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3,299</w:t>
            </w:r>
          </w:p>
        </w:tc>
      </w:tr>
      <w:tr>
        <w:trPr>
          <w:trHeight w:val="253"/>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Realized gains on sale of bitcoin</w:t>
            </w: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51,548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7,739</w:t>
            </w:r>
          </w:p>
        </w:tc>
      </w:tr>
      <w:tr>
        <w:trPr>
          <w:trHeight w:val="237"/>
        </w:trPr>
        <w:tc>
          <w:tcPr>
            <w:tcW w:w="4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operating (losses) gains</w:t>
            </w: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(173,516)</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3,333</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2,355</w:t>
            </w:r>
          </w:p>
        </w:tc>
      </w:tr>
      <w:tr>
        <w:trPr>
          <w:trHeight w:val="237"/>
        </w:trPr>
        <w:tc>
          <w:tcPr>
            <w:tcW w:w="4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(645,505)</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(194,969)</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(146,957)</w:t>
            </w:r>
          </w:p>
        </w:tc>
      </w:tr>
      <w:tr>
        <w:trPr>
          <w:trHeight w:val="237"/>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(421,563)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(43,699)</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(20,115)</w:t>
            </w: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3"/>
        </w:trPr>
        <w:tc>
          <w:tcPr>
            <w:tcW w:w="4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income</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19,479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r>
      <w:tr>
        <w:trPr>
          <w:trHeight w:val="253"/>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(36,559)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(1,999)</w:t>
            </w:r>
          </w:p>
        </w:tc>
      </w:tr>
      <w:tr>
        <w:trPr>
          <w:trHeight w:val="233"/>
        </w:trPr>
        <w:tc>
          <w:tcPr>
            <w:tcW w:w="4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19,290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r>
      <w:tr>
        <w:trPr>
          <w:trHeight w:val="24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expense</w:t>
            </w: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(406,204)</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(2,544)</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37"/>
        </w:trPr>
        <w:tc>
          <w:tcPr>
            <w:tcW w:w="46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other expense</w:t>
            </w: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(403,994)</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(2,095)</w:t>
            </w:r>
          </w:p>
        </w:tc>
      </w:tr>
      <w:tr>
        <w:trPr>
          <w:trHeight w:val="24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taxes</w:t>
            </w: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(825,557)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(44,317)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(22,210)</w:t>
            </w:r>
          </w:p>
        </w:tc>
      </w:tr>
      <w:tr>
        <w:trPr>
          <w:trHeight w:val="233"/>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income tax expense</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24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benefit (expense)</w:t>
            </w: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4,269</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(3,366)</w:t>
            </w:r>
          </w:p>
        </w:tc>
      </w:tr>
      <w:tr>
        <w:trPr>
          <w:trHeight w:val="236"/>
        </w:trPr>
        <w:tc>
          <w:tcPr>
            <w:tcW w:w="46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Total income tax benefit (expense)</w:t>
            </w: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(3,567)</w:t>
            </w:r>
          </w:p>
        </w:tc>
      </w:tr>
      <w:tr>
        <w:trPr>
          <w:trHeight w:val="237"/>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(822,244)</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(44,635)</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(25,777)</w:t>
            </w:r>
          </w:p>
        </w:tc>
      </w:tr>
      <w:tr>
        <w:trPr>
          <w:trHeight w:val="236"/>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Net loss attributable to redeemable noncontrolling interest</w:t>
            </w: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available for common stockholders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(822,244)</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(44,635)</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(25,777)</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07"/>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per share - basic and diluted</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(0.10)</w:t>
            </w:r>
          </w:p>
        </w:tc>
      </w:tr>
      <w:tr>
        <w:trPr>
          <w:trHeight w:val="25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 - basic and diluted</w:t>
            </w: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381,602,904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323,103,303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252,439,461</w:t>
            </w:r>
          </w:p>
        </w:tc>
      </w:tr>
    </w:tbl>
    <w:p>
      <w:pPr>
        <w:spacing w:after="0" w:line="2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40"/>
          </w:cols>
          <w:pgMar w:left="1080" w:top="1292" w:right="107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REDEEMABLE NONCONTROLLING INTEREST AND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share amounts)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80" w:type="dxa"/>
            <w:vAlign w:val="bottom"/>
          </w:tcPr>
          <w:p>
            <w:pPr>
              <w:spacing w:after="0"/>
              <w:rPr>
                <w:sz w:val="16"/>
                <w:szCs w:val="16"/>
                <w:color w:val="auto"/>
              </w:rPr>
            </w:pPr>
          </w:p>
        </w:tc>
        <w:tc>
          <w:tcPr>
            <w:tcW w:w="1640" w:type="dxa"/>
            <w:vAlign w:val="bottom"/>
            <w:gridSpan w:val="5"/>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tcPr>
          <w:p>
            <w:pPr>
              <w:spacing w:after="0"/>
              <w:rPr>
                <w:sz w:val="16"/>
                <w:szCs w:val="16"/>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40" w:type="dxa"/>
            <w:vAlign w:val="bottom"/>
            <w:gridSpan w:val="5"/>
            <w:vMerge w:val="restart"/>
          </w:tcPr>
          <w:p>
            <w:pPr>
              <w:ind w:left="42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8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80" w:type="dxa"/>
            <w:vAlign w:val="bottom"/>
          </w:tcPr>
          <w:p>
            <w:pPr>
              <w:spacing w:after="0"/>
              <w:rPr>
                <w:sz w:val="16"/>
                <w:szCs w:val="16"/>
                <w:color w:val="auto"/>
              </w:rPr>
            </w:pPr>
          </w:p>
        </w:tc>
        <w:tc>
          <w:tcPr>
            <w:tcW w:w="136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Redeemable</w:t>
            </w:r>
          </w:p>
        </w:tc>
        <w:tc>
          <w:tcPr>
            <w:tcW w:w="0" w:type="dxa"/>
            <w:vAlign w:val="bottom"/>
          </w:tcPr>
          <w:p>
            <w:pPr>
              <w:spacing w:after="0"/>
              <w:rPr>
                <w:sz w:val="1"/>
                <w:szCs w:val="1"/>
                <w:color w:val="auto"/>
              </w:rPr>
            </w:pPr>
          </w:p>
        </w:tc>
      </w:tr>
      <w:tr>
        <w:trPr>
          <w:trHeight w:val="104"/>
        </w:trPr>
        <w:tc>
          <w:tcPr>
            <w:tcW w:w="2480" w:type="dxa"/>
            <w:vAlign w:val="bottom"/>
          </w:tcPr>
          <w:p>
            <w:pPr>
              <w:spacing w:after="0"/>
              <w:rPr>
                <w:sz w:val="9"/>
                <w:szCs w:val="9"/>
                <w:color w:val="auto"/>
              </w:rPr>
            </w:pPr>
          </w:p>
        </w:tc>
        <w:tc>
          <w:tcPr>
            <w:tcW w:w="164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94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13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180" w:type="dxa"/>
            <w:vAlign w:val="bottom"/>
          </w:tcPr>
          <w:p>
            <w:pPr>
              <w:spacing w:after="0"/>
              <w:rPr>
                <w:sz w:val="9"/>
                <w:szCs w:val="9"/>
                <w:color w:val="auto"/>
              </w:rPr>
            </w:pPr>
          </w:p>
        </w:tc>
        <w:tc>
          <w:tcPr>
            <w:tcW w:w="1360" w:type="dxa"/>
            <w:vAlign w:val="bottom"/>
            <w:vMerge w:val="restart"/>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0" w:type="dxa"/>
            <w:vAlign w:val="bottom"/>
          </w:tcPr>
          <w:p>
            <w:pPr>
              <w:spacing w:after="0"/>
              <w:rPr>
                <w:sz w:val="1"/>
                <w:szCs w:val="1"/>
                <w:color w:val="auto"/>
              </w:rPr>
            </w:pPr>
          </w:p>
        </w:tc>
      </w:tr>
      <w:tr>
        <w:trPr>
          <w:trHeight w:val="65"/>
        </w:trPr>
        <w:tc>
          <w:tcPr>
            <w:tcW w:w="2480" w:type="dxa"/>
            <w:vAlign w:val="bottom"/>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2480" w:type="dxa"/>
            <w:vAlign w:val="bottom"/>
          </w:tcPr>
          <w:p>
            <w:pPr>
              <w:spacing w:after="0"/>
              <w:rPr>
                <w:sz w:val="20"/>
                <w:szCs w:val="20"/>
                <w:color w:val="auto"/>
              </w:rPr>
            </w:pP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20"/>
                <w:szCs w:val="20"/>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20"/>
                <w:szCs w:val="20"/>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180" w:type="dxa"/>
            <w:vAlign w:val="bottom"/>
          </w:tcPr>
          <w:p>
            <w:pPr>
              <w:spacing w:after="0"/>
              <w:rPr>
                <w:sz w:val="20"/>
                <w:szCs w:val="20"/>
                <w:color w:val="auto"/>
              </w:rPr>
            </w:pPr>
          </w:p>
        </w:tc>
        <w:tc>
          <w:tcPr>
            <w:tcW w:w="136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0" w:type="dxa"/>
            <w:vAlign w:val="bottom"/>
          </w:tcPr>
          <w:p>
            <w:pPr>
              <w:spacing w:after="0"/>
              <w:rPr>
                <w:sz w:val="1"/>
                <w:szCs w:val="1"/>
                <w:color w:val="auto"/>
              </w:rPr>
            </w:pPr>
          </w:p>
        </w:tc>
      </w:tr>
      <w:tr>
        <w:trPr>
          <w:trHeight w:val="243"/>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2024</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361,432,449</w:t>
            </w:r>
          </w:p>
        </w:tc>
        <w:tc>
          <w:tcPr>
            <w:tcW w:w="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361</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863,015</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(181,412)</w:t>
            </w:r>
          </w:p>
        </w:tc>
        <w:tc>
          <w:tcPr>
            <w:tcW w:w="80" w:type="dxa"/>
            <w:vAlign w:val="bottom"/>
            <w:tcBorders>
              <w:top w:val="single" w:sz="8" w:color="CCEEFF"/>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(10,648,632)</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w:t>
            </w: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681,953</w:t>
            </w: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2"/>
        </w:trPr>
        <w:tc>
          <w:tcPr>
            <w:tcW w:w="2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Acquisition of redeemable</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noncontrolling interest</w:t>
            </w: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30,319</w:t>
            </w:r>
          </w:p>
        </w:tc>
        <w:tc>
          <w:tcPr>
            <w:tcW w:w="0" w:type="dxa"/>
            <w:vAlign w:val="bottom"/>
          </w:tcPr>
          <w:p>
            <w:pPr>
              <w:spacing w:after="0"/>
              <w:rPr>
                <w:sz w:val="1"/>
                <w:szCs w:val="1"/>
                <w:color w:val="auto"/>
              </w:rPr>
            </w:pPr>
          </w:p>
        </w:tc>
      </w:tr>
      <w:tr>
        <w:trPr>
          <w:trHeight w:val="212"/>
        </w:trPr>
        <w:tc>
          <w:tcPr>
            <w:tcW w:w="2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Issuance of common shares, net of</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offering costs - At-the-market</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offering</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33,268,137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195,447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195,480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Treasury stock reissued for PIPE</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Investment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49,990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10,438,413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Delivery of common stock</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underlying restricted stock units and</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performance stock units, net of</w:t>
            </w: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shares settled for tax withholding</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settlement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15,149,848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(88,263)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(6,901,249)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(88,253)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2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Warrants exercised</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2,224,095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2031 Convertible Note embedded</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derivative and Capped Call</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reclassification to Equity</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737,019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737,019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2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Share-based compensation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51,579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51,579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6"/>
        </w:trPr>
        <w:tc>
          <w:tcPr>
            <w:tcW w:w="2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 loss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(822,244)</w:t>
            </w:r>
          </w:p>
        </w:tc>
        <w:tc>
          <w:tcPr>
            <w:tcW w:w="8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(822,244)</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2025</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412,074,529</w:t>
            </w:r>
          </w:p>
        </w:tc>
        <w:tc>
          <w:tcPr>
            <w:tcW w:w="80" w:type="dxa"/>
            <w:vAlign w:val="bottom"/>
          </w:tcPr>
          <w:p>
            <w:pPr>
              <w:spacing w:after="0"/>
              <w:rPr>
                <w:sz w:val="21"/>
                <w:szCs w:val="21"/>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412</w:t>
            </w:r>
          </w:p>
        </w:tc>
        <w:tc>
          <w:tcPr>
            <w:tcW w:w="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1,808,786</w:t>
            </w:r>
          </w:p>
        </w:tc>
        <w:tc>
          <w:tcPr>
            <w:tcW w:w="80" w:type="dxa"/>
            <w:vAlign w:val="bottom"/>
          </w:tcPr>
          <w:p>
            <w:pPr>
              <w:spacing w:after="0"/>
              <w:rPr>
                <w:sz w:val="21"/>
                <w:szCs w:val="21"/>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(1,003,656)</w:t>
            </w:r>
          </w:p>
        </w:tc>
        <w:tc>
          <w:tcPr>
            <w:tcW w:w="80" w:type="dxa"/>
            <w:vAlign w:val="bottom"/>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(7,111,468)</w:t>
            </w:r>
          </w:p>
        </w:tc>
        <w:tc>
          <w:tcPr>
            <w:tcW w:w="8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805,535</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30,319</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60" w:type="dxa"/>
            <w:vAlign w:val="bottom"/>
          </w:tcPr>
          <w:p>
            <w:pPr>
              <w:spacing w:after="0"/>
              <w:rPr>
                <w:sz w:val="16"/>
                <w:szCs w:val="16"/>
                <w:color w:val="auto"/>
              </w:rPr>
            </w:pPr>
          </w:p>
        </w:tc>
        <w:tc>
          <w:tcPr>
            <w:tcW w:w="1660" w:type="dxa"/>
            <w:vAlign w:val="bottom"/>
            <w:gridSpan w:val="5"/>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40" w:type="dxa"/>
            <w:vAlign w:val="bottom"/>
            <w:gridSpan w:val="5"/>
            <w:vMerge w:val="restart"/>
          </w:tcPr>
          <w:p>
            <w:pPr>
              <w:ind w:left="42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8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80" w:type="dxa"/>
            <w:vAlign w:val="bottom"/>
          </w:tcPr>
          <w:p>
            <w:pPr>
              <w:spacing w:after="0"/>
              <w:rPr>
                <w:sz w:val="16"/>
                <w:szCs w:val="16"/>
                <w:color w:val="auto"/>
              </w:rPr>
            </w:pPr>
          </w:p>
        </w:tc>
        <w:tc>
          <w:tcPr>
            <w:tcW w:w="136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Redeemable</w:t>
            </w:r>
          </w:p>
        </w:tc>
        <w:tc>
          <w:tcPr>
            <w:tcW w:w="0" w:type="dxa"/>
            <w:vAlign w:val="bottom"/>
          </w:tcPr>
          <w:p>
            <w:pPr>
              <w:spacing w:after="0"/>
              <w:rPr>
                <w:sz w:val="1"/>
                <w:szCs w:val="1"/>
                <w:color w:val="auto"/>
              </w:rPr>
            </w:pPr>
          </w:p>
        </w:tc>
      </w:tr>
      <w:tr>
        <w:trPr>
          <w:trHeight w:val="104"/>
        </w:trPr>
        <w:tc>
          <w:tcPr>
            <w:tcW w:w="2460" w:type="dxa"/>
            <w:vAlign w:val="bottom"/>
          </w:tcPr>
          <w:p>
            <w:pPr>
              <w:spacing w:after="0"/>
              <w:rPr>
                <w:sz w:val="9"/>
                <w:szCs w:val="9"/>
                <w:color w:val="auto"/>
              </w:rPr>
            </w:pPr>
          </w:p>
        </w:tc>
        <w:tc>
          <w:tcPr>
            <w:tcW w:w="166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94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13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180" w:type="dxa"/>
            <w:vAlign w:val="bottom"/>
          </w:tcPr>
          <w:p>
            <w:pPr>
              <w:spacing w:after="0"/>
              <w:rPr>
                <w:sz w:val="9"/>
                <w:szCs w:val="9"/>
                <w:color w:val="auto"/>
              </w:rPr>
            </w:pPr>
          </w:p>
        </w:tc>
        <w:tc>
          <w:tcPr>
            <w:tcW w:w="1360" w:type="dxa"/>
            <w:vAlign w:val="bottom"/>
            <w:vMerge w:val="restart"/>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0" w:type="dxa"/>
            <w:vAlign w:val="bottom"/>
          </w:tcPr>
          <w:p>
            <w:pPr>
              <w:spacing w:after="0"/>
              <w:rPr>
                <w:sz w:val="1"/>
                <w:szCs w:val="1"/>
                <w:color w:val="auto"/>
              </w:rPr>
            </w:pPr>
          </w:p>
        </w:tc>
      </w:tr>
      <w:tr>
        <w:trPr>
          <w:trHeight w:val="65"/>
        </w:trPr>
        <w:tc>
          <w:tcPr>
            <w:tcW w:w="2460" w:type="dxa"/>
            <w:vAlign w:val="bottom"/>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2460" w:type="dxa"/>
            <w:vAlign w:val="bottom"/>
          </w:tcPr>
          <w:p>
            <w:pPr>
              <w:spacing w:after="0"/>
              <w:rPr>
                <w:sz w:val="20"/>
                <w:szCs w:val="20"/>
                <w:color w:val="auto"/>
              </w:rPr>
            </w:pP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20"/>
                <w:szCs w:val="20"/>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80" w:type="dxa"/>
            <w:vAlign w:val="bottom"/>
          </w:tcPr>
          <w:p>
            <w:pPr>
              <w:spacing w:after="0"/>
              <w:rPr>
                <w:sz w:val="20"/>
                <w:szCs w:val="20"/>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180" w:type="dxa"/>
            <w:vAlign w:val="bottom"/>
          </w:tcPr>
          <w:p>
            <w:pPr>
              <w:spacing w:after="0"/>
              <w:rPr>
                <w:sz w:val="20"/>
                <w:szCs w:val="20"/>
                <w:color w:val="auto"/>
              </w:rPr>
            </w:pPr>
          </w:p>
        </w:tc>
        <w:tc>
          <w:tcPr>
            <w:tcW w:w="136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0" w:type="dxa"/>
            <w:vAlign w:val="bottom"/>
          </w:tcPr>
          <w:p>
            <w:pPr>
              <w:spacing w:after="0"/>
              <w:rPr>
                <w:sz w:val="1"/>
                <w:szCs w:val="1"/>
                <w:color w:val="auto"/>
              </w:rPr>
            </w:pPr>
          </w:p>
        </w:tc>
      </w:tr>
      <w:tr>
        <w:trPr>
          <w:trHeight w:val="243"/>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296,276,536</w:t>
            </w: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296</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627,822</w:t>
            </w: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(136,777)</w:t>
            </w:r>
          </w:p>
        </w:tc>
        <w:tc>
          <w:tcPr>
            <w:tcW w:w="80" w:type="dxa"/>
            <w:vAlign w:val="bottom"/>
            <w:tcBorders>
              <w:top w:val="single" w:sz="8" w:color="CCEEFF"/>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(5,318,674)</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491,336</w:t>
            </w: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2"/>
        </w:trPr>
        <w:tc>
          <w:tcPr>
            <w:tcW w:w="2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Issuance of common shares, net of</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offering costs - At-the-market</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offering</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52,825,758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221,642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221,695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Delivery of common stock</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underlying restricted stock units,</w:t>
            </w: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of shares settled for tax</w:t>
            </w: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withholding settlement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12,330,155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(27,648)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(5,329,958)</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(27,642)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2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Share-based compensation</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41,199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41,199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6"/>
        </w:trPr>
        <w:tc>
          <w:tcPr>
            <w:tcW w:w="2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(44,635)</w:t>
            </w:r>
          </w:p>
        </w:tc>
        <w:tc>
          <w:tcPr>
            <w:tcW w:w="8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(44,635)</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2024</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361,432,449</w:t>
            </w:r>
          </w:p>
        </w:tc>
        <w:tc>
          <w:tcPr>
            <w:tcW w:w="80" w:type="dxa"/>
            <w:vAlign w:val="bottom"/>
          </w:tcPr>
          <w:p>
            <w:pPr>
              <w:spacing w:after="0"/>
              <w:rPr>
                <w:sz w:val="21"/>
                <w:szCs w:val="21"/>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361</w:t>
            </w:r>
          </w:p>
        </w:tc>
        <w:tc>
          <w:tcPr>
            <w:tcW w:w="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863,015</w:t>
            </w:r>
          </w:p>
        </w:tc>
        <w:tc>
          <w:tcPr>
            <w:tcW w:w="80" w:type="dxa"/>
            <w:vAlign w:val="bottom"/>
          </w:tcPr>
          <w:p>
            <w:pPr>
              <w:spacing w:after="0"/>
              <w:rPr>
                <w:sz w:val="21"/>
                <w:szCs w:val="21"/>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(181,412)</w:t>
            </w:r>
          </w:p>
        </w:tc>
        <w:tc>
          <w:tcPr>
            <w:tcW w:w="80" w:type="dxa"/>
            <w:vAlign w:val="bottom"/>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(10,648,632)</w:t>
            </w:r>
          </w:p>
        </w:tc>
        <w:tc>
          <w:tcPr>
            <w:tcW w:w="8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681,953</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REDEEMABLE NONCONTROLLING INTEREST AND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share amounts)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60" w:type="dxa"/>
            <w:vAlign w:val="bottom"/>
          </w:tcPr>
          <w:p>
            <w:pPr>
              <w:spacing w:after="0"/>
              <w:rPr>
                <w:sz w:val="16"/>
                <w:szCs w:val="16"/>
                <w:color w:val="auto"/>
              </w:rPr>
            </w:pPr>
          </w:p>
        </w:tc>
        <w:tc>
          <w:tcPr>
            <w:tcW w:w="1660" w:type="dxa"/>
            <w:vAlign w:val="bottom"/>
            <w:gridSpan w:val="5"/>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40" w:type="dxa"/>
            <w:vAlign w:val="bottom"/>
            <w:gridSpan w:val="5"/>
            <w:vMerge w:val="restart"/>
          </w:tcPr>
          <w:p>
            <w:pPr>
              <w:ind w:left="42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8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80" w:type="dxa"/>
            <w:vAlign w:val="bottom"/>
          </w:tcPr>
          <w:p>
            <w:pPr>
              <w:spacing w:after="0"/>
              <w:rPr>
                <w:sz w:val="16"/>
                <w:szCs w:val="16"/>
                <w:color w:val="auto"/>
              </w:rPr>
            </w:pPr>
          </w:p>
        </w:tc>
        <w:tc>
          <w:tcPr>
            <w:tcW w:w="136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Redeemable</w:t>
            </w:r>
          </w:p>
        </w:tc>
        <w:tc>
          <w:tcPr>
            <w:tcW w:w="0" w:type="dxa"/>
            <w:vAlign w:val="bottom"/>
          </w:tcPr>
          <w:p>
            <w:pPr>
              <w:spacing w:after="0"/>
              <w:rPr>
                <w:sz w:val="1"/>
                <w:szCs w:val="1"/>
                <w:color w:val="auto"/>
              </w:rPr>
            </w:pPr>
          </w:p>
        </w:tc>
      </w:tr>
      <w:tr>
        <w:trPr>
          <w:trHeight w:val="104"/>
        </w:trPr>
        <w:tc>
          <w:tcPr>
            <w:tcW w:w="2460" w:type="dxa"/>
            <w:vAlign w:val="bottom"/>
          </w:tcPr>
          <w:p>
            <w:pPr>
              <w:spacing w:after="0"/>
              <w:rPr>
                <w:sz w:val="9"/>
                <w:szCs w:val="9"/>
                <w:color w:val="auto"/>
              </w:rPr>
            </w:pPr>
          </w:p>
        </w:tc>
        <w:tc>
          <w:tcPr>
            <w:tcW w:w="166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94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13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180" w:type="dxa"/>
            <w:vAlign w:val="bottom"/>
          </w:tcPr>
          <w:p>
            <w:pPr>
              <w:spacing w:after="0"/>
              <w:rPr>
                <w:sz w:val="9"/>
                <w:szCs w:val="9"/>
                <w:color w:val="auto"/>
              </w:rPr>
            </w:pPr>
          </w:p>
        </w:tc>
        <w:tc>
          <w:tcPr>
            <w:tcW w:w="1360" w:type="dxa"/>
            <w:vAlign w:val="bottom"/>
            <w:vMerge w:val="restart"/>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0" w:type="dxa"/>
            <w:vAlign w:val="bottom"/>
          </w:tcPr>
          <w:p>
            <w:pPr>
              <w:spacing w:after="0"/>
              <w:rPr>
                <w:sz w:val="1"/>
                <w:szCs w:val="1"/>
                <w:color w:val="auto"/>
              </w:rPr>
            </w:pPr>
          </w:p>
        </w:tc>
      </w:tr>
      <w:tr>
        <w:trPr>
          <w:trHeight w:val="65"/>
        </w:trPr>
        <w:tc>
          <w:tcPr>
            <w:tcW w:w="2460" w:type="dxa"/>
            <w:vAlign w:val="bottom"/>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2460" w:type="dxa"/>
            <w:vAlign w:val="bottom"/>
          </w:tcPr>
          <w:p>
            <w:pPr>
              <w:spacing w:after="0"/>
              <w:rPr>
                <w:sz w:val="20"/>
                <w:szCs w:val="20"/>
                <w:color w:val="auto"/>
              </w:rPr>
            </w:pP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20"/>
                <w:szCs w:val="20"/>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80" w:type="dxa"/>
            <w:vAlign w:val="bottom"/>
          </w:tcPr>
          <w:p>
            <w:pPr>
              <w:spacing w:after="0"/>
              <w:rPr>
                <w:sz w:val="20"/>
                <w:szCs w:val="20"/>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180" w:type="dxa"/>
            <w:vAlign w:val="bottom"/>
          </w:tcPr>
          <w:p>
            <w:pPr>
              <w:spacing w:after="0"/>
              <w:rPr>
                <w:sz w:val="20"/>
                <w:szCs w:val="20"/>
                <w:color w:val="auto"/>
              </w:rPr>
            </w:pPr>
          </w:p>
        </w:tc>
        <w:tc>
          <w:tcPr>
            <w:tcW w:w="136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0" w:type="dxa"/>
            <w:vAlign w:val="bottom"/>
          </w:tcPr>
          <w:p>
            <w:pPr>
              <w:spacing w:after="0"/>
              <w:rPr>
                <w:sz w:val="1"/>
                <w:szCs w:val="1"/>
                <w:color w:val="auto"/>
              </w:rPr>
            </w:pPr>
          </w:p>
        </w:tc>
      </w:tr>
      <w:tr>
        <w:trPr>
          <w:trHeight w:val="243"/>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2022</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251,095,305</w:t>
            </w: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251</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453,854</w:t>
            </w: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(111,209)</w:t>
            </w:r>
          </w:p>
        </w:tc>
        <w:tc>
          <w:tcPr>
            <w:tcW w:w="80" w:type="dxa"/>
            <w:vAlign w:val="bottom"/>
            <w:tcBorders>
              <w:top w:val="single" w:sz="8" w:color="CCEEFF"/>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(3,543,347)</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342,892</w:t>
            </w: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2"/>
        </w:trPr>
        <w:tc>
          <w:tcPr>
            <w:tcW w:w="2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Cumulative effect upon adoption of</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ASU 2023-08</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Issuance of common shares, net of</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offering costs - At-the-market</w:t>
            </w: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offering</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37,433,923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132,406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132,443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Issuance of common stock - Black</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Pearl asset acquisition</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2,397,424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Delivery of common stock</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underlying restricted stock units, net</w:t>
            </w: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of shares settled for tax withholding</w:t>
            </w: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settlement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4,942,906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(1,775,327)</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2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Share-based compensation</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406,978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38,470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38,471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6"/>
        </w:trPr>
        <w:tc>
          <w:tcPr>
            <w:tcW w:w="2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 loss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(25,777)</w:t>
            </w:r>
          </w:p>
        </w:tc>
        <w:tc>
          <w:tcPr>
            <w:tcW w:w="8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(25,777)</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296,276,536</w:t>
            </w:r>
          </w:p>
        </w:tc>
        <w:tc>
          <w:tcPr>
            <w:tcW w:w="80" w:type="dxa"/>
            <w:vAlign w:val="bottom"/>
          </w:tcPr>
          <w:p>
            <w:pPr>
              <w:spacing w:after="0"/>
              <w:rPr>
                <w:sz w:val="21"/>
                <w:szCs w:val="21"/>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296</w:t>
            </w:r>
          </w:p>
        </w:tc>
        <w:tc>
          <w:tcPr>
            <w:tcW w:w="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627,822</w:t>
            </w:r>
          </w:p>
        </w:tc>
        <w:tc>
          <w:tcPr>
            <w:tcW w:w="80" w:type="dxa"/>
            <w:vAlign w:val="bottom"/>
          </w:tcPr>
          <w:p>
            <w:pPr>
              <w:spacing w:after="0"/>
              <w:rPr>
                <w:sz w:val="21"/>
                <w:szCs w:val="21"/>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(136,777)</w:t>
            </w:r>
          </w:p>
        </w:tc>
        <w:tc>
          <w:tcPr>
            <w:tcW w:w="80" w:type="dxa"/>
            <w:vAlign w:val="bottom"/>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(5,318,674)</w:t>
            </w:r>
          </w:p>
        </w:tc>
        <w:tc>
          <w:tcPr>
            <w:tcW w:w="8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491,336</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88" w:name="page89"/>
    <w:bookmarkEnd w:id="8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9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3"/>
        </w:trPr>
        <w:tc>
          <w:tcPr>
            <w:tcW w:w="5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(822,244)</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(44,635)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(25,777)</w:t>
            </w:r>
          </w:p>
        </w:tc>
      </w:tr>
      <w:tr>
        <w:trPr>
          <w:trHeight w:val="253"/>
        </w:trPr>
        <w:tc>
          <w:tcPr>
            <w:tcW w:w="5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33"/>
        </w:trPr>
        <w:tc>
          <w:tcPr>
            <w:tcW w:w="59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198,973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102,448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59,093</w:t>
            </w:r>
          </w:p>
        </w:tc>
      </w:tr>
      <w:tr>
        <w:trPr>
          <w:trHeight w:val="253"/>
        </w:trPr>
        <w:tc>
          <w:tcPr>
            <w:tcW w:w="5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Amortization of operating right-of-use asset</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w:t>
            </w:r>
          </w:p>
        </w:tc>
      </w:tr>
      <w:tr>
        <w:trPr>
          <w:trHeight w:val="233"/>
        </w:trPr>
        <w:tc>
          <w:tcPr>
            <w:tcW w:w="59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Share-based compensation</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52,787</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42,132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38,470</w:t>
            </w:r>
          </w:p>
        </w:tc>
      </w:tr>
      <w:tr>
        <w:trPr>
          <w:trHeight w:val="253"/>
        </w:trPr>
        <w:tc>
          <w:tcPr>
            <w:tcW w:w="5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Equity in losses of equity investees</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20,822</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2,530</w:t>
            </w:r>
          </w:p>
        </w:tc>
      </w:tr>
      <w:tr>
        <w:trPr>
          <w:trHeight w:val="233"/>
        </w:trPr>
        <w:tc>
          <w:tcPr>
            <w:tcW w:w="5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Write-down of assets held for sale</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96,056</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on disposal of assets</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31,427</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5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Impairment of property and equipment</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45,317</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debt discount and issuance costs</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17,932</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59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Non-cash lease expense</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1,940</w:t>
            </w:r>
          </w:p>
        </w:tc>
      </w:tr>
      <w:tr>
        <w:trPr>
          <w:trHeight w:val="253"/>
        </w:trPr>
        <w:tc>
          <w:tcPr>
            <w:tcW w:w="5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Deferred income taxes</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(4,269)</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3,366</w:t>
            </w:r>
          </w:p>
        </w:tc>
      </w:tr>
      <w:tr>
        <w:trPr>
          <w:trHeight w:val="233"/>
        </w:trPr>
        <w:tc>
          <w:tcPr>
            <w:tcW w:w="59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Non-cash consideration received for services</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(223,851)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(151,296)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(126,319)</w:t>
            </w:r>
          </w:p>
        </w:tc>
      </w:tr>
      <w:tr>
        <w:trPr>
          <w:trHeight w:val="253"/>
        </w:trPr>
        <w:tc>
          <w:tcPr>
            <w:tcW w:w="5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Change in fair value of derivative assets</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(16,201)</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(26,836)</w:t>
            </w:r>
          </w:p>
        </w:tc>
      </w:tr>
      <w:tr>
        <w:trPr>
          <w:trHeight w:val="233"/>
        </w:trPr>
        <w:tc>
          <w:tcPr>
            <w:tcW w:w="59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(19,290)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r>
      <w:tr>
        <w:trPr>
          <w:trHeight w:val="253"/>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 in fair value of embedded derivative</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450,440</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5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 in fair value of bitcoin collateral</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5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Change in fair value of bitcoin loan</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59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Unrealized gains on fair value of bitcoin</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41,603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(3,299)</w:t>
            </w:r>
          </w:p>
        </w:tc>
      </w:tr>
      <w:tr>
        <w:trPr>
          <w:trHeight w:val="253"/>
        </w:trPr>
        <w:tc>
          <w:tcPr>
            <w:tcW w:w="5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Realized gains on sale of bitcoin</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(7,126)</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(51,548)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(7,739)</w:t>
            </w:r>
          </w:p>
        </w:tc>
      </w:tr>
      <w:tr>
        <w:trPr>
          <w:trHeight w:val="237"/>
        </w:trPr>
        <w:tc>
          <w:tcPr>
            <w:tcW w:w="59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(68,046)</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18,340</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(10,735)</w:t>
            </w:r>
          </w:p>
        </w:tc>
      </w:tr>
      <w:tr>
        <w:trPr>
          <w:trHeight w:val="243"/>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(207,938)</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(87,511)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(94,241)</w:t>
            </w:r>
          </w:p>
        </w:tc>
      </w:tr>
      <w:tr>
        <w:trPr>
          <w:trHeight w:val="233"/>
        </w:trPr>
        <w:tc>
          <w:tcPr>
            <w:tcW w:w="5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3"/>
        </w:trPr>
        <w:tc>
          <w:tcPr>
            <w:tcW w:w="5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Proceeds from sale of bitcoin</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214,737</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148,870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111,188</w:t>
            </w:r>
          </w:p>
        </w:tc>
      </w:tr>
      <w:tr>
        <w:trPr>
          <w:trHeight w:val="233"/>
        </w:trPr>
        <w:tc>
          <w:tcPr>
            <w:tcW w:w="5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Purchases of bitcoin</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5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Deposits on equipment</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(4,874)</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(162,958)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(33,906)</w:t>
            </w:r>
          </w:p>
        </w:tc>
      </w:tr>
      <w:tr>
        <w:trPr>
          <w:trHeight w:val="233"/>
        </w:trPr>
        <w:tc>
          <w:tcPr>
            <w:tcW w:w="5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(487,921)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(139,495)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(20,480)</w:t>
            </w:r>
          </w:p>
        </w:tc>
      </w:tr>
      <w:tr>
        <w:trPr>
          <w:trHeight w:val="253"/>
        </w:trPr>
        <w:tc>
          <w:tcPr>
            <w:tcW w:w="5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Purchases and development of software</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w:t>
            </w:r>
          </w:p>
        </w:tc>
      </w:tr>
      <w:tr>
        <w:trPr>
          <w:trHeight w:val="233"/>
        </w:trPr>
        <w:tc>
          <w:tcPr>
            <w:tcW w:w="5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strategic contracts</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(32,554)</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5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Investment in equity investees</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(22,127)</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(37,123)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(3,545)</w:t>
            </w:r>
          </w:p>
        </w:tc>
      </w:tr>
      <w:tr>
        <w:trPr>
          <w:trHeight w:val="233"/>
        </w:trPr>
        <w:tc>
          <w:tcPr>
            <w:tcW w:w="5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Capital distributions from equity investees</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3,808</w:t>
            </w:r>
          </w:p>
        </w:tc>
      </w:tr>
      <w:tr>
        <w:trPr>
          <w:trHeight w:val="246"/>
        </w:trPr>
        <w:tc>
          <w:tcPr>
            <w:tcW w:w="5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Prepayments on financing lease</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(3,676)</w:t>
            </w:r>
          </w:p>
        </w:tc>
      </w:tr>
      <w:tr>
        <w:trPr>
          <w:trHeight w:val="233"/>
        </w:trPr>
        <w:tc>
          <w:tcPr>
            <w:tcW w:w="5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(336,611)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(192,129)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52,755</w:t>
            </w:r>
          </w:p>
        </w:tc>
      </w:tr>
      <w:tr>
        <w:trPr>
          <w:trHeight w:val="25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33"/>
        </w:trPr>
        <w:tc>
          <w:tcPr>
            <w:tcW w:w="5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Proceeds from notes, net of issuance costs</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3,145,829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5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Proceeds from the issuance of common stock, net of offering costs</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195,473</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221,694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132,444</w:t>
            </w:r>
          </w:p>
        </w:tc>
      </w:tr>
      <w:tr>
        <w:trPr>
          <w:trHeight w:val="233"/>
        </w:trPr>
        <w:tc>
          <w:tcPr>
            <w:tcW w:w="5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Proceeds from treasury stock reissued for PIPE investment</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5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Purchase of capped call options</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(82,680)</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5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Repurchase of common shares to pay employee withholding taxes</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(89,585)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(27,641)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(3,902)</w:t>
            </w:r>
          </w:p>
        </w:tc>
      </w:tr>
      <w:tr>
        <w:trPr>
          <w:trHeight w:val="253"/>
        </w:trPr>
        <w:tc>
          <w:tcPr>
            <w:tcW w:w="5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Proceeds from loan</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5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Principal payments on loan</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5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Principal payments on financing lease</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(4,834)</w:t>
            </w: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(5,541)</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(12,878)</w:t>
            </w:r>
          </w:p>
        </w:tc>
      </w:tr>
      <w:tr>
        <w:trPr>
          <w:trHeight w:val="236"/>
        </w:trPr>
        <w:tc>
          <w:tcPr>
            <w:tcW w:w="5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3,189,203</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213,512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115,664</w:t>
            </w:r>
          </w:p>
        </w:tc>
      </w:tr>
      <w:tr>
        <w:trPr>
          <w:trHeight w:val="24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2,644,654</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(66,128)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74,178</w:t>
            </w:r>
          </w:p>
        </w:tc>
      </w:tr>
      <w:tr>
        <w:trPr>
          <w:trHeight w:val="236"/>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the period</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19,977</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86,105</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11,927</w:t>
            </w:r>
          </w:p>
        </w:tc>
      </w:tr>
      <w:tr>
        <w:trPr>
          <w:trHeight w:val="25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end of the period</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2,664,631</w:t>
            </w:r>
          </w:p>
        </w:tc>
        <w:tc>
          <w:tcPr>
            <w:tcW w:w="5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19,977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86,105</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860"/>
          </w:cols>
          <w:pgMar w:left="520" w:top="1292" w:right="51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520" w:top="1292" w:right="519" w:bottom="1440" w:gutter="0" w:footer="0" w:header="0"/>
          <w:type w:val="continuous"/>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36"/>
        </w:trPr>
        <w:tc>
          <w:tcPr>
            <w:tcW w:w="20" w:type="dxa"/>
            <w:vAlign w:val="bottom"/>
            <w:tcBorders>
              <w:bottom w:val="single" w:sz="8" w:color="CCEEFF"/>
            </w:tcBorders>
          </w:tcPr>
          <w:p>
            <w:pPr>
              <w:spacing w:after="0"/>
              <w:rPr>
                <w:sz w:val="20"/>
                <w:szCs w:val="20"/>
                <w:color w:val="auto"/>
              </w:rPr>
            </w:pPr>
          </w:p>
        </w:tc>
        <w:tc>
          <w:tcPr>
            <w:tcW w:w="1820" w:type="dxa"/>
            <w:vAlign w:val="bottom"/>
            <w:tcBorders>
              <w:bottom w:val="single" w:sz="8" w:color="CCEEFF"/>
            </w:tcBorders>
          </w:tcPr>
          <w:p>
            <w:pPr>
              <w:spacing w:after="0"/>
              <w:rPr>
                <w:sz w:val="20"/>
                <w:szCs w:val="20"/>
                <w:color w:val="auto"/>
              </w:rPr>
            </w:pPr>
          </w:p>
        </w:tc>
        <w:tc>
          <w:tcPr>
            <w:tcW w:w="404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0"/>
        </w:trPr>
        <w:tc>
          <w:tcPr>
            <w:tcW w:w="20" w:type="dxa"/>
            <w:vAlign w:val="bottom"/>
            <w:shd w:val="clear" w:color="auto" w:fill="CCEEFF"/>
          </w:tcPr>
          <w:p>
            <w:pPr>
              <w:spacing w:after="0"/>
              <w:rPr>
                <w:sz w:val="18"/>
                <w:szCs w:val="18"/>
                <w:color w:val="auto"/>
              </w:rPr>
            </w:pPr>
          </w:p>
        </w:tc>
        <w:tc>
          <w:tcPr>
            <w:tcW w:w="586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Supplemental information</w:t>
            </w:r>
          </w:p>
        </w:tc>
        <w:tc>
          <w:tcPr>
            <w:tcW w:w="10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3"/>
        </w:trPr>
        <w:tc>
          <w:tcPr>
            <w:tcW w:w="20" w:type="dxa"/>
            <w:vAlign w:val="bottom"/>
            <w:tcBorders>
              <w:top w:val="single" w:sz="8" w:color="CCEEFF"/>
            </w:tcBorders>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Cash paid for interest</w:t>
            </w:r>
          </w:p>
        </w:tc>
        <w:tc>
          <w:tcPr>
            <w:tcW w:w="4040" w:type="dxa"/>
            <w:vAlign w:val="bottom"/>
            <w:tcBorders>
              <w:top w:val="single" w:sz="8" w:color="CCEEFF"/>
            </w:tcBorders>
          </w:tcPr>
          <w:p>
            <w:pPr>
              <w:spacing w:after="0"/>
              <w:rPr>
                <w:sz w:val="20"/>
                <w:szCs w:val="20"/>
                <w:color w:val="auto"/>
              </w:rPr>
            </w:pPr>
          </w:p>
        </w:tc>
        <w:tc>
          <w:tcPr>
            <w:tcW w:w="1080" w:type="dxa"/>
            <w:vAlign w:val="bottom"/>
            <w:tcBorders>
              <w:top w:val="single" w:sz="8" w:color="CCEEFF"/>
            </w:tcBorders>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1,451</w:t>
            </w:r>
          </w:p>
        </w:tc>
        <w:tc>
          <w:tcPr>
            <w:tcW w:w="480" w:type="dxa"/>
            <w:vAlign w:val="bottom"/>
            <w:tcBorders>
              <w:top w:val="single" w:sz="8" w:color="CCEEFF"/>
            </w:tcBorders>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tcPr>
          <w:p>
            <w:pPr>
              <w:spacing w:after="0"/>
              <w:rPr>
                <w:sz w:val="20"/>
                <w:szCs w:val="20"/>
                <w:color w:val="auto"/>
              </w:rPr>
            </w:pPr>
          </w:p>
        </w:tc>
        <w:tc>
          <w:tcPr>
            <w:tcW w:w="400" w:type="dxa"/>
            <w:vAlign w:val="bottom"/>
            <w:tcBorders>
              <w:top w:val="single" w:sz="8" w:color="CCEEFF"/>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80"/>
        </w:trPr>
        <w:tc>
          <w:tcPr>
            <w:tcW w:w="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40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33"/>
        </w:trPr>
        <w:tc>
          <w:tcPr>
            <w:tcW w:w="20" w:type="dxa"/>
            <w:vAlign w:val="bottom"/>
          </w:tcPr>
          <w:p>
            <w:pPr>
              <w:spacing w:after="0"/>
              <w:rPr>
                <w:sz w:val="20"/>
                <w:szCs w:val="20"/>
                <w:color w:val="auto"/>
              </w:rPr>
            </w:pPr>
          </w:p>
        </w:tc>
        <w:tc>
          <w:tcPr>
            <w:tcW w:w="58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3"/>
        </w:trPr>
        <w:tc>
          <w:tcPr>
            <w:tcW w:w="20" w:type="dxa"/>
            <w:vAlign w:val="bottom"/>
            <w:shd w:val="clear" w:color="auto" w:fill="CCEEFF"/>
          </w:tcPr>
          <w:p>
            <w:pPr>
              <w:spacing w:after="0"/>
              <w:rPr>
                <w:sz w:val="21"/>
                <w:szCs w:val="21"/>
                <w:color w:val="auto"/>
              </w:rPr>
            </w:pPr>
          </w:p>
        </w:tc>
        <w:tc>
          <w:tcPr>
            <w:tcW w:w="5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Reclassification of embedded derivative liability to equity</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737,019</w:t>
            </w:r>
          </w:p>
        </w:tc>
        <w:tc>
          <w:tcPr>
            <w:tcW w:w="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20" w:type="dxa"/>
            <w:vAlign w:val="bottom"/>
          </w:tcPr>
          <w:p>
            <w:pPr>
              <w:spacing w:after="0"/>
              <w:rPr>
                <w:sz w:val="20"/>
                <w:szCs w:val="20"/>
                <w:color w:val="auto"/>
              </w:rPr>
            </w:pPr>
          </w:p>
        </w:tc>
        <w:tc>
          <w:tcPr>
            <w:tcW w:w="58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Issuance of warrant liability</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544,450</w:t>
            </w: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20" w:type="dxa"/>
            <w:vAlign w:val="bottom"/>
            <w:shd w:val="clear" w:color="auto" w:fill="CCEEFF"/>
          </w:tcPr>
          <w:p>
            <w:pPr>
              <w:spacing w:after="0"/>
              <w:rPr>
                <w:sz w:val="21"/>
                <w:szCs w:val="21"/>
                <w:color w:val="auto"/>
              </w:rPr>
            </w:pPr>
          </w:p>
        </w:tc>
        <w:tc>
          <w:tcPr>
            <w:tcW w:w="5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Property and equipment purchases in accounts payable and accrued expenses</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67,241</w:t>
            </w:r>
          </w:p>
        </w:tc>
        <w:tc>
          <w:tcPr>
            <w:tcW w:w="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42,192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20" w:type="dxa"/>
            <w:vAlign w:val="bottom"/>
          </w:tcPr>
          <w:p>
            <w:pPr>
              <w:spacing w:after="0"/>
              <w:rPr>
                <w:sz w:val="20"/>
                <w:szCs w:val="20"/>
                <w:color w:val="auto"/>
              </w:rPr>
            </w:pPr>
          </w:p>
        </w:tc>
        <w:tc>
          <w:tcPr>
            <w:tcW w:w="58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Bitcoin transferred for rehypothecated collateral</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31,720</w:t>
            </w: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31,702</w:t>
            </w:r>
          </w:p>
        </w:tc>
        <w:tc>
          <w:tcPr>
            <w:tcW w:w="10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20" w:type="dxa"/>
            <w:vAlign w:val="bottom"/>
            <w:shd w:val="clear" w:color="auto" w:fill="CCEEFF"/>
          </w:tcPr>
          <w:p>
            <w:pPr>
              <w:spacing w:after="0"/>
              <w:rPr>
                <w:sz w:val="21"/>
                <w:szCs w:val="21"/>
                <w:color w:val="auto"/>
              </w:rPr>
            </w:pPr>
          </w:p>
        </w:tc>
        <w:tc>
          <w:tcPr>
            <w:tcW w:w="5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Reclassification of deposits on equipment to property and equipment</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31,453</w:t>
            </w:r>
          </w:p>
        </w:tc>
        <w:tc>
          <w:tcPr>
            <w:tcW w:w="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154,898</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74,186</w:t>
            </w:r>
          </w:p>
        </w:tc>
      </w:tr>
      <w:tr>
        <w:trPr>
          <w:trHeight w:val="233"/>
        </w:trPr>
        <w:tc>
          <w:tcPr>
            <w:tcW w:w="20" w:type="dxa"/>
            <w:vAlign w:val="bottom"/>
          </w:tcPr>
          <w:p>
            <w:pPr>
              <w:spacing w:after="0"/>
              <w:rPr>
                <w:sz w:val="20"/>
                <w:szCs w:val="20"/>
                <w:color w:val="auto"/>
              </w:rPr>
            </w:pPr>
          </w:p>
        </w:tc>
        <w:tc>
          <w:tcPr>
            <w:tcW w:w="58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Recognition of redeemable noncontrolling interest upon consolidation</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30,319</w:t>
            </w: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20" w:type="dxa"/>
            <w:vAlign w:val="bottom"/>
            <w:shd w:val="clear" w:color="auto" w:fill="CCEEFF"/>
          </w:tcPr>
          <w:p>
            <w:pPr>
              <w:spacing w:after="0"/>
              <w:rPr>
                <w:sz w:val="21"/>
                <w:szCs w:val="21"/>
                <w:color w:val="auto"/>
              </w:rPr>
            </w:pPr>
          </w:p>
        </w:tc>
        <w:tc>
          <w:tcPr>
            <w:tcW w:w="5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Bitcoin loan payments</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26,847</w:t>
            </w:r>
          </w:p>
        </w:tc>
        <w:tc>
          <w:tcPr>
            <w:tcW w:w="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20" w:type="dxa"/>
            <w:vAlign w:val="bottom"/>
          </w:tcPr>
          <w:p>
            <w:pPr>
              <w:spacing w:after="0"/>
              <w:rPr>
                <w:sz w:val="20"/>
                <w:szCs w:val="20"/>
                <w:color w:val="auto"/>
              </w:rPr>
            </w:pPr>
          </w:p>
        </w:tc>
        <w:tc>
          <w:tcPr>
            <w:tcW w:w="58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Bitcoin received from equity investees</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25,813</w:t>
            </w: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18,089</w:t>
            </w:r>
          </w:p>
        </w:tc>
        <w:tc>
          <w:tcPr>
            <w:tcW w:w="10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r>
      <w:tr>
        <w:trPr>
          <w:trHeight w:val="253"/>
        </w:trPr>
        <w:tc>
          <w:tcPr>
            <w:tcW w:w="20" w:type="dxa"/>
            <w:vAlign w:val="bottom"/>
            <w:shd w:val="clear" w:color="auto" w:fill="CCEEFF"/>
          </w:tcPr>
          <w:p>
            <w:pPr>
              <w:spacing w:after="0"/>
              <w:rPr>
                <w:sz w:val="21"/>
                <w:szCs w:val="21"/>
                <w:color w:val="auto"/>
              </w:rPr>
            </w:pPr>
          </w:p>
        </w:tc>
        <w:tc>
          <w:tcPr>
            <w:tcW w:w="5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Bitcoin received as a loan</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16,551</w:t>
            </w:r>
          </w:p>
        </w:tc>
        <w:tc>
          <w:tcPr>
            <w:tcW w:w="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20" w:type="dxa"/>
            <w:vAlign w:val="bottom"/>
          </w:tcPr>
          <w:p>
            <w:pPr>
              <w:spacing w:after="0"/>
              <w:rPr>
                <w:sz w:val="20"/>
                <w:szCs w:val="20"/>
                <w:color w:val="auto"/>
              </w:rPr>
            </w:pPr>
          </w:p>
        </w:tc>
        <w:tc>
          <w:tcPr>
            <w:tcW w:w="58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Non-cash consideration transferred in acquisition of intangible asset</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14,650</w:t>
            </w: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20" w:type="dxa"/>
            <w:vAlign w:val="bottom"/>
            <w:shd w:val="clear" w:color="auto" w:fill="CCEEFF"/>
          </w:tcPr>
          <w:p>
            <w:pPr>
              <w:spacing w:after="0"/>
              <w:rPr>
                <w:sz w:val="21"/>
                <w:szCs w:val="21"/>
                <w:color w:val="auto"/>
              </w:rPr>
            </w:pPr>
          </w:p>
        </w:tc>
        <w:tc>
          <w:tcPr>
            <w:tcW w:w="5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Initial estimate of asset retirement obligation and related capitalized costs</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10,743</w:t>
            </w:r>
          </w:p>
        </w:tc>
        <w:tc>
          <w:tcPr>
            <w:tcW w:w="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20" w:type="dxa"/>
            <w:vAlign w:val="bottom"/>
          </w:tcPr>
          <w:p>
            <w:pPr>
              <w:spacing w:after="0"/>
              <w:rPr>
                <w:sz w:val="20"/>
                <w:szCs w:val="20"/>
                <w:color w:val="auto"/>
              </w:rPr>
            </w:pPr>
          </w:p>
        </w:tc>
        <w:tc>
          <w:tcPr>
            <w:tcW w:w="58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Sales tax accrual on machines placed in service</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4,496</w:t>
            </w: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2,219</w:t>
            </w:r>
          </w:p>
        </w:tc>
        <w:tc>
          <w:tcPr>
            <w:tcW w:w="10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1,209</w:t>
            </w:r>
          </w:p>
        </w:tc>
      </w:tr>
      <w:tr>
        <w:trPr>
          <w:trHeight w:val="253"/>
        </w:trPr>
        <w:tc>
          <w:tcPr>
            <w:tcW w:w="20" w:type="dxa"/>
            <w:vAlign w:val="bottom"/>
            <w:shd w:val="clear" w:color="auto" w:fill="CCEEFF"/>
          </w:tcPr>
          <w:p>
            <w:pPr>
              <w:spacing w:after="0"/>
              <w:rPr>
                <w:sz w:val="21"/>
                <w:szCs w:val="21"/>
                <w:color w:val="auto"/>
              </w:rPr>
            </w:pPr>
          </w:p>
        </w:tc>
        <w:tc>
          <w:tcPr>
            <w:tcW w:w="5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Right-of-use asset obtained in exchange for operating lease liability</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2,812</w:t>
            </w:r>
          </w:p>
        </w:tc>
      </w:tr>
      <w:tr>
        <w:trPr>
          <w:trHeight w:val="233"/>
        </w:trPr>
        <w:tc>
          <w:tcPr>
            <w:tcW w:w="20" w:type="dxa"/>
            <w:vAlign w:val="bottom"/>
          </w:tcPr>
          <w:p>
            <w:pPr>
              <w:spacing w:after="0"/>
              <w:rPr>
                <w:sz w:val="20"/>
                <w:szCs w:val="20"/>
                <w:color w:val="auto"/>
              </w:rPr>
            </w:pPr>
          </w:p>
        </w:tc>
        <w:tc>
          <w:tcPr>
            <w:tcW w:w="58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Bitcoin paid for interest on loan</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1,977</w:t>
            </w:r>
          </w:p>
        </w:tc>
        <w:tc>
          <w:tcPr>
            <w:tcW w:w="10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20" w:type="dxa"/>
            <w:vAlign w:val="bottom"/>
            <w:shd w:val="clear" w:color="auto" w:fill="CCEEFF"/>
          </w:tcPr>
          <w:p>
            <w:pPr>
              <w:spacing w:after="0"/>
              <w:rPr>
                <w:sz w:val="21"/>
                <w:szCs w:val="21"/>
                <w:color w:val="auto"/>
              </w:rPr>
            </w:pPr>
          </w:p>
        </w:tc>
        <w:tc>
          <w:tcPr>
            <w:tcW w:w="5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Treasury stock reissued for PIPE investment</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20" w:type="dxa"/>
            <w:vAlign w:val="bottom"/>
          </w:tcPr>
          <w:p>
            <w:pPr>
              <w:spacing w:after="0"/>
              <w:rPr>
                <w:sz w:val="20"/>
                <w:szCs w:val="20"/>
                <w:color w:val="auto"/>
              </w:rPr>
            </w:pPr>
          </w:p>
        </w:tc>
        <w:tc>
          <w:tcPr>
            <w:tcW w:w="58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Settlement of related party payable related to master services and supply agreement</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1,554</w:t>
            </w:r>
          </w:p>
        </w:tc>
        <w:tc>
          <w:tcPr>
            <w:tcW w:w="10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20" w:type="dxa"/>
            <w:vAlign w:val="bottom"/>
            <w:shd w:val="clear" w:color="auto" w:fill="CCEEFF"/>
          </w:tcPr>
          <w:p>
            <w:pPr>
              <w:spacing w:after="0"/>
              <w:rPr>
                <w:sz w:val="21"/>
                <w:szCs w:val="21"/>
                <w:color w:val="auto"/>
              </w:rPr>
            </w:pPr>
          </w:p>
        </w:tc>
        <w:tc>
          <w:tcPr>
            <w:tcW w:w="5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Right-of-use asset obtained in exchange for finance lease liability</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14,212</w:t>
            </w:r>
          </w:p>
        </w:tc>
      </w:tr>
      <w:tr>
        <w:trPr>
          <w:trHeight w:val="223"/>
        </w:trPr>
        <w:tc>
          <w:tcPr>
            <w:tcW w:w="20" w:type="dxa"/>
            <w:vAlign w:val="bottom"/>
          </w:tcPr>
          <w:p>
            <w:pPr>
              <w:spacing w:after="0"/>
              <w:rPr>
                <w:sz w:val="19"/>
                <w:szCs w:val="19"/>
                <w:color w:val="auto"/>
              </w:rPr>
            </w:pPr>
          </w:p>
        </w:tc>
        <w:tc>
          <w:tcPr>
            <w:tcW w:w="58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Issuance of common stock in exchange for intangible assets</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r>
    </w:tbl>
    <w:p>
      <w:pPr>
        <w:spacing w:after="0" w:line="33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together with Restricted cash as reported within the Consolidated Balance Sheets to the sum of the same such amounts shown in the Consolidated Statements of Cash Flows.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3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236"/>
        </w:trPr>
        <w:tc>
          <w:tcPr>
            <w:tcW w:w="63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628,263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74,178</w:t>
            </w:r>
          </w:p>
        </w:tc>
      </w:tr>
      <w:tr>
        <w:trPr>
          <w:trHeight w:val="233"/>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 current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1,761,292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 noncurrent</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275,076</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14,392</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11,927</w:t>
            </w: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 shown in the statement of cash flows</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2,664,631</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19,977</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86,105</w:t>
            </w:r>
          </w:p>
        </w:tc>
      </w:tr>
      <w:tr>
        <w:trPr>
          <w:trHeight w:val="21"/>
        </w:trPr>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8" w:right="339" w:bottom="1440" w:gutter="0" w:footer="0" w:header="0"/>
        </w:sectPr>
      </w:pPr>
    </w:p>
    <w:bookmarkStart w:id="90" w:name="page91"/>
    <w:bookmarkEnd w:id="90"/>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ectPr>
          <w:pgSz w:w="11900" w:h="16838" w:orient="portrait"/>
          <w:cols w:equalWidth="0" w:num="1">
            <w:col w:w="9019"/>
          </w:cols>
          <w:pgMar w:left="1440" w:top="12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94" w:right="1440" w:bottom="1440" w:gutter="0" w:footer="0" w:header="0"/>
          <w:type w:val="continuous"/>
        </w:sectPr>
      </w:pPr>
    </w:p>
    <w:bookmarkStart w:id="91" w:name="page92"/>
    <w:bookmarkEnd w:id="9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operations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Cipher Digital Inc. (“Cipher,” “CDI,” or the “Company”) is focused on the development and operation of industrial-scale data centers for bitcoin mining and high-performance compute (“HPC”) hosting. The Company operates two wholly-owned bitcoin mining data centers, a 207 MW site located in Odessa, Texas that draws fixed priced power from a power purchase agreement with its electricity provider (the “Odessa Facility”) and a 300 MW data center in Wink, Texas that draws power from the power grid (the “Black Pearl Facility”). As of December 31, 2025, the Company also had equity investments in three partially-owned joint venture bitcoin mining data centers, which were sold on February 19, 2026. The Company is in the process of retrofitting the Black Pearl Facility for an HPC tenant, with an expected commencement date of mid-2026. The Company’s portfolio as of December 31, 2025 also includes three wholly-owned sites and one majority owned joint venture which have not commenced operations, and options to acquire three additional wholly-owned sites.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and capital resources</w:t>
      </w:r>
    </w:p>
    <w:p>
      <w:pPr>
        <w:spacing w:after="0" w:line="18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has historically experienced net losses and negative cash flows from operations; however, proceeds from sales of bitcoin are categorized as cash flows from investing activities to the extent bitcoin is sold after seven days from receipt. As of December 31, 2025, the Company had approximate balances of cash and cash equivalents of $628.3 million, working capital of $1,953.8 million, total stockholders’ equity of $805.5 million and an accumulated deficit of $1,003.7 million. The Company uses a combination of short-term and long-term financing arrangements, proceeds from sales of bitcoin earned by or received from its bitcoin mining data centers, and strategic sales of shares through “at-the-market” offerings to support its operating expenses and capital expenditures.</w:t>
      </w:r>
    </w:p>
    <w:p>
      <w:pPr>
        <w:spacing w:after="0" w:line="14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Company monitors its balance sheet on an ongoing basis to determine the proper mix of bitcoin retention and bitcoin sales to support its cash requirements, ongoing operations, and capital expenditures. Bitcoin is classified as a current asset on the Company’s balance sheets due to its intent and ability to sell bitcoin to support operations when needed. Approximately $207.9 million of cash was used for operating activities during the year ended December 31, 2025.</w:t>
      </w:r>
    </w:p>
    <w:p>
      <w:pPr>
        <w:spacing w:after="0" w:line="1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42424"/>
        </w:rPr>
        <w:t xml:space="preserve">During the year ended December 31, 2025, the Company sold bitcoin for proceeds of approximately </w:t>
      </w:r>
      <w:r>
        <w:rPr>
          <w:rFonts w:ascii="Times New Roman" w:cs="Times New Roman" w:eastAsia="Times New Roman" w:hAnsi="Times New Roman"/>
          <w:sz w:val="18"/>
          <w:szCs w:val="18"/>
          <w:color w:val="000000"/>
        </w:rPr>
        <w:t>$214.7</w:t>
      </w:r>
      <w:r>
        <w:rPr>
          <w:rFonts w:ascii="Times New Roman" w:cs="Times New Roman" w:eastAsia="Times New Roman" w:hAnsi="Times New Roman"/>
          <w:sz w:val="18"/>
          <w:szCs w:val="18"/>
          <w:color w:val="242424"/>
        </w:rPr>
        <w:t xml:space="preserve"> million, paid approximately </w:t>
      </w:r>
      <w:r>
        <w:rPr>
          <w:rFonts w:ascii="Times New Roman" w:cs="Times New Roman" w:eastAsia="Times New Roman" w:hAnsi="Times New Roman"/>
          <w:sz w:val="18"/>
          <w:szCs w:val="18"/>
          <w:color w:val="000000"/>
        </w:rPr>
        <w:t>$487.9</w:t>
      </w:r>
      <w:r>
        <w:rPr>
          <w:rFonts w:ascii="Times New Roman" w:cs="Times New Roman" w:eastAsia="Times New Roman" w:hAnsi="Times New Roman"/>
          <w:sz w:val="18"/>
          <w:szCs w:val="18"/>
          <w:color w:val="242424"/>
        </w:rPr>
        <w:t xml:space="preserve"> million for property and equipment primarily related to the build-out of the Black Pearl and Barber Lake facilities</w:t>
      </w:r>
      <w:r>
        <w:rPr>
          <w:rFonts w:ascii="Times New Roman" w:cs="Times New Roman" w:eastAsia="Times New Roman" w:hAnsi="Times New Roman"/>
          <w:sz w:val="18"/>
          <w:szCs w:val="18"/>
          <w:color w:val="EE2724"/>
        </w:rPr>
        <w:t>.</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Company has a master loan agreement with Coinbase Credit, Inc., as Lender, and Coinbase, Inc., as Lending Service Provider (the “Coinbase Master Loan Agreement”). Pursuant to the master loan agreement, the Company has a secured line of credit up to $25.0 million (the “Coinbase Overnight Credit Facility”). The borrowings are collateralized by bitcoin transferred to the Lending Service Provider’s platform.</w:t>
      </w:r>
    </w:p>
    <w:p>
      <w:pPr>
        <w:spacing w:after="0" w:line="1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also has a $100.0 million secured credit facility with Two Prime Lending Limited (“Two Prime Credit Facility”). Borrowings on this facility will be backed by the Company’s bitcoin held in a triparty account.</w:t>
      </w:r>
    </w:p>
    <w:p>
      <w:pPr>
        <w:spacing w:after="0" w:line="13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May 22, 2025, the Company issued $172.5 million of principal amount of convertible notes due in 2030 with an interest rate of 1.75% (the “2030 Convertible Notes”). The 2030 Convertible Notes are senior, unsecured obligations with interest due semiannually on May 15 and November 15 each year beginning on November 15, 2025.</w:t>
      </w:r>
    </w:p>
    <w:p>
      <w:pPr>
        <w:spacing w:after="0" w:line="13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On September 30, 2025, the Company issued $1,300.0 million of principal amount of convertible notes due in 2031 with an interest rate of 0.00% (the “2031 Convertible Notes”). The 2031 Convertible Notes are senior, unsecured obligations.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16. Debt</w:t>
      </w:r>
      <w:r>
        <w:rPr>
          <w:rFonts w:ascii="Times New Roman" w:cs="Times New Roman" w:eastAsia="Times New Roman" w:hAnsi="Times New Roman"/>
          <w:sz w:val="18"/>
          <w:szCs w:val="18"/>
          <w:color w:val="auto"/>
        </w:rPr>
        <w:t xml:space="preserve"> for more details on all debt arrangements.</w:t>
      </w:r>
    </w:p>
    <w:p>
      <w:pPr>
        <w:spacing w:after="0" w:line="20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Management believes that the Company’s existing financial resources, and ability to obtain project level financing, combined with projected cash and bitcoin inflows from its data centers, its ability to sell bitcoin received or earned, and its intent and ability to sell common stock through at-the-market offerings will be sufficient to enable the Company to meet its operating and capital requirements for at least 12 months from the date these consolidated financial statements are issued.</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prepares its consolidated financial statements in accordance with accounting principles generally accepted in the United States (“GAAP”) as determined by the FASB and pursuant to the accounting and disclosure rules and regulations of the Securities and Exchange Commission (“SEC”).</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controlled subsidiaries. All intercompany transactions and balances have been eliminated.</w:t>
      </w:r>
    </w:p>
    <w:p>
      <w:pPr>
        <w:spacing w:after="0" w:line="13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Certain reclassifications have been made to the prior period’s consolidated financial statements in order to conform to the current period presentation. Such reclassifications are immaterial, individually and in the aggregate, to both current and all previously issued financial statements taken as a whole.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expenses during the reporting period. The most significant estimates inherent in the preparation of the Company’s consolidated financial statements include, but are not limited to, those related to equity instruments issued in share-based compensation arrangements, valuations of its derivative asset and warrant liability, useful lives and impairment considerations of property and equipment, the asset retirement obligations and the valuation allowance associated with the Company’s deferred tax assets, among others.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at the date of acquisition to be cash equivalents. The Company’s cash equivalents consist of funds held in money market accounts. The Company had $628.3 million and $5.6 million in cash equivalents as of December 31, 2025 and 2024,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0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Restricted cash primarily relates to proceeds from the 2030 Senior Secured Notes, issued by Cipher Compute LLC, which the Company is restricted from using for general corporate purposes and is using to finance the construction of the Barber Lake Facility. As these funds are being used in the short term to build out the facility before the lease of the facility is expected to commence in September 2026, this restricted cash is classified in current assets on the Company’s consolidated balance sheets.</w:t>
      </w:r>
    </w:p>
    <w:p>
      <w:pPr>
        <w:spacing w:after="0" w:line="139" w:lineRule="exact"/>
        <w:rPr>
          <w:sz w:val="20"/>
          <w:szCs w:val="20"/>
          <w:color w:val="auto"/>
        </w:rPr>
      </w:pPr>
    </w:p>
    <w:p>
      <w:pPr>
        <w:jc w:val="both"/>
        <w:ind w:right="120"/>
        <w:spacing w:after="0" w:line="272" w:lineRule="auto"/>
        <w:rPr>
          <w:sz w:val="20"/>
          <w:szCs w:val="20"/>
          <w:color w:val="auto"/>
        </w:rPr>
      </w:pPr>
      <w:r>
        <w:rPr>
          <w:rFonts w:ascii="Times New Roman" w:cs="Times New Roman" w:eastAsia="Times New Roman" w:hAnsi="Times New Roman"/>
          <w:sz w:val="17"/>
          <w:szCs w:val="17"/>
          <w:color w:val="auto"/>
        </w:rPr>
        <w:t xml:space="preserve">Restricted cash classified as noncurrent on the Company’s consolidated balance sheets represents cash required to be held in a debt service account related to the 2030 Senior Secured Notes, as well as amounts pledged as collateral to Luminant ET Services Company LLC (“Luminant”), and Vistra Operations Company, LLC (“Vistra”), a Luminant affiliate, primarily related to the Luminant Power Agreement (defined below in </w:t>
      </w:r>
      <w:r>
        <w:rPr>
          <w:rFonts w:ascii="Times New Roman" w:cs="Times New Roman" w:eastAsia="Times New Roman" w:hAnsi="Times New Roman"/>
          <w:sz w:val="17"/>
          <w:szCs w:val="17"/>
          <w:i w:val="1"/>
          <w:iCs w:val="1"/>
          <w:color w:val="auto"/>
        </w:rPr>
        <w:t>Note 4. Derivative Asset)</w:t>
      </w:r>
      <w:r>
        <w:rPr>
          <w:rFonts w:ascii="Times New Roman" w:cs="Times New Roman" w:eastAsia="Times New Roman" w:hAnsi="Times New Roman"/>
          <w:sz w:val="17"/>
          <w:szCs w:val="17"/>
          <w:color w:val="auto"/>
        </w:rPr>
        <w:t>.</w:t>
      </w:r>
    </w:p>
    <w:p>
      <w:pPr>
        <w:spacing w:after="0" w:line="2" w:lineRule="exact"/>
        <w:rPr>
          <w:sz w:val="20"/>
          <w:szCs w:val="20"/>
          <w:color w:val="auto"/>
        </w:rPr>
      </w:pPr>
    </w:p>
    <w:p>
      <w:pPr>
        <w:jc w:val="both"/>
        <w:ind w:right="160"/>
        <w:spacing w:after="0" w:line="255" w:lineRule="auto"/>
        <w:rPr>
          <w:sz w:val="20"/>
          <w:szCs w:val="20"/>
          <w:color w:val="auto"/>
        </w:rPr>
      </w:pPr>
      <w:r>
        <w:rPr>
          <w:rFonts w:ascii="Times New Roman" w:cs="Times New Roman" w:eastAsia="Times New Roman" w:hAnsi="Times New Roman"/>
          <w:sz w:val="18"/>
          <w:szCs w:val="18"/>
          <w:color w:val="auto"/>
        </w:rPr>
        <w:t>Previously these amounts were held by each respective counterparty, and classified in the Company's financials as Security deposits. In September 2024, the Company moved the collateral to a money market account in the Company's name with a bank letter of credit. The collateral restrictions related to the Luminant Power Agreement will lapse upon termination of the agreement.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20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and cash equivalents, and Restricted cash. Periodically, the Company maintains deposits in financial institutions in excess of government insured limits. Management believes that the Company is not exposed to significant credit risk as the Company’s deposits are held at financial institutions that management believes to be of high credit quality. The Company has not experienced any losses on these deposits.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3" w:name="page94"/>
    <w:bookmarkEnd w:id="9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0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Company’s accounts receivable balance consists of amounts due from its only customer, a mining pool operator. Amounts recorded in accounts receivable consist of the block rewards and transaction fees earned the last day (last contract period) of the year, but not yet received from the mining pool operator. No allowance was recorded as of December 31, 2025 or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The Company’s financial assets and liabilities are accounted for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which defines fair value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requires an entity to maximize the use of observable inputs when measuring fair value and classifies those inputs into three levels:</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Level 1 – Observable inputs, such as quoted prices in active markets for identical assets and liabilities.</w:t>
      </w:r>
    </w:p>
    <w:p>
      <w:pPr>
        <w:spacing w:after="0" w:line="185" w:lineRule="exact"/>
        <w:rPr>
          <w:sz w:val="20"/>
          <w:szCs w:val="20"/>
          <w:color w:val="auto"/>
        </w:rPr>
      </w:pPr>
    </w:p>
    <w:p>
      <w:pPr>
        <w:jc w:val="both"/>
        <w:ind w:left="1300" w:right="420" w:hanging="728"/>
        <w:spacing w:after="0" w:line="266" w:lineRule="auto"/>
        <w:rPr>
          <w:sz w:val="20"/>
          <w:szCs w:val="20"/>
          <w:color w:val="auto"/>
        </w:rPr>
      </w:pPr>
      <w:r>
        <w:rPr>
          <w:rFonts w:ascii="Times New Roman" w:cs="Times New Roman" w:eastAsia="Times New Roman" w:hAnsi="Times New Roman"/>
          <w:sz w:val="18"/>
          <w:szCs w:val="18"/>
          <w:color w:val="auto"/>
        </w:rPr>
        <w:t>Level 2 – Inputs other than Level 1 inputs that are either directly or indirectly observable, such as quoted prices for similar assets or liabilities; quoted prices in markets that are not active; or other inputs that are observable or can be corroborated by observable market data for substantially the full term of the instrument’s anticipated life.</w:t>
      </w:r>
    </w:p>
    <w:p>
      <w:pPr>
        <w:spacing w:after="0" w:line="13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Level 3 – Unobservable inputs in which there is little or no market data, which require the reporting entity to develop its own assumptions.</w:t>
      </w:r>
    </w:p>
    <w:p>
      <w:pPr>
        <w:spacing w:after="0" w:line="19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To the extent the valuation is based on models or inputs that are less observable or unobservable in the market, the determination of fair values requires more judgment. Accordingly, the degree of judgment exercised by management in determining fair value is greatest for instruments categorized as Level 3. A financial instrument’s level within the fair value hierarchy is based on the lowest level of any input that is significant to the fair value measurement.</w:t>
      </w:r>
    </w:p>
    <w:p>
      <w:pPr>
        <w:spacing w:after="0" w:line="135"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The carrying values reported in the Company’s consolidated balance sheets for cash (excluding cash equivalents which are recorded at fair value on a recurring basis), accounts payable and accrued expenses and other current liabilities are reasonable estimates of their fair values due to the short-term nature of these items.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20. Fair Value Measurements</w:t>
      </w:r>
      <w:r>
        <w:rPr>
          <w:rFonts w:ascii="Times New Roman" w:cs="Times New Roman" w:eastAsia="Times New Roman" w:hAnsi="Times New Roman"/>
          <w:sz w:val="18"/>
          <w:szCs w:val="18"/>
          <w:color w:val="auto"/>
        </w:rPr>
        <w:t>, for further information about the Level 3 asset and liability activity and Level 3 inputs.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Bitcoin</w:t>
      </w:r>
    </w:p>
    <w:p>
      <w:pPr>
        <w:spacing w:after="0" w:line="18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 xml:space="preserve">Bitcoin are included in current assets on the consolidated balance sheets. Bitcoin received through the Company’s wholly-owned mining activities are accounted for in connection with the Company’s revenue recognition policy. Bitcoin awarded to the Company as distributions-in-kind from equity investees are accounted for in accordance with ASC 845, </w:t>
      </w:r>
      <w:r>
        <w:rPr>
          <w:rFonts w:ascii="Times New Roman" w:cs="Times New Roman" w:eastAsia="Times New Roman" w:hAnsi="Times New Roman"/>
          <w:sz w:val="18"/>
          <w:szCs w:val="18"/>
          <w:i w:val="1"/>
          <w:iCs w:val="1"/>
          <w:color w:val="auto"/>
        </w:rPr>
        <w:t>Nonmonetary Transactions</w:t>
      </w:r>
      <w:r>
        <w:rPr>
          <w:rFonts w:ascii="Times New Roman" w:cs="Times New Roman" w:eastAsia="Times New Roman" w:hAnsi="Times New Roman"/>
          <w:sz w:val="18"/>
          <w:szCs w:val="18"/>
          <w:color w:val="auto"/>
        </w:rPr>
        <w:t>, and recorded at fair value upon receipt.</w:t>
      </w:r>
    </w:p>
    <w:p>
      <w:pPr>
        <w:spacing w:after="0" w:line="13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Bitcoin held by the Company are accounted for as intangible assets under ASC 350-60, </w:t>
      </w:r>
      <w:r>
        <w:rPr>
          <w:rFonts w:ascii="Times New Roman" w:cs="Times New Roman" w:eastAsia="Times New Roman" w:hAnsi="Times New Roman"/>
          <w:sz w:val="18"/>
          <w:szCs w:val="18"/>
          <w:i w:val="1"/>
          <w:iCs w:val="1"/>
          <w:color w:val="auto"/>
        </w:rPr>
        <w:t>Crypto Assets</w:t>
      </w:r>
      <w:r>
        <w:rPr>
          <w:rFonts w:ascii="Times New Roman" w:cs="Times New Roman" w:eastAsia="Times New Roman" w:hAnsi="Times New Roman"/>
          <w:sz w:val="18"/>
          <w:szCs w:val="18"/>
          <w:color w:val="auto"/>
        </w:rPr>
        <w:t xml:space="preserve"> (“ASC 350-60”). Intangible assets under the scope of this subtopic are measured at fair value on the Company’s consolidated balance sheets. The Company determines the fair value of its bitcoin on a nonrecurring basis in accordance with ASC 820 based on quoted prices on the active trading platform that the Company has determined is its principal market for bitcoin (Level 1 inputs).</w:t>
      </w:r>
    </w:p>
    <w:p>
      <w:pPr>
        <w:spacing w:after="0" w:line="153"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color w:val="auto"/>
        </w:rPr>
        <w:t xml:space="preserve">Prior to the adoption of ASU 2023-08 </w:t>
      </w:r>
      <w:r>
        <w:rPr>
          <w:rFonts w:ascii="Times New Roman" w:cs="Times New Roman" w:eastAsia="Times New Roman" w:hAnsi="Times New Roman"/>
          <w:sz w:val="18"/>
          <w:szCs w:val="18"/>
          <w:i w:val="1"/>
          <w:iCs w:val="1"/>
          <w:color w:val="auto"/>
        </w:rPr>
        <w:t>Accounting for and Disclosure of Crypto Assets</w:t>
      </w:r>
      <w:r>
        <w:rPr>
          <w:rFonts w:ascii="Times New Roman" w:cs="Times New Roman" w:eastAsia="Times New Roman" w:hAnsi="Times New Roman"/>
          <w:sz w:val="18"/>
          <w:szCs w:val="18"/>
          <w:color w:val="auto"/>
        </w:rPr>
        <w:t xml:space="preserve"> (“ASU 2023-08”), bitcoin was accounted for as an intangible asset subject to impairment. Upon adoption of ASC 350-60 on January 1, 2023, the Company recorded an opening adjustment to retained earnings of $0.2 million.</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Bitcoin awarded to the Company through its mining activities are included as an adjustment to reconcile net loss to cash used in operating activities on the consolidated statements of cash flows. Proceeds from sales of bitcoin are included within cash flows from operating activities on the consolidated statements of cash flows to the extent bitcoin are sold within seven days of being awarded, and investing cash flows if sold after that period. Any realized gains or losses from such sales are included in costs and operating expenses (income) on the consolidated statements of operations. The receipt of bitcoin as distributions-in-kind from equity investees are included as a noncash activity on the consolidated statements of cash flows. Bitcoin are sold on a first-in-first-out (“FIFO”) basis.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Receivable for bitcoin collateral</w:t>
      </w:r>
    </w:p>
    <w:p>
      <w:pPr>
        <w:spacing w:after="0" w:line="20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Receivable for bitcoin is included in current assets on the consolidated balance sheets. This balance represents bitcoin pledged to counterparties as collateral which can be rehypothecated, and therefore is derecognized from the Company’s bitcoin balance. The receivable is recorded at fair value, with changes in fair value recorded in Other income (expense) on the consolidated statements of operations. No allowance was recorded as of December 31, 2025 or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Miners held for sale</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Miners held for sale represents the Company’s miners at the Black Pearl Facility which the Company determined meet the criteria to be classified as held for sale as of December 31, 2025. Once assets are classified as held for sale, the Company ceases recording depreciation on those assets. Assets held for sale are measured at the lower of their carrying value or estimated fair value less cost to sell. Upon disposal, the Company recognizes a realized gain or loss equal to the net proceeds received, reduced by any direct selling costs incurred, compared to the carrying value of the assets at the disposal date.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Property and equipment consists primarily of miners and mining equipment, leasehold improvements and construction-in-progress at the Company’s data centers which are held and used, and is stated at cost, net of accumulated depreciation and amortization. Depreciation and amortization are calculated using the straight-line method over the estimated useful lives of the assets. Leasehold improvements include capitalized asset retirement costs (see the related </w:t>
      </w:r>
      <w:r>
        <w:rPr>
          <w:rFonts w:ascii="Times New Roman" w:cs="Times New Roman" w:eastAsia="Times New Roman" w:hAnsi="Times New Roman"/>
          <w:sz w:val="18"/>
          <w:szCs w:val="18"/>
          <w:i w:val="1"/>
          <w:iCs w:val="1"/>
          <w:color w:val="auto"/>
        </w:rPr>
        <w:t xml:space="preserve">Asset Retirement Obligations </w:t>
      </w:r>
      <w:r>
        <w:rPr>
          <w:rFonts w:ascii="Times New Roman" w:cs="Times New Roman" w:eastAsia="Times New Roman" w:hAnsi="Times New Roman"/>
          <w:sz w:val="18"/>
          <w:szCs w:val="18"/>
          <w:color w:val="auto"/>
        </w:rPr>
        <w:t>policy below) and the substation right-of-use asset (further discussed in</w:t>
      </w:r>
      <w:r>
        <w:rPr>
          <w:rFonts w:ascii="Times New Roman" w:cs="Times New Roman" w:eastAsia="Times New Roman" w:hAnsi="Times New Roman"/>
          <w:sz w:val="18"/>
          <w:szCs w:val="18"/>
          <w:i w:val="1"/>
          <w:iCs w:val="1"/>
          <w:color w:val="auto"/>
        </w:rPr>
        <w:t xml:space="preserve"> Note 13. Leases)</w:t>
      </w:r>
      <w:r>
        <w:rPr>
          <w:rFonts w:ascii="Times New Roman" w:cs="Times New Roman" w:eastAsia="Times New Roman" w:hAnsi="Times New Roman"/>
          <w:sz w:val="18"/>
          <w:szCs w:val="18"/>
          <w:color w:val="auto"/>
        </w:rPr>
        <w:t>, both of which are amortized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shorter of the estimated useful life of the related assets, or the related lease. All other leasehold improvements are depreciated over the lesser of the estimated useful life of the asset or the remaining life of the related lease. Costs of maintenance, repairs and minor replacements are expensed when incurred. Construction-in-progress is comprised of assets which have not been placed into service and is not depreciated until the related assets or improvements are ready to be placed into service.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useful lives for all property and equipment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tcPr>
          <w:p>
            <w:pPr>
              <w:spacing w:after="0"/>
              <w:rPr>
                <w:sz w:val="18"/>
                <w:szCs w:val="18"/>
                <w:color w:val="auto"/>
              </w:rPr>
            </w:pPr>
          </w:p>
        </w:tc>
        <w:tc>
          <w:tcPr>
            <w:tcW w:w="5200" w:type="dxa"/>
            <w:vAlign w:val="bottom"/>
          </w:tcPr>
          <w:p>
            <w:pPr>
              <w:jc w:val="center"/>
              <w:ind w:left="3290"/>
              <w:spacing w:after="0"/>
              <w:rPr>
                <w:sz w:val="20"/>
                <w:szCs w:val="20"/>
                <w:color w:val="auto"/>
              </w:rPr>
            </w:pPr>
            <w:r>
              <w:rPr>
                <w:rFonts w:ascii="Times New Roman" w:cs="Times New Roman" w:eastAsia="Times New Roman" w:hAnsi="Times New Roman"/>
                <w:sz w:val="18"/>
                <w:szCs w:val="18"/>
                <w:b w:val="1"/>
                <w:bCs w:val="1"/>
                <w:color w:val="auto"/>
                <w:w w:val="98"/>
              </w:rPr>
              <w:t>Useful lives</w:t>
            </w:r>
          </w:p>
        </w:tc>
      </w:tr>
      <w:tr>
        <w:trPr>
          <w:trHeight w:val="238"/>
        </w:trPr>
        <w:tc>
          <w:tcPr>
            <w:tcW w:w="6040" w:type="dxa"/>
            <w:vAlign w:val="bottom"/>
          </w:tcPr>
          <w:p>
            <w:pPr>
              <w:spacing w:after="0"/>
              <w:rPr>
                <w:sz w:val="20"/>
                <w:szCs w:val="20"/>
                <w:color w:val="auto"/>
              </w:rPr>
            </w:pPr>
          </w:p>
        </w:tc>
        <w:tc>
          <w:tcPr>
            <w:tcW w:w="5200" w:type="dxa"/>
            <w:vAlign w:val="bottom"/>
          </w:tcPr>
          <w:p>
            <w:pPr>
              <w:jc w:val="center"/>
              <w:ind w:left="3290"/>
              <w:spacing w:after="0"/>
              <w:rPr>
                <w:sz w:val="20"/>
                <w:szCs w:val="20"/>
                <w:color w:val="auto"/>
              </w:rPr>
            </w:pPr>
            <w:r>
              <w:rPr>
                <w:rFonts w:ascii="Times New Roman" w:cs="Times New Roman" w:eastAsia="Times New Roman" w:hAnsi="Times New Roman"/>
                <w:sz w:val="18"/>
                <w:szCs w:val="18"/>
                <w:b w:val="1"/>
                <w:bCs w:val="1"/>
                <w:color w:val="auto"/>
              </w:rPr>
              <w:t>(in years)</w:t>
            </w:r>
          </w:p>
        </w:tc>
      </w:tr>
      <w:tr>
        <w:trPr>
          <w:trHeight w:val="27"/>
        </w:trPr>
        <w:tc>
          <w:tcPr>
            <w:tcW w:w="6040" w:type="dxa"/>
            <w:vAlign w:val="bottom"/>
          </w:tcPr>
          <w:p>
            <w:pPr>
              <w:spacing w:after="0"/>
              <w:rPr>
                <w:sz w:val="2"/>
                <w:szCs w:val="2"/>
                <w:color w:val="auto"/>
              </w:rPr>
            </w:pPr>
          </w:p>
        </w:tc>
        <w:tc>
          <w:tcPr>
            <w:tcW w:w="52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Miners and mining equipment</w:t>
            </w:r>
          </w:p>
        </w:tc>
        <w:tc>
          <w:tcPr>
            <w:tcW w:w="5200" w:type="dxa"/>
            <w:vAlign w:val="bottom"/>
            <w:tcBorders>
              <w:bottom w:val="single" w:sz="8" w:color="CCEEFF"/>
            </w:tcBorders>
            <w:shd w:val="clear" w:color="auto" w:fill="CCEEFF"/>
          </w:tcPr>
          <w:p>
            <w:pPr>
              <w:jc w:val="center"/>
              <w:ind w:left="3290"/>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200" w:type="dxa"/>
            <w:vAlign w:val="bottom"/>
          </w:tcPr>
          <w:p>
            <w:pPr>
              <w:jc w:val="center"/>
              <w:ind w:left="3290"/>
              <w:spacing w:after="0"/>
              <w:rPr>
                <w:sz w:val="20"/>
                <w:szCs w:val="20"/>
                <w:color w:val="auto"/>
              </w:rPr>
            </w:pPr>
            <w:r>
              <w:rPr>
                <w:rFonts w:ascii="Times New Roman" w:cs="Times New Roman" w:eastAsia="Times New Roman" w:hAnsi="Times New Roman"/>
                <w:sz w:val="18"/>
                <w:szCs w:val="18"/>
                <w:color w:val="auto"/>
                <w:w w:val="99"/>
              </w:rPr>
              <w:t>5 to 20</w:t>
            </w:r>
          </w:p>
        </w:tc>
      </w:tr>
      <w:tr>
        <w:trPr>
          <w:trHeight w:val="27"/>
        </w:trPr>
        <w:tc>
          <w:tcPr>
            <w:tcW w:w="6040" w:type="dxa"/>
            <w:vAlign w:val="bottom"/>
          </w:tcPr>
          <w:p>
            <w:pPr>
              <w:spacing w:after="0"/>
              <w:rPr>
                <w:sz w:val="2"/>
                <w:szCs w:val="2"/>
                <w:color w:val="auto"/>
              </w:rPr>
            </w:pPr>
          </w:p>
        </w:tc>
        <w:tc>
          <w:tcPr>
            <w:tcW w:w="52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200" w:type="dxa"/>
            <w:vAlign w:val="bottom"/>
            <w:tcBorders>
              <w:bottom w:val="single" w:sz="8" w:color="CCEEFF"/>
            </w:tcBorders>
            <w:shd w:val="clear" w:color="auto" w:fill="CCEEFF"/>
          </w:tcPr>
          <w:p>
            <w:pPr>
              <w:jc w:val="center"/>
              <w:ind w:left="3290"/>
              <w:spacing w:after="0"/>
              <w:rPr>
                <w:sz w:val="20"/>
                <w:szCs w:val="20"/>
                <w:color w:val="auto"/>
              </w:rPr>
            </w:pPr>
            <w:r>
              <w:rPr>
                <w:rFonts w:ascii="Times New Roman" w:cs="Times New Roman" w:eastAsia="Times New Roman" w:hAnsi="Times New Roman"/>
                <w:sz w:val="18"/>
                <w:szCs w:val="18"/>
                <w:color w:val="auto"/>
              </w:rPr>
              <w:t>3 to 7</w:t>
            </w:r>
          </w:p>
        </w:tc>
      </w:tr>
      <w:tr>
        <w:trPr>
          <w:trHeight w:val="24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Infrastructure assets</w:t>
            </w:r>
          </w:p>
        </w:tc>
        <w:tc>
          <w:tcPr>
            <w:tcW w:w="5200" w:type="dxa"/>
            <w:vAlign w:val="bottom"/>
          </w:tcPr>
          <w:p>
            <w:pPr>
              <w:jc w:val="center"/>
              <w:ind w:left="3290"/>
              <w:spacing w:after="0"/>
              <w:rPr>
                <w:sz w:val="20"/>
                <w:szCs w:val="20"/>
                <w:color w:val="auto"/>
              </w:rPr>
            </w:pPr>
            <w:r>
              <w:rPr>
                <w:rFonts w:ascii="Times New Roman" w:cs="Times New Roman" w:eastAsia="Times New Roman" w:hAnsi="Times New Roman"/>
                <w:sz w:val="18"/>
                <w:szCs w:val="18"/>
                <w:color w:val="auto"/>
                <w:w w:val="98"/>
              </w:rPr>
              <w:t>10 to 20</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189"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Intangible assets, net primarily includes strategic contracts acquired as part of asset acquisitions and relate to certain regulatory approvals related to energizing data centers. Intangible assets also includes capitalized software, which consists of consulting costs related to development of internal-use software. Intangible assets are presented net of the associated accumulated amortization.</w:t>
      </w:r>
    </w:p>
    <w:p>
      <w:pPr>
        <w:spacing w:after="0" w:line="13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Company accounts for the costs of software developed for internal use by capitalizing costs incurred during the application development stage to Intangible assets, net on its consolidated balance sheets. Costs related to preliminary project activities and post-implementation activities are expensed as incurred. The Company plans to amortize the capitalized costs of internal-use software on a straight-line basis over the estimated useful life of the asset, which is expected to be three years. The Company will recognize the amortization of software in depreciation expense on the consolidated statements of operations once the software is technologically feasible.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16"/>
        </w:trPr>
        <w:tc>
          <w:tcPr>
            <w:tcW w:w="8940" w:type="dxa"/>
            <w:vAlign w:val="bottom"/>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8"/>
              </w:rPr>
              <w:t>CIPHER DIGITAL INC.</w:t>
            </w:r>
          </w:p>
        </w:tc>
        <w:tc>
          <w:tcPr>
            <w:tcW w:w="2300" w:type="dxa"/>
            <w:vAlign w:val="bottom"/>
          </w:tcPr>
          <w:p>
            <w:pPr>
              <w:spacing w:after="0"/>
              <w:rPr>
                <w:sz w:val="18"/>
                <w:szCs w:val="18"/>
                <w:color w:val="auto"/>
              </w:rPr>
            </w:pPr>
          </w:p>
        </w:tc>
      </w:tr>
      <w:tr>
        <w:trPr>
          <w:trHeight w:val="238"/>
        </w:trPr>
        <w:tc>
          <w:tcPr>
            <w:tcW w:w="8940" w:type="dxa"/>
            <w:vAlign w:val="bottom"/>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2300" w:type="dxa"/>
            <w:vAlign w:val="bottom"/>
          </w:tcPr>
          <w:p>
            <w:pPr>
              <w:spacing w:after="0"/>
              <w:rPr>
                <w:sz w:val="20"/>
                <w:szCs w:val="20"/>
                <w:color w:val="auto"/>
              </w:rPr>
            </w:pPr>
          </w:p>
        </w:tc>
      </w:tr>
      <w:tr>
        <w:trPr>
          <w:trHeight w:val="932"/>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The estimated useful lives for all intangible assets are as follows:</w:t>
            </w:r>
          </w:p>
        </w:tc>
        <w:tc>
          <w:tcPr>
            <w:tcW w:w="2300" w:type="dxa"/>
            <w:vAlign w:val="bottom"/>
          </w:tcPr>
          <w:p>
            <w:pPr>
              <w:spacing w:after="0"/>
              <w:rPr>
                <w:sz w:val="24"/>
                <w:szCs w:val="24"/>
                <w:color w:val="auto"/>
              </w:rPr>
            </w:pPr>
          </w:p>
        </w:tc>
      </w:tr>
      <w:tr>
        <w:trPr>
          <w:trHeight w:val="437"/>
        </w:trPr>
        <w:tc>
          <w:tcPr>
            <w:tcW w:w="8940" w:type="dxa"/>
            <w:vAlign w:val="bottom"/>
          </w:tcPr>
          <w:p>
            <w:pPr>
              <w:spacing w:after="0"/>
              <w:rPr>
                <w:sz w:val="24"/>
                <w:szCs w:val="24"/>
                <w:color w:val="auto"/>
              </w:rPr>
            </w:pPr>
          </w:p>
        </w:tc>
        <w:tc>
          <w:tcPr>
            <w:tcW w:w="230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8"/>
              </w:rPr>
              <w:t>Useful lives</w:t>
            </w:r>
          </w:p>
        </w:tc>
      </w:tr>
      <w:tr>
        <w:trPr>
          <w:trHeight w:val="238"/>
        </w:trPr>
        <w:tc>
          <w:tcPr>
            <w:tcW w:w="8940" w:type="dxa"/>
            <w:vAlign w:val="bottom"/>
          </w:tcPr>
          <w:p>
            <w:pPr>
              <w:spacing w:after="0"/>
              <w:rPr>
                <w:sz w:val="20"/>
                <w:szCs w:val="20"/>
                <w:color w:val="auto"/>
              </w:rPr>
            </w:pPr>
          </w:p>
        </w:tc>
        <w:tc>
          <w:tcPr>
            <w:tcW w:w="230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rPr>
              <w:t>(in years)</w:t>
            </w:r>
          </w:p>
        </w:tc>
      </w:tr>
      <w:tr>
        <w:trPr>
          <w:trHeight w:val="27"/>
        </w:trPr>
        <w:tc>
          <w:tcPr>
            <w:tcW w:w="894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50"/>
        </w:trPr>
        <w:tc>
          <w:tcPr>
            <w:tcW w:w="8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2300" w:type="dxa"/>
            <w:vAlign w:val="bottom"/>
            <w:tcBorders>
              <w:bottom w:val="single" w:sz="8" w:color="CCEEFF"/>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Strategic contracts</w:t>
            </w:r>
          </w:p>
        </w:tc>
        <w:tc>
          <w:tcPr>
            <w:tcW w:w="23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20</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8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Management reviews long-lived assets, including leases and investments, for impairment whenever events or changes in circumstances indicate that the carrying amount of an asset, asset group or investment may not be recoverable.</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Recoverability of assets to be held and used are measured by a comparison of the carrying amount of an asset to undiscounted future cash flows expected to be generated by the asset. Because the impairment test for long-lived assets held in use is based on estimated undiscounted cash flows, there may be instances where an asset or asset group is not considered impaired, even when its fair value may be less than its carrying value, because the asset or asset group is recoverable based on the cash flows to be generated over the estimated life of the asset or asset group.</w:t>
      </w:r>
    </w:p>
    <w:p>
      <w:pPr>
        <w:spacing w:after="0" w:line="15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If such assets are considered to be impaired, the impairment to be recognized will be measured by the amount by which the carrying amount of the assets exceeds the fair value of the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equity investees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accounts for investments using the equity method of accounting if the investments provide the Company the ability to exercise significant influence, but not control, over its investees. Significant influence is generally deemed to exist if the Company has an ownership interest in the voting stock of an investee of between 20 percent and 50 percent, although other factors are considered in determining whether the equity method of accounting is appropriate. Under this method, an investment in the common stock of an investee (including a joint venture) shall be initially measured and recorded at cost; however, an investor shall initially measure at fair value an investment in the common stock of an investee (including a joint venture) recognized upon the derecognition of a distinct nonfinancial asset at the time that control over the distinct nonfinancial asset is transferred to the equity investee, such as that which occurs upon the transfer of miners and mining equipment to a joint venture from the Company.</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Company’s investments are subsequently adjusted to recognize its share of net income or losses as they occur. The Company also adjusts its investment upon receipt of bitcoin from an equity investee, which is accounted for as a distribution-in-kind that is measured as of time of receipt. The Company’s share of investees’ earnings or losses is recorded, net of taxes, within equity in losses of equity investees on the Company’s consolidated statements of operations. Additionally, the Company’s interest in the net assets of its equity method investees is reflected on its consolidated balance sheets. If, upon the Company’s contribution of nonfinancial assets to a joint venture, there is any difference between the cost of the investment and the amount of the underlying equity in the net assets of the investee, the difference is required to be accounted for as if the investee were a consolidated subsidiary. If the difference is assigned to depreciable or amortizable assets or liabilities, then the difference should be amortized or accreted in connection with the equity earnings based on the Company’s proportionate share of the investee’s net income or loss. If the Company is unable to relate the difference to specific accounts of the investee, the difference should be considered goodwill.</w:t>
      </w:r>
    </w:p>
    <w:p>
      <w:pPr>
        <w:spacing w:after="0" w:line="14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considers whether the fair value of its equity method investments have declined below their carrying values whenever adverse events or changes in circumstances indicate that recorded values may not be recoverable. If the Company considered any such decline to be other than temporary (based on various factors, including historical financial results, success of the mining operations and the overall health of the investee’s industry), then the Company would record a write-down to the estimated fair value.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obligations</w:t>
      </w:r>
    </w:p>
    <w:p>
      <w:pPr>
        <w:spacing w:after="0" w:line="20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Asset retirement obligations relate to the legal obligations associated with the retirement of long-lived assets that result from the construction, development and/or normal operation of a long-lived asset. The Company currently has two asset retirement obligations (“ARO”) recorded related to the construction of the data center and installation of the related electrical infrastructure at the Odessa Facility and the Black Pearl Facility. ASC 410, </w:t>
      </w:r>
      <w:r>
        <w:rPr>
          <w:rFonts w:ascii="Times New Roman" w:cs="Times New Roman" w:eastAsia="Times New Roman" w:hAnsi="Times New Roman"/>
          <w:sz w:val="18"/>
          <w:szCs w:val="18"/>
          <w:i w:val="1"/>
          <w:iCs w:val="1"/>
          <w:color w:val="auto"/>
        </w:rPr>
        <w:t>Asset Retirement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Environmental Obligations </w:t>
      </w:r>
      <w:r>
        <w:rPr>
          <w:rFonts w:ascii="Times New Roman" w:cs="Times New Roman" w:eastAsia="Times New Roman" w:hAnsi="Times New Roman"/>
          <w:sz w:val="18"/>
          <w:szCs w:val="18"/>
          <w:color w:val="auto"/>
        </w:rPr>
        <w:t>(“ASC 410”) requires an entity to record the fair value of a liability for an ARO in the period in which it is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6" w:name="page97"/>
    <w:bookmarkEnd w:id="9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incurred if a reasonable estimate of fair value can be made. Due to the long lead time involved until decommissioning activities occur, the Company uses a present value technique to estimate the liability. A liability for the fair value of the ARO based on the expected present value of estimated future decommissioning costs with a corresponding increase to the carrying value of the related long-lived asset (leasehold improvements) was recorded upon commencement of activities at the Odessa and Black Pearl Facilities, respectively. The estimated capitalized asset retirement costs are depreciated using the straight-line method over the estimated remaining useful life of the related long-lived asset, with such depreciation included in depreciation expense in the consolidated statements of operations. The ARO is accreted based on the original discount rate and is recognized as an increase in the carrying amount of the liability and a charge to accretion expense, which is included in depreciation expense in the consolidated statements of operations. Annually, or more frequently if an event occurs that would dictate a change in assumptions or estimates underlying the obligation, the Company reassesses its ARO to determine whether any revisions to the obligation are necessary. Revisions to the estimated ARO for items such as (i) new liabilities incurred, (ii) liabilities settled during the period and (iii) revisions to estimated future cash flow requirements (if any), will result in adjustments to the related capitalized asset and corresponding liability.</w:t>
      </w:r>
    </w:p>
    <w:p>
      <w:pPr>
        <w:spacing w:after="0" w:line="16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 xml:space="preserve">In order to determine the fair value of the ARO, the Company’s management made certain estimates and assumptions including, among other things, projected cash flows, the borrowing interest rate and an assessment of market conditions that could significantly impact the estimated fair value. These estimates and assumptions are subjective. See additional information regarding the ARO in </w:t>
      </w:r>
      <w:r>
        <w:rPr>
          <w:rFonts w:ascii="Times New Roman" w:cs="Times New Roman" w:eastAsia="Times New Roman" w:hAnsi="Times New Roman"/>
          <w:sz w:val="18"/>
          <w:szCs w:val="18"/>
          <w:i w:val="1"/>
          <w:iCs w:val="1"/>
          <w:color w:val="auto"/>
        </w:rPr>
        <w:t>Note 15. Asset Retirement Obligations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leases 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Accordingly, the Company determines whether an arrangement contains a lease at the inception of the arrangement. If a lease is determined to exist, the term of such lease is assessed based on the date on which the underlying asset is made available for the Company’s use by the lessor. The Company’s assessment of the lease term reflects the non-cancelable term of the lease, inclusive of any rent-free periods and/or periods covered by early-termination options which the Company is reasonably certain of not exercising, as well as periods covered by renewal options which the Company is reasonably certain of exercising. The Company also determines lease classification as either operating or finance at lease commencement, which governs the pattern of expense recognition and the presentation reflected in the consolidated statements of operations over the lease term.</w:t>
      </w:r>
    </w:p>
    <w:p>
      <w:pPr>
        <w:spacing w:after="0" w:line="15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For leases with a term exceeding 12 months, a lease liability is recorded on the Company’s consolidated balance sheets at lease commencement reflecting the present value of its fixed minimum payment obligations over the lease term. A corresponding right-of-use (“ROU”) asset equal to the initial lease liability is also recorded, adjusted for any accrued or prepaid rents and/or unamortized initial direct costs incurred in connection with execution of the lease and reduced by any lease incentives received. For purposes of measuring the present value of its fixed payment obligations for a given lease, the Company generally uses its incremental borrowing rate, determined based on information available at lease commencement, if rates implicit in its leasing arrangements are not readily determinable. The Company’s incremental borrowing rate reflects the rate it would pay to borrow on a secured basis and incorporates the term and economic environment of the associated lease. ROU assets will be reviewed for impairment, consistent with other long-lived assets, whenever events or changes in circumstances indicate that the carrying amount of an asset may not be recoverable.</w:t>
      </w:r>
    </w:p>
    <w:p>
      <w:pPr>
        <w:spacing w:after="0" w:line="15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Lease expense for operating leases is recognized on a straight-line basis over the lease term as an operating expense while the expense for finance leases is recognized as depreciation expense and interest expense using the interest method of recognition. For leases with a term of 12 months or less, any fixed payments are recognized on a straight-line basis over the lease term and are not recognized on the Company’s consolidated balance sheet as an accounting policy election. Leases qualifying for the short-term lease exception are insignificant. Variable lease costs are expensed as incurred and are not included in the measurement of ROU assets and lease liabilities.</w:t>
      </w:r>
    </w:p>
    <w:p>
      <w:pPr>
        <w:spacing w:after="0" w:line="14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ASC 842 provides practical expedients for an entity’s ongoing accounting. The Company elected the practical expedient not to separate lease and non-lease components for all leases, which means all consideration that is fixed, or in-substance fixed, relating to the non-lease components will be captured as part of the Company’s lease components for balance sheet purposes. Refer to </w:t>
      </w:r>
      <w:r>
        <w:rPr>
          <w:rFonts w:ascii="Times New Roman" w:cs="Times New Roman" w:eastAsia="Times New Roman" w:hAnsi="Times New Roman"/>
          <w:sz w:val="18"/>
          <w:szCs w:val="18"/>
          <w:i w:val="1"/>
          <w:iCs w:val="1"/>
          <w:color w:val="auto"/>
        </w:rPr>
        <w:t>Note 13. Leases</w:t>
      </w:r>
      <w:r>
        <w:rPr>
          <w:rFonts w:ascii="Times New Roman" w:cs="Times New Roman" w:eastAsia="Times New Roman" w:hAnsi="Times New Roman"/>
          <w:sz w:val="18"/>
          <w:szCs w:val="18"/>
          <w:color w:val="auto"/>
        </w:rPr>
        <w:t xml:space="preserve"> for additional information.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97" w:name="page98"/>
    <w:bookmarkEnd w:id="9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borrowings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borrowings includes debt with maturity dates less than one year. The Company has elected the fair value option for debt denominated in bitcoin.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change in fair value for bitcoin-denominated debt is recorded in Other income (expense). Refer to </w:t>
      </w:r>
      <w:r>
        <w:rPr>
          <w:rFonts w:ascii="Times New Roman" w:cs="Times New Roman" w:eastAsia="Times New Roman" w:hAnsi="Times New Roman"/>
          <w:sz w:val="18"/>
          <w:szCs w:val="18"/>
          <w:i w:val="1"/>
          <w:iCs w:val="1"/>
          <w:color w:val="auto"/>
        </w:rPr>
        <w:t>Note 16. Debt</w:t>
      </w:r>
      <w:r>
        <w:rPr>
          <w:rFonts w:ascii="Times New Roman" w:cs="Times New Roman" w:eastAsia="Times New Roman" w:hAnsi="Times New Roman"/>
          <w:sz w:val="18"/>
          <w:szCs w:val="18"/>
          <w:color w:val="auto"/>
        </w:rPr>
        <w:t xml:space="preserve"> for details.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borrowings, net</w:t>
      </w:r>
    </w:p>
    <w:p>
      <w:pPr>
        <w:spacing w:after="0" w:line="18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 xml:space="preserve">Long-term borrowings, net represents the Company’s convertible senior notes and senior secured notes. The Company records the aggregate principal amount of each of its long-term debt instruments as a liability on the balance sheet, offset by the instrument’s issuance costs. The issuance costs are amortized to interest expense using the effective interest rate method over the expected term of each instrument. For the Company’s convertible notes due in 2031, the Company determined the embedded conversion feature did not meet the criteria for equity classification and therefore needs to be accounted for as a derivative liability measured at fair value. Refer to </w:t>
      </w:r>
      <w:r>
        <w:rPr>
          <w:rFonts w:ascii="Times New Roman" w:cs="Times New Roman" w:eastAsia="Times New Roman" w:hAnsi="Times New Roman"/>
          <w:sz w:val="18"/>
          <w:szCs w:val="18"/>
          <w:i w:val="1"/>
          <w:iCs w:val="1"/>
          <w:color w:val="auto"/>
        </w:rPr>
        <w:t>Note 16. Debt</w:t>
      </w:r>
      <w:r>
        <w:rPr>
          <w:rFonts w:ascii="Times New Roman" w:cs="Times New Roman" w:eastAsia="Times New Roman" w:hAnsi="Times New Roman"/>
          <w:sz w:val="18"/>
          <w:szCs w:val="18"/>
          <w:color w:val="auto"/>
        </w:rPr>
        <w:t xml:space="preserve"> for more details.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noncontrolling interest</w:t>
      </w:r>
    </w:p>
    <w:p>
      <w:pPr>
        <w:spacing w:after="0" w:line="18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 xml:space="preserve">Redeemable noncontrolling interest represent a 47% noncontrolling ownership in Colchis, variable interest entity (“VIE”), and a consolidated subsidiary of the Company. The entity is deemed a VIE as it does not have sufficient equity-at-risk to finance its activities. As the managing member, the Company has the power to direct the activities that most significantly impact Colchis’s economic performance. Accordingly, the Company was determined to be the primary beneficiary of the VIE and therefore consolidates the entity in its consolidated financial statements. Redeemable noncontrolling interests are presented outside of permanent equity on the consolidated balance sheets as they are redeemable by the holders of the noncontrolling interest and the redemption is outside the control of the Company. The redeemable noncontrolling interests were initially recorded at their issuance date fair value of </w:t>
      </w:r>
      <w:r>
        <w:rPr>
          <w:rFonts w:ascii="Times New Roman" w:cs="Times New Roman" w:eastAsia="Times New Roman" w:hAnsi="Times New Roman"/>
          <w:sz w:val="16"/>
          <w:szCs w:val="16"/>
          <w:color w:val="auto"/>
        </w:rPr>
        <w:t>$30.3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million</w:t>
      </w:r>
      <w:r>
        <w:rPr>
          <w:rFonts w:ascii="Times New Roman" w:cs="Times New Roman" w:eastAsia="Times New Roman" w:hAnsi="Times New Roman"/>
          <w:sz w:val="17"/>
          <w:szCs w:val="17"/>
          <w:color w:val="auto"/>
        </w:rPr>
        <w:t>. The Company subsequently measures the carrying amount of the redeemable noncontrolling interests at the greater of (i) the initial carrying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amount, increased or decreased for the noncontrolling interest’s share of net income or loss and its share of other comprehensive income or loss, and dividends or (ii) the redemption value. For interests that are redeemable in the future, we recognize changes in the redemption value immediately as they occur.</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202"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 xml:space="preserve">As part of the business combination with Good Works Acquisition Corp. (“GWAC”), the Company assumed common stock warrants that were originally issued in GWAC’s initial public offering (the “Public Warrants”), as well as warrants that were issued in a private placement that closed concurrently with GWAC’s initial public offering (the “Private Placement Warrants”). No Public Warrants and Private Placement Warrants were outstanding as of December 31, 2025. See </w:t>
      </w:r>
      <w:r>
        <w:rPr>
          <w:rFonts w:ascii="Times New Roman" w:cs="Times New Roman" w:eastAsia="Times New Roman" w:hAnsi="Times New Roman"/>
          <w:sz w:val="18"/>
          <w:szCs w:val="18"/>
          <w:i w:val="1"/>
          <w:iCs w:val="1"/>
          <w:color w:val="auto"/>
        </w:rPr>
        <w:t>Note 18. Warrants</w:t>
      </w:r>
      <w:r>
        <w:rPr>
          <w:rFonts w:ascii="Times New Roman" w:cs="Times New Roman" w:eastAsia="Times New Roman" w:hAnsi="Times New Roman"/>
          <w:sz w:val="18"/>
          <w:szCs w:val="18"/>
          <w:color w:val="auto"/>
        </w:rPr>
        <w:t xml:space="preserve"> for additional information on the Public Warrants and Private Placement Warrants.</w:t>
      </w:r>
    </w:p>
    <w:p>
      <w:pPr>
        <w:spacing w:after="0" w:line="139"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On September 24, 2025, as consideration for Google agreeing to backstop certain obligations of Fluidstack in connection with the Barber Lake Facility lease, the Company entered into a warrant agreement with Google (the “Google Warrant Agreement”). The Google Warrants have an exercise period beginning on the commencement date of the Barber Lake Facility lease and expiring on September 24, 2030. The Google Warrants are recorded at fair value in Warrant liability on the Company’s consolidated balance sheets and changes in the fair value are recorded in Change in fair value of warrant liability on the Company’s consolidated statement of operations.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Treasury share purchases obtained through share withholdings for taxes are recorded at par value.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recognizes revenue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The core principle of the revenue standard is that a company should recognize revenue to depict the transfer of promised goods or services to customers in an amount that reflects the consideration to which the company expects to be entitled in exchange for those goods or services. The following five steps are applied to achieve that core principle:</w:t>
      </w:r>
    </w:p>
    <w:p>
      <w:pPr>
        <w:spacing w:after="0" w:line="148" w:lineRule="exact"/>
        <w:rPr>
          <w:sz w:val="20"/>
          <w:szCs w:val="20"/>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1: Identify the contract with the customer</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2: Identify the performance obligations in the contract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8" w:name="page99"/>
    <w:bookmarkEnd w:id="9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3: Determine the transaction price</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4: Allocate the transaction price to the performance obligations in the contract</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5: Recognize revenue when the company satisfies a performance obligation</w:t>
      </w:r>
    </w:p>
    <w:p>
      <w:pPr>
        <w:spacing w:after="0" w:line="18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In order to identify the performance obligations in a contract with a customer, a company must assess the promised goods or services in the contract and identify each promised good or service that is distinct. A performance obligation meets ASC 606’s definition of a “distinct” good or service (or bundle of goods or services) if both of the following criteria are met: The customer can benefit from the good or service either on its own or together with other resources that are readily available to the customer (i.e., the good or service is capable of being distinct), and the entity’s promise to transfer the good or service to the customer is separately identifiable from other promises in the contract (i.e., the promise to transfer the good or service is distinct within the context of the contract).</w:t>
      </w:r>
    </w:p>
    <w:p>
      <w:pPr>
        <w:spacing w:after="0" w:line="16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a good or service is not distinct, the good or service is combined with other promised goods or services until a bundle of goods or services is identified that is distinct. The transaction price is the amount of consideration to which an entity expects to be entitled in exchange for transferring promised goods or services to a customer. The consideration promised in a contract with a customer may include fixed amounts, variable amounts, or both. When determining the transaction price, an entity must consider the effects of all of the following:</w:t>
      </w:r>
    </w:p>
    <w:p>
      <w:pPr>
        <w:spacing w:after="0" w:line="139" w:lineRule="exact"/>
        <w:rPr>
          <w:sz w:val="20"/>
          <w:szCs w:val="20"/>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consideration</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Constraining estimates of variable consideration</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 significant financing component in the contract</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Noncash consideration</w:t>
      </w:r>
    </w:p>
    <w:p>
      <w:pPr>
        <w:spacing w:after="0" w:line="184"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payable to a customer</w:t>
      </w:r>
    </w:p>
    <w:p>
      <w:pPr>
        <w:spacing w:after="0" w:line="19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Variable consideration is included in the transaction price only to the extent that it is probable that a significant reversal in the amount of cumulative revenue recognized will not occur when the uncertainty associated with the variable consideration is subsequently resolved. The transaction price is allocated to each performance obligation on a relative standalone selling price basis. The standalone selling price is the price at which the Company would sell a promised service separately to a customer. The relative selling price for each performance obligation is estimated using observable objective evidence if it is available. If observable objective evidence is not available, the Company uses its best estimate of the selling price for the promised service. In instances where the Company does not sell a service separately, establishing standalone selling price requires significant judgment. The Company estimates the standalone selling price by considering available information, prioritizing observable inputs such as historical sales, internally approved pricing guidelines and objectives, and the underlying cost of delivering the performance obligation. The transaction price allocated to each performance obligation is recognized when that performance obligation is satisfied, at a point in time or over time as appropriate.</w:t>
      </w:r>
    </w:p>
    <w:p>
      <w:pPr>
        <w:spacing w:after="0" w:line="14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Management judgment is required when determining the following: when variable consideration is no longer probable of significant reversal (and hence can be included in revenue); whether certain revenue should be presented gross or net of certain related costs; when a promised service transfers to the customer; and the applicable method of measuring progress for services transferred to the customer over time.</w:t>
      </w:r>
    </w:p>
    <w:p>
      <w:pPr>
        <w:spacing w:after="0" w:line="13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enters into bitcoin mining pools by executing a contract, as amended from time to time, with a mining pool operator to provide computing power to the mining pool. Providing computing power to a mining pool operator for the purpose of cryptocurrency transaction verification is an output of the Company’s ordinary activities. The contract is terminable at any time by either party with no substantive termination penalty. The Company’s enforceable right to compensation begins when, and lasts for as long as, the Company provides computing power to the mining pool operator; the Company’s performance obligation extends over the contract term given the Company’s continuous provision of hashrate. This period of time corresponds with the period of service for which the mining pool operator determines compensation due the Company. Given cancellation terms of the contract, and the Company’s customary business practice, the contract effectively provides the Company with the option to renew for successive contract terms of 24 hours. The options to renew are not material rights because they are offered at the standalone selling price of computing power. The</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99" w:name="page100"/>
    <w:bookmarkEnd w:id="9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Company elected the optional exemption to not disclose the transaction price allocated to remaining performance obligations that are part of a contract that has an original expected duration of one year or less.</w:t>
      </w:r>
    </w:p>
    <w:p>
      <w:pPr>
        <w:spacing w:after="0" w:line="13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The provision of computing power in accordance with the mining pool operator’s terms of service is the only performance obligation in the Company’s contract with the mining pool operator, its customer. In exchange for providing computing power pursuant to the pool’s terms of service, the Company is entitled to noncash consideration in the form of bitcoin, measured under the Full Pay Per Share (“FPPS”) approach for all current pools the Company participates in. Under the FPPS approach, the Company is entitled to a fractional share of the fixed bitcoin award from the mining pool operator (referred to as a “block reward”) and potentially transaction fees generated from (paid by) blockchain users and distributed (paid out) to individual miners by the mining pool operator. The Company’s fractional share of the block reward is based on the proportion of computing power the Company contributed to the mining pool operator to the total computing power contributed by all mining pool participants in solving the current algorithm, over the contract term. The Company is entitled to its relative share of consideration even if a block is not successfully placed. In other words, the Company receives consideration once after the end of each 24-hour contract period, regardless of whether the pool successfully places a block. The Company proportionate share of transaction fees is based on the Company’s </w:t>
      </w:r>
      <w:r>
        <w:rPr>
          <w:rFonts w:ascii="Times New Roman" w:cs="Times New Roman" w:eastAsia="Times New Roman" w:hAnsi="Times New Roman"/>
          <w:sz w:val="18"/>
          <w:szCs w:val="18"/>
          <w:color w:val="231F20"/>
        </w:rPr>
        <w:t>contributed share of hashrate as a percentage of total network hashrate during the contract term.</w:t>
      </w:r>
    </w:p>
    <w:p>
      <w:pPr>
        <w:spacing w:after="0" w:line="15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mining pool operator calculates block rewards under the FPPS approach described above and may charge a pool fee for maintenance of the pool that reduces the amount of block rewards to which the Company is entitled. After every 24-hour contract term, the Company receives a payout and the pool transfers the bitcoin consideration to the Company’s designated bitcoin wallet.</w:t>
      </w:r>
    </w:p>
    <w:p>
      <w:pPr>
        <w:spacing w:after="0" w:line="13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Noncash consideration is measured at fair value at contract inception, 0:00:00 UTC. Fair value of the bitcoin consideration is determined using the quoted price on the Company’s principal market for bitcoin at the beginning of the contract period at the single bitcoin level (one bitcoin). This amount is recognized in revenue over the contract term as hashrate is provided. Changes in the fair value of the noncash consideration due to form of the consideration (changes in the market price of bitcoin) are not included in the transaction price and hence are not included in revenue. Changes in fair value of the noncash consideration post-contract inception that are due to reasons other than form of consideration (other than changes in the market value of bitcoin) are measured based on the guidance on variable consideration, including the constraint on estimates of variable consideration.</w:t>
      </w:r>
    </w:p>
    <w:p>
      <w:pPr>
        <w:spacing w:after="0" w:line="16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231F20"/>
        </w:rPr>
        <w:t>Because the consideration to which the Company expects to be entitled for providing computing power is entirely variable, as well as being noncash consideration, the Company assesses the estimated amount of the variable noncash consideration at contract inception and subsequently, to determine when and to what extent it is probable that a significant reversal in the amount of cumulative revenue recognized will not occur once the uncertainty associated with the variable consideration is subsequently resolved (the “constraint”). Only when significant revenue reversal is concluded probable of not occurring can estimated variable consideration be included in revenue. Based on evaluation of likelihood and magnitude of a reversal in applying the constraint, the estimated variable noncash consideration is constrained from inclusion in revenue until the end of the contract term, when the underlying uncertainties have been resolved and number of bitcoin to which the Company is entitled becomes known.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is no significant financing component in these transactions.</w:t>
      </w:r>
    </w:p>
    <w:p>
      <w:pPr>
        <w:spacing w:after="0" w:line="185"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Company earned revenue of $157.0 million from pool operator Foundry USA Pool (“Foundry”), representing 70% of total consolidated revenue.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8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Cost of revenue consists primarily of direct production costs of bitcoin mining operations, which consists mainly of electricity expenses, but excludes depreciation which is separately stated.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accounts for all share-based payments to employees, consultants and directors, which may include grants of stock options, stock appreciation rights, restricted stock awards and restricted stock units (“RSUs”) to be recognized in the consolidated financial statements, based on their respective grant date fair values. As of December 31, 2025, the Company has awarded only RSUs with service-based vesting conditions (“Service-Based RSUs”) and performance-based RSUs with market-based vesting conditions (“Performance-Based RSUs”). Compensation expense for all awards is amortized based upon a graded vesting method over the estimated requisite service period. All share-based compensation expenses are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0" w:name="page101"/>
    <w:bookmarkEnd w:id="10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recorded in general and administrative expense in the consolidated statements of operations. Forfeitures are recorded as they occur. See also </w:t>
      </w:r>
      <w:r>
        <w:rPr>
          <w:rFonts w:ascii="Times New Roman" w:cs="Times New Roman" w:eastAsia="Times New Roman" w:hAnsi="Times New Roman"/>
          <w:sz w:val="18"/>
          <w:szCs w:val="18"/>
          <w:i w:val="1"/>
          <w:iCs w:val="1"/>
          <w:color w:val="auto"/>
        </w:rPr>
        <w:t>Note 19.</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Share-Based Compensation </w:t>
      </w:r>
      <w:r>
        <w:rPr>
          <w:rFonts w:ascii="Times New Roman" w:cs="Times New Roman" w:eastAsia="Times New Roman" w:hAnsi="Times New Roman"/>
          <w:sz w:val="18"/>
          <w:szCs w:val="18"/>
          <w:color w:val="auto"/>
        </w:rPr>
        <w:t>below.</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fair value of Service-Based RSUs is the closing market price of Common Stock on the date of the grant. The Company employs a Monte Carlo simulation technique to calculate the fair value of the Performance-Based RSUs on the date granted based on the average of the future simulated outcomes. The Performance-Based RSUs contain different market-based vesting conditions that are based upon the achievement of certain market capitalization milestones. Under the Monte Carlo simulation model, a number of variables and assumptions are used including, but not limited to, the underlying price of Common Stock, the expected stock price volatility over the term of the award, a correlation coefficient, and the risk-free rate. The Performance-Based RSUs awarded do not have an explicit requisite service period, therefore compensation expense is recorded over a derived service period based upon the estimated median time it will take to achieve the market capitalization milestone using a Monte Carlo simulation.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The Company complies with the accounting and reporting requirements of FASB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5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As of December 31, 2025 and December 31, 2024, the Company did not have any significant uncertain tax positions. The Company will recognize interest and penalties related to uncertain tax positions in income tax expense. The Company did not have any accrued interest or penalties related to uncertain tax positions recorded as of December 31, 2025 or December 31, 2024, and no amounts have been recognized in the Company’s consolidated statements of operations.</w:t>
      </w:r>
    </w:p>
    <w:p>
      <w:pPr>
        <w:spacing w:after="0" w:line="14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files income tax returns in the United States federal tax jurisdiction and various state jurisdictions. The Company did not have any foreign operations during any periods presented in these consolidated financial statements. All of the Company’s tax years since inception are open for examination by the federal and state tax authorities and will remain open to the extent that the Company’s tax attributes are utilized in future years to offset income or income taxes. The Company is not aware of any tax examinations currently taking place.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0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 xml:space="preserve">Operating segments are defined as components of an enterprise about which separate discrete information is available for evaluation by the chief operating decision maker, or decision-making group, in deciding how to allocate resources and in assessing performance. The Company views its operations and manages its business in one segment, Bitcoin Mining. Refer to </w:t>
      </w:r>
      <w:r>
        <w:rPr>
          <w:rFonts w:ascii="Times New Roman" w:cs="Times New Roman" w:eastAsia="Times New Roman" w:hAnsi="Times New Roman"/>
          <w:sz w:val="18"/>
          <w:szCs w:val="18"/>
          <w:i w:val="1"/>
          <w:iCs w:val="1"/>
          <w:color w:val="auto"/>
        </w:rPr>
        <w:t>Note 21. Segment Reporting</w:t>
      </w:r>
      <w:r>
        <w:rPr>
          <w:rFonts w:ascii="Times New Roman" w:cs="Times New Roman" w:eastAsia="Times New Roman" w:hAnsi="Times New Roman"/>
          <w:sz w:val="18"/>
          <w:szCs w:val="18"/>
          <w:color w:val="auto"/>
        </w:rPr>
        <w:t xml:space="preserve"> for more details.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89"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18"/>
          <w:szCs w:val="18"/>
          <w:color w:val="auto"/>
        </w:rPr>
        <w:t>Basic earnings (loss) per share is computed by dividing net income (loss) allocated to common shareholders by the weighted average number of common shares outstanding during the period. Diluted earnings (loss) per common share adjusts net income (loss) and net income (loss) per common share for the effect of all potentially dilutive shares of Common Stock. Potentially dilutive common shares consist of the Company’s outstanding warrants to purchase Common Stock, potential shares of common stock issuable upon conversion of the convertible notes are computed using the if-converted method, as well as unvested restricted stock units (“RSUs”).</w:t>
      </w:r>
    </w:p>
    <w:p>
      <w:pPr>
        <w:spacing w:after="0" w:line="156"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dilutive effect of RSUs is calculated using the treasury stock method. For warrants that are liability-classified, during periods when the impact is dilutive, the Company assumes share settlement of the instruments as of the beginning of the reporting period and adjusts the numerator to remove the change in fair value of the warrant liability and adjusts the denominator to include the dilutive shares calculated using the treasury stock method.</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Company’s potentially dilutive common shares have been excluded from the computation of diluted net loss per common share when the effect would be to reduce the net loss per common share, or increase the net income per common share.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the numerator and denominator of the diluted loss per share computations for the periods indicated below:</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7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r>
      <w:tr>
        <w:trPr>
          <w:trHeight w:val="237"/>
        </w:trPr>
        <w:tc>
          <w:tcPr>
            <w:tcW w:w="576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9"/>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Basic and diluted loss per share:</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70"/>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(822,244)</w:t>
            </w: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(44,635)</w:t>
            </w:r>
          </w:p>
        </w:tc>
        <w:tc>
          <w:tcPr>
            <w:tcW w:w="10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(25,777)</w:t>
            </w: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57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43"/>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 - basic</w:t>
            </w: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381,602,904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323,103,303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252,439,461</w:t>
            </w:r>
          </w:p>
        </w:tc>
      </w:tr>
      <w:tr>
        <w:trPr>
          <w:trHeight w:val="27"/>
        </w:trPr>
        <w:tc>
          <w:tcPr>
            <w:tcW w:w="5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w:t>
            </w: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43"/>
        </w:trPr>
        <w:tc>
          <w:tcPr>
            <w:tcW w:w="57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RSUs</w:t>
            </w: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57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8"/>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 - diluted</w:t>
            </w:r>
          </w:p>
        </w:tc>
        <w:tc>
          <w:tcPr>
            <w:tcW w:w="42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381,602,904</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323,103,303</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252,439,461</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9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per share - basic</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-33655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-393700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-573405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-1233805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common shares that are excluded from the computation of diluted net loss per common share at December 31, 2025, 2024, and 2023, because including them would have been antidilutive.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240" w:type="dxa"/>
            <w:vAlign w:val="bottom"/>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600" w:type="dxa"/>
            <w:vAlign w:val="bottom"/>
            <w:tcBorders>
              <w:bottom w:val="single" w:sz="8" w:color="auto"/>
            </w:tcBorders>
          </w:tcPr>
          <w:p>
            <w:pPr>
              <w:spacing w:after="0"/>
              <w:rPr>
                <w:sz w:val="19"/>
                <w:szCs w:val="19"/>
                <w:color w:val="auto"/>
              </w:rPr>
            </w:pPr>
          </w:p>
        </w:tc>
      </w:tr>
      <w:tr>
        <w:trPr>
          <w:trHeight w:val="236"/>
        </w:trPr>
        <w:tc>
          <w:tcPr>
            <w:tcW w:w="624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 conversion</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161,930,746</w:t>
            </w:r>
          </w:p>
        </w:tc>
        <w:tc>
          <w:tcPr>
            <w:tcW w:w="1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Google warrants</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24,178,576</w:t>
            </w:r>
          </w:p>
        </w:tc>
        <w:tc>
          <w:tcPr>
            <w:tcW w:w="100" w:type="dxa"/>
            <w:vAlign w:val="bottom"/>
          </w:tcPr>
          <w:p>
            <w:pPr>
              <w:spacing w:after="0"/>
              <w:rPr>
                <w:sz w:val="20"/>
                <w:szCs w:val="20"/>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RSUs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15,798,382</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15,922,220</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21,304,952</w:t>
            </w:r>
          </w:p>
        </w:tc>
      </w:tr>
      <w:tr>
        <w:trPr>
          <w:trHeight w:val="233"/>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Public warrants</w:t>
            </w:r>
          </w:p>
        </w:tc>
        <w:tc>
          <w:tcPr>
            <w:tcW w:w="1700" w:type="dxa"/>
            <w:vAlign w:val="bottom"/>
            <w:gridSpan w:val="2"/>
          </w:tcPr>
          <w:p>
            <w:pPr>
              <w:ind w:left="136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8,613,980</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8,499,080</w:t>
            </w:r>
          </w:p>
        </w:tc>
      </w:tr>
      <w:tr>
        <w:trPr>
          <w:trHeight w:val="24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Private placement warrants</w:t>
            </w:r>
          </w:p>
        </w:tc>
        <w:tc>
          <w:tcPr>
            <w:tcW w:w="170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114,000</w:t>
            </w:r>
          </w:p>
        </w:tc>
      </w:tr>
      <w:tr>
        <w:trPr>
          <w:trHeight w:val="237"/>
        </w:trPr>
        <w:tc>
          <w:tcPr>
            <w:tcW w:w="6240" w:type="dxa"/>
            <w:vAlign w:val="bottom"/>
          </w:tcPr>
          <w:p>
            <w:pPr>
              <w:spacing w:after="0"/>
              <w:rPr>
                <w:sz w:val="20"/>
                <w:szCs w:val="20"/>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201,907,704</w:t>
            </w:r>
          </w:p>
        </w:tc>
        <w:tc>
          <w:tcPr>
            <w:tcW w:w="100" w:type="dxa"/>
            <w:vAlign w:val="bottom"/>
          </w:tcPr>
          <w:p>
            <w:pPr>
              <w:spacing w:after="0"/>
              <w:rPr>
                <w:sz w:val="20"/>
                <w:szCs w:val="20"/>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24,536,200</w:t>
            </w:r>
          </w:p>
        </w:tc>
        <w:tc>
          <w:tcPr>
            <w:tcW w:w="100" w:type="dxa"/>
            <w:vAlign w:val="bottom"/>
          </w:tcPr>
          <w:p>
            <w:pPr>
              <w:spacing w:after="0"/>
              <w:rPr>
                <w:sz w:val="20"/>
                <w:szCs w:val="20"/>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29,918,032</w:t>
            </w:r>
          </w:p>
        </w:tc>
      </w:tr>
      <w:tr>
        <w:trPr>
          <w:trHeight w:val="27"/>
        </w:trPr>
        <w:tc>
          <w:tcPr>
            <w:tcW w:w="624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continually assesses any new accounting pronouncements to determine their applicability. When it is determined that a new accounting pronouncement affects the Company’s financial reporting, the Company undertakes to determine the consequences of the change to its consolidated financial statements and assures that there are proper controls in place to ascertain that the Company’s consolidated financial statements properly reflect the change.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8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ASU 2023-09 seeks to improve transparency if income tax disclosures by requiring consistent categories and greater disaggregation of information in the rate reconciliation and income taxes paid disclosures. The updated guidance is effective for the Company on January 1, 2025. The Company adopted ASU 2023-09 effective January 1, 2025, reflecting the additional required disclosures on a prospective basis within Note 22. Income Taxes.</w:t>
      </w:r>
    </w:p>
    <w:p>
      <w:pPr>
        <w:spacing w:after="0" w:line="153"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color w:val="auto"/>
        </w:rPr>
        <w:t xml:space="preserve">In March 2024, the FASB issued ASU 2024-01, </w:t>
      </w:r>
      <w:r>
        <w:rPr>
          <w:rFonts w:ascii="Times New Roman" w:cs="Times New Roman" w:eastAsia="Times New Roman" w:hAnsi="Times New Roman"/>
          <w:sz w:val="18"/>
          <w:szCs w:val="18"/>
          <w:i w:val="1"/>
          <w:iCs w:val="1"/>
          <w:color w:val="auto"/>
        </w:rPr>
        <w:t>Compensation - Stock Compensation (Topic 718): Scope Application of Profits Interest and Similar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Awards. </w:t>
      </w:r>
      <w:r>
        <w:rPr>
          <w:rFonts w:ascii="Times New Roman" w:cs="Times New Roman" w:eastAsia="Times New Roman" w:hAnsi="Times New Roman"/>
          <w:sz w:val="18"/>
          <w:szCs w:val="18"/>
          <w:color w:val="auto"/>
        </w:rPr>
        <w:t>This ASU seeks to provide clarity if profits interest awards are in scope for Topic 718 or Topic 720. This ASU is effective for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1, 2025. The Company adopted this standard on January 1, 2025 and it did not have a significant impact on its consolidated financial statements.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2" w:name="page103"/>
    <w:bookmarkEnd w:id="10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0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220-40). </w:t>
      </w:r>
      <w:r>
        <w:rPr>
          <w:rFonts w:ascii="Times New Roman" w:cs="Times New Roman" w:eastAsia="Times New Roman" w:hAnsi="Times New Roman"/>
          <w:sz w:val="18"/>
          <w:szCs w:val="18"/>
          <w:color w:val="auto"/>
        </w:rPr>
        <w:t>ASU 2024-03 seeks to improve disclosures around expenses and provide more detail to investors about certain times of expenses in commonly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presented captions. The updated guidance is effective for the Company on January 1, 2027. The Company is currently evaluating the impact this amended guidance may have on the notes to its consolidated financial statements.</w:t>
      </w:r>
    </w:p>
    <w:p>
      <w:pPr>
        <w:spacing w:after="0" w:line="13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2024-04, </w:t>
      </w:r>
      <w:r>
        <w:rPr>
          <w:rFonts w:ascii="Times New Roman" w:cs="Times New Roman" w:eastAsia="Times New Roman" w:hAnsi="Times New Roman"/>
          <w:sz w:val="18"/>
          <w:szCs w:val="18"/>
          <w:i w:val="1"/>
          <w:iCs w:val="1"/>
          <w:color w:val="auto"/>
        </w:rPr>
        <w:t>Debt - Debt with Conversion and Other Options (Subtopic 470-20): Induced Conversions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Convertible Debt Instruments. </w:t>
      </w:r>
      <w:r>
        <w:rPr>
          <w:rFonts w:ascii="Times New Roman" w:cs="Times New Roman" w:eastAsia="Times New Roman" w:hAnsi="Times New Roman"/>
          <w:sz w:val="18"/>
          <w:szCs w:val="18"/>
          <w:color w:val="auto"/>
        </w:rPr>
        <w:t>ASU 2024-04 seeks to improve the relevance and consistency in application of Subtopic 470-20 around when the terms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convertible debt instruments are changed to incentivize conversion. The updated guidance is effective for the Company on January 1, 2026. The Company is currently evaluating the impact of ASU 2024-04 and does not expect the adoption of this ASU to have a material impact on its financial statements and disclosures.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BITCOIN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bitcoin (in thousands):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7100" w:type="dxa"/>
            <w:vAlign w:val="bottom"/>
          </w:tcPr>
          <w:p>
            <w:pPr>
              <w:spacing w:after="0"/>
              <w:rPr>
                <w:sz w:val="19"/>
                <w:szCs w:val="19"/>
                <w:color w:val="auto"/>
              </w:rPr>
            </w:pPr>
          </w:p>
        </w:tc>
        <w:tc>
          <w:tcPr>
            <w:tcW w:w="33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780" w:type="dxa"/>
            <w:vAlign w:val="bottom"/>
            <w:tcBorders>
              <w:bottom w:val="single" w:sz="8" w:color="auto"/>
            </w:tcBorders>
          </w:tcPr>
          <w:p>
            <w:pPr>
              <w:spacing w:after="0"/>
              <w:rPr>
                <w:sz w:val="19"/>
                <w:szCs w:val="19"/>
                <w:color w:val="auto"/>
              </w:rPr>
            </w:pPr>
          </w:p>
        </w:tc>
      </w:tr>
      <w:tr>
        <w:trPr>
          <w:trHeight w:val="237"/>
        </w:trPr>
        <w:tc>
          <w:tcPr>
            <w:tcW w:w="7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80" w:type="dxa"/>
            <w:vAlign w:val="bottom"/>
            <w:tcBorders>
              <w:bottom w:val="single" w:sz="8" w:color="auto"/>
            </w:tcBorders>
          </w:tcPr>
          <w:p>
            <w:pPr>
              <w:spacing w:after="0"/>
              <w:rPr>
                <w:sz w:val="20"/>
                <w:szCs w:val="20"/>
                <w:color w:val="auto"/>
              </w:rPr>
            </w:pP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Opening balance</w:t>
            </w:r>
          </w:p>
        </w:tc>
        <w:tc>
          <w:tcPr>
            <w:tcW w:w="1220" w:type="dxa"/>
            <w:vAlign w:val="bottom"/>
            <w:tcBorders>
              <w:bottom w:val="single" w:sz="8" w:color="CCEEFF"/>
            </w:tcBorders>
            <w:shd w:val="clear" w:color="auto" w:fill="CCEEFF"/>
          </w:tcPr>
          <w:p>
            <w:pPr>
              <w:jc w:val="right"/>
              <w:ind w:right="101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92,651</w:t>
            </w:r>
          </w:p>
        </w:tc>
        <w:tc>
          <w:tcPr>
            <w:tcW w:w="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13"/>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32,978</w:t>
            </w:r>
          </w:p>
        </w:tc>
      </w:tr>
      <w:tr>
        <w:trPr>
          <w:trHeight w:val="243"/>
        </w:trPr>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Bitcoin received from equity investees</w:t>
            </w:r>
          </w:p>
        </w:tc>
        <w:tc>
          <w:tcPr>
            <w:tcW w:w="1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25,813</w:t>
            </w: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18,089</w:t>
            </w:r>
          </w:p>
        </w:tc>
      </w:tr>
      <w:tr>
        <w:trPr>
          <w:trHeight w:val="27"/>
        </w:trPr>
        <w:tc>
          <w:tcPr>
            <w:tcW w:w="7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Bitcoin received from mining activities</w:t>
            </w:r>
          </w:p>
        </w:tc>
        <w:tc>
          <w:tcPr>
            <w:tcW w:w="1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199,579</w:t>
            </w:r>
          </w:p>
        </w:tc>
        <w:tc>
          <w:tcPr>
            <w:tcW w:w="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151,296</w:t>
            </w:r>
          </w:p>
        </w:tc>
      </w:tr>
      <w:tr>
        <w:trPr>
          <w:trHeight w:val="243"/>
        </w:trPr>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Bitcoin received from loan</w:t>
            </w:r>
          </w:p>
        </w:tc>
        <w:tc>
          <w:tcPr>
            <w:tcW w:w="1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16,551</w:t>
            </w: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9,976</w:t>
            </w:r>
          </w:p>
        </w:tc>
      </w:tr>
      <w:tr>
        <w:trPr>
          <w:trHeight w:val="27"/>
        </w:trPr>
        <w:tc>
          <w:tcPr>
            <w:tcW w:w="7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Bitcoin paid for interest on loan</w:t>
            </w:r>
          </w:p>
        </w:tc>
        <w:tc>
          <w:tcPr>
            <w:tcW w:w="1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w:t>
            </w:r>
          </w:p>
        </w:tc>
      </w:tr>
      <w:tr>
        <w:trPr>
          <w:trHeight w:val="243"/>
        </w:trPr>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sales of bitcoin</w:t>
            </w:r>
          </w:p>
        </w:tc>
        <w:tc>
          <w:tcPr>
            <w:tcW w:w="1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(214,737)</w:t>
            </w: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(148,870)</w:t>
            </w:r>
          </w:p>
        </w:tc>
      </w:tr>
      <w:tr>
        <w:trPr>
          <w:trHeight w:val="27"/>
        </w:trPr>
        <w:tc>
          <w:tcPr>
            <w:tcW w:w="7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Realized gains on sales of bitcoin, net</w:t>
            </w:r>
          </w:p>
        </w:tc>
        <w:tc>
          <w:tcPr>
            <w:tcW w:w="1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7,126</w:t>
            </w:r>
          </w:p>
        </w:tc>
        <w:tc>
          <w:tcPr>
            <w:tcW w:w="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51,548</w:t>
            </w:r>
          </w:p>
        </w:tc>
      </w:tr>
      <w:tr>
        <w:trPr>
          <w:trHeight w:val="243"/>
        </w:trPr>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(losses) gains on fair value of bitcoin</w:t>
            </w:r>
          </w:p>
        </w:tc>
        <w:tc>
          <w:tcPr>
            <w:tcW w:w="1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(41,603)</w:t>
            </w: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11,313</w:t>
            </w:r>
          </w:p>
        </w:tc>
      </w:tr>
      <w:tr>
        <w:trPr>
          <w:trHeight w:val="27"/>
        </w:trPr>
        <w:tc>
          <w:tcPr>
            <w:tcW w:w="7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Bitcoin purchased</w:t>
            </w:r>
          </w:p>
        </w:tc>
        <w:tc>
          <w:tcPr>
            <w:tcW w:w="1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Realized loss on bitcoin transferred to collateral, net</w:t>
            </w:r>
            <w:r>
              <w:rPr>
                <w:rFonts w:ascii="Times New Roman" w:cs="Times New Roman" w:eastAsia="Times New Roman" w:hAnsi="Times New Roman"/>
                <w:sz w:val="23"/>
                <w:szCs w:val="23"/>
                <w:color w:val="auto"/>
                <w:vertAlign w:val="superscript"/>
              </w:rPr>
              <w:t>(1)</w:t>
            </w:r>
          </w:p>
        </w:tc>
        <w:tc>
          <w:tcPr>
            <w:tcW w:w="1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Bitcoin transferred from collateral, net</w:t>
            </w:r>
          </w:p>
        </w:tc>
        <w:tc>
          <w:tcPr>
            <w:tcW w:w="1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40,925</w:t>
            </w:r>
          </w:p>
        </w:tc>
        <w:tc>
          <w:tcPr>
            <w:tcW w:w="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(31,702)</w:t>
            </w:r>
          </w:p>
        </w:tc>
      </w:tr>
      <w:tr>
        <w:trPr>
          <w:trHeight w:val="264"/>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220" w:type="dxa"/>
            <w:vAlign w:val="bottom"/>
            <w:tcBorders>
              <w:top w:val="single" w:sz="8" w:color="auto"/>
            </w:tcBorders>
          </w:tcPr>
          <w:p>
            <w:pPr>
              <w:jc w:val="right"/>
              <w:ind w:right="101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125,400</w:t>
            </w:r>
          </w:p>
        </w:tc>
        <w:tc>
          <w:tcPr>
            <w:tcW w:w="80" w:type="dxa"/>
            <w:vAlign w:val="bottom"/>
          </w:tcPr>
          <w:p>
            <w:pPr>
              <w:spacing w:after="0"/>
              <w:rPr>
                <w:sz w:val="22"/>
                <w:szCs w:val="22"/>
                <w:color w:val="auto"/>
              </w:rPr>
            </w:pPr>
          </w:p>
        </w:tc>
        <w:tc>
          <w:tcPr>
            <w:tcW w:w="1220" w:type="dxa"/>
            <w:vAlign w:val="bottom"/>
            <w:tcBorders>
              <w:top w:val="single" w:sz="8" w:color="auto"/>
            </w:tcBorders>
          </w:tcPr>
          <w:p>
            <w:pPr>
              <w:jc w:val="right"/>
              <w:ind w:right="1013"/>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0</wp:posOffset>
            </wp:positionV>
            <wp:extent cx="258064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2">
                      <a:extLst>
                        <a:ext uri="{28A0092B-C50C-407E-A947-70E740481C1C}"/>
                      </a:extLst>
                    </a:blip>
                    <a:srcRect/>
                    <a:stretch>
                      <a:fillRect/>
                    </a:stretch>
                  </pic:blipFill>
                  <pic:spPr bwMode="auto">
                    <a:xfrm>
                      <a:off x="0" y="0"/>
                      <a:ext cx="2580640" cy="8890"/>
                    </a:xfrm>
                    <a:prstGeom prst="rect">
                      <a:avLst/>
                    </a:prstGeom>
                    <a:noFill/>
                  </pic:spPr>
                </pic:pic>
              </a:graphicData>
            </a:graphic>
          </wp:anchor>
        </w:drawing>
      </w:r>
    </w:p>
    <w:p>
      <w:pPr>
        <w:spacing w:after="0" w:line="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 Realized loss on bitcoin transferred to collateral, net is classified under other income (expense) on the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-95885</wp:posOffset>
            </wp:positionV>
            <wp:extent cx="258064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3">
                      <a:extLst>
                        <a:ext uri="{28A0092B-C50C-407E-A947-70E740481C1C}"/>
                      </a:extLst>
                    </a:blip>
                    <a:srcRect/>
                    <a:stretch>
                      <a:fillRect/>
                    </a:stretch>
                  </pic:blipFill>
                  <pic:spPr bwMode="auto">
                    <a:xfrm>
                      <a:off x="0" y="0"/>
                      <a:ext cx="2580640" cy="8890"/>
                    </a:xfrm>
                    <a:prstGeom prst="rect">
                      <a:avLst/>
                    </a:prstGeom>
                    <a:noFill/>
                  </pic:spPr>
                </pic:pic>
              </a:graphicData>
            </a:graphic>
          </wp:anchor>
        </w:drawing>
      </w:r>
    </w:p>
    <w:p>
      <w:pPr>
        <w:spacing w:after="0" w:line="29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held approximately 1,433 and 994 bitcoin at December 31, 2025, and December 31, 2024, respectively. The associated fair values and cost bases of bitcoin held were $125.4 million, and $154.1 million, respectively, at December 31, 2025, and $92.7 million, and $79.8 million, respectively at December 31, 2024. Fair value of bitcoin is estimated using the closing price at 23:59:59 UTC in the Company’s principal market, which is a Level 1 input (i.e., an observable input such as a quoted price in an active market for an identical asset). The Company accounts for bitcoin on a first-in-first-out (“FIFO”) basis.</w:t>
      </w:r>
    </w:p>
    <w:p>
      <w:pPr>
        <w:spacing w:after="0" w:line="14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of December 31, 2025, the Company had no bitcoin pledged as collateral related to the Coinbase Overnight Credit Facility. As of December 31, 2024, the Company had 345 bitcoin with a fair value of $32.2 million pledged as collateral related to the Coinbase Overnight Credit Facility. Restrictions on this bitcoin pledged as collateral lapse upon repayment of the outstanding balance drawn on this facility. The collateral pledged related to the Coinbase Overnight Credit Facility can be rehypothecated and therefore is derecognized from the Company’s ending bitcoin balance, and recorded in Receivable for bitcoin collateral on the Company’s consolidated balance sheets. Any difference in cost basis of the bitcoin transferred is recorded in Realized gains on sale of bitcoin on the Company’s consolidated statements of operations.</w:t>
      </w:r>
    </w:p>
    <w:p>
      <w:pPr>
        <w:spacing w:after="0" w:line="16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Additionally, the Company may pledge bitcoin as collateral related to bitcoin trading strategies. As of December 31, 2025, and December 31, 2024 the Company had no bitcoin pledged as part of trading strategies.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DERIVATIVE ASSETS</w:t>
      </w:r>
    </w:p>
    <w:p>
      <w:pPr>
        <w:spacing w:after="0" w:line="2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June 23, 2021, the Company entered into a power purchase agreement with Luminant, which was subsequently amended and restated on July 9, 2021, and further amended on February 28, 2022, August 26, 2022, and August 23, 2023 (as amended, the “Luminant Power Agreement”), for the supply of a fixed amount of electric power to the Odessa Facility at a fixed price for a term of five years, subject to certain early termination exemptions. The Luminant Power Agreement provides for subsequent automatic annual renewal unless either party provides written notice to the other party of its intent to terminate the agreement at least six months prior to the expiration of the then current term.</w:t>
      </w:r>
    </w:p>
    <w:p>
      <w:pPr>
        <w:spacing w:after="0" w:line="14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The Company’s management determined that the Luminant Power Agreement meets the definition of a derivative under ASC 815, </w:t>
      </w:r>
      <w:r>
        <w:rPr>
          <w:rFonts w:ascii="Times New Roman" w:cs="Times New Roman" w:eastAsia="Times New Roman" w:hAnsi="Times New Roman"/>
          <w:sz w:val="18"/>
          <w:szCs w:val="18"/>
          <w:i w:val="1"/>
          <w:iCs w:val="1"/>
          <w:color w:val="auto"/>
        </w:rPr>
        <w:t>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Hedging </w:t>
      </w:r>
      <w:r>
        <w:rPr>
          <w:rFonts w:ascii="Times New Roman" w:cs="Times New Roman" w:eastAsia="Times New Roman" w:hAnsi="Times New Roman"/>
          <w:sz w:val="18"/>
          <w:szCs w:val="18"/>
          <w:color w:val="auto"/>
        </w:rPr>
        <w:t>(“ASC 815”). Accordingly, the Luminant Power Agreement is recorded at its estimated fair value each reporting period with the change in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value recorded in change in fair value of derivative asset in the consolidated statements of operations. See additional information regarding valuation of the Luminant Power Agreement derivative in </w:t>
      </w:r>
      <w:r>
        <w:rPr>
          <w:rFonts w:ascii="Times New Roman" w:cs="Times New Roman" w:eastAsia="Times New Roman" w:hAnsi="Times New Roman"/>
          <w:sz w:val="18"/>
          <w:szCs w:val="18"/>
          <w:i w:val="1"/>
          <w:iCs w:val="1"/>
          <w:color w:val="auto"/>
        </w:rPr>
        <w:t>Note 20. Fair Value Measurements</w:t>
      </w:r>
      <w:r>
        <w:rPr>
          <w:rFonts w:ascii="Times New Roman" w:cs="Times New Roman" w:eastAsia="Times New Roman" w:hAnsi="Times New Roman"/>
          <w:sz w:val="18"/>
          <w:szCs w:val="18"/>
          <w:color w:val="auto"/>
        </w:rPr>
        <w:t>.</w:t>
      </w:r>
    </w:p>
    <w:p>
      <w:pPr>
        <w:spacing w:after="0" w:line="14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may opportunistically sell electricity in the ERCOT market in exchange for cash payments, rather than utilizing the power to mine for bitcoin at the Odessa Facility to manage the Company’s operating costs. From Power sales, the Company earned approximately $7.9 million, $5.4 million, and $9.9 million for the years ended December 31, 2025, 2024, and 2023, respectively, and recorded this amount within Costs and operating (expenses) income on the consolidated statements of operations, with the corresponding cost of the power sold recorded in Cost of revenue.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PROPERTY AND EQUIPMENT</w:t>
            </w: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92"/>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446"/>
        </w:trPr>
        <w:tc>
          <w:tcPr>
            <w:tcW w:w="6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0" w:type="dxa"/>
            <w:vAlign w:val="bottom"/>
          </w:tcPr>
          <w:p>
            <w:pPr>
              <w:spacing w:after="0"/>
              <w:rPr>
                <w:sz w:val="24"/>
                <w:szCs w:val="24"/>
                <w:color w:val="auto"/>
              </w:rPr>
            </w:pPr>
          </w:p>
        </w:tc>
        <w:tc>
          <w:tcPr>
            <w:tcW w:w="18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7"/>
        </w:trPr>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3"/>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Miners and mining equipment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342,111</w:t>
            </w:r>
          </w:p>
        </w:tc>
      </w:tr>
      <w:tr>
        <w:trPr>
          <w:trHeight w:val="24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137,582</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49,021</w:t>
            </w:r>
          </w:p>
        </w:tc>
      </w:tr>
      <w:tr>
        <w:trPr>
          <w:trHeight w:val="24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Infrastructure</w:t>
            </w: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28,166</w:t>
            </w:r>
          </w:p>
        </w:tc>
      </w:tr>
      <w:tr>
        <w:trPr>
          <w:trHeight w:val="24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Construction-in-progress</w:t>
            </w:r>
          </w:p>
        </w:tc>
        <w:tc>
          <w:tcPr>
            <w:tcW w:w="2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276,470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82,017</w:t>
            </w:r>
          </w:p>
        </w:tc>
      </w:tr>
      <w:tr>
        <w:trPr>
          <w:trHeight w:val="237"/>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property and equipment</w:t>
            </w:r>
          </w:p>
        </w:tc>
        <w:tc>
          <w:tcPr>
            <w:tcW w:w="20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956,620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639,503</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(334,165)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(158,638)</w:t>
            </w:r>
          </w:p>
        </w:tc>
      </w:tr>
      <w:tr>
        <w:trPr>
          <w:trHeight w:val="237"/>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622,455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480,865</w:t>
            </w:r>
          </w:p>
        </w:tc>
      </w:tr>
      <w:tr>
        <w:trPr>
          <w:trHeight w:val="27"/>
        </w:trPr>
        <w:tc>
          <w:tcPr>
            <w:tcW w:w="6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0"/>
        </w:trPr>
        <w:tc>
          <w:tcPr>
            <w:tcW w:w="6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had approximately $276.5 million of construction-in-progress related to construction at various sites. For the year ended December 31, 2025, $144.8 million of Construction-in-progress related to the build out of the Black Pearl Facility was placed into service.</w:t>
      </w:r>
    </w:p>
    <w:p>
      <w:pPr>
        <w:spacing w:after="0" w:line="13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Depreciation expense was approximately $199.0 million, $102.4 million, and $59.1 million for the years ended December 31, 2025, 2024, and 2023, respectively, and included approximately $2.7 million, $1.9 million, and $1.7 million for the years ended December 31, 2025, 2024, and 2023, respectively, of accretion expense related to the Company’s asset retirement obligations.</w:t>
      </w:r>
    </w:p>
    <w:p>
      <w:pPr>
        <w:spacing w:after="0" w:line="13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completed a quantitative assessment during the fourth quarter in connection with a substantial decline in the price of bitcoin with increased network hashrate, and concluded an impairment existed on the miners and leasehold improvements at the Odessa Facility as of the assessment date. The Company recorded an impairment of $45.3 million on these long-lived assets at the Odessa Facility in Other operating losses in the year ended December 31, 2025.</w:t>
      </w:r>
    </w:p>
    <w:p>
      <w:pPr>
        <w:spacing w:after="0" w:line="13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Separately, the Company also identified miners which were deemed beyond repair. The Company recorded a loss on disposal on these miners equal to their aggregate net book value of $29.4 million under Other operating losses in the year ended December 31, 2025 as a result.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DEPOSITS ON EQUIPMENT</w:t>
      </w:r>
    </w:p>
    <w:p>
      <w:pPr>
        <w:spacing w:after="0" w:line="202"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has a nonrefundable deposit with American Electric Power Company, Inc. (“AEP”) for $5.3 million related to construction costs to energize a wholly-owned site in LaSalle, Texas (the “Reveille Facility”), paid as a Contributions in Aid of Construction (“CIAC”) payment.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Deposits on equipment primarily represented deposits on mining rigs.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MINERS HELD FOR SALE</w:t>
      </w:r>
    </w:p>
    <w:p>
      <w:pPr>
        <w:spacing w:after="0" w:line="189"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As of December 31, 2025, the Company has presented separately from Property and equipment, net $94.9 million of mining rigs that the Company has determined meet the criteria to be classified as held for sale, and has presented these in Miners held for sale on the Company’s consolidated balance sheets.</w:t>
      </w:r>
    </w:p>
    <w:p>
      <w:pPr>
        <w:spacing w:after="0" w:line="11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has been engaging in various negotiations to sell the mining rigs at the Black Pearl Facility following the signing of a sublease on the site to transition the site to host an HPC tenant. The mining rigs are expected to be sold within one year of December 31, 2025. Upon classifying the miners as held for sale, the Company ceased depreciation and recognized a loss of $96.1 million on the fair value of the miners. The loss is recorded in Other operating (losses) gains on the Company’s consolidated statements of operations. For the year ended December 31, 2025, the Black Pearl Facility generated revenue of approximately $57.9 million from these miners.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assets were classified as held for sale as of December 31,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INVESTMENTS IN JOINT VENTURES</w:t>
      </w:r>
    </w:p>
    <w:p>
      <w:pPr>
        <w:spacing w:after="0" w:line="202" w:lineRule="exact"/>
        <w:rPr>
          <w:sz w:val="20"/>
          <w:szCs w:val="20"/>
          <w:color w:val="auto"/>
        </w:rPr>
      </w:pPr>
    </w:p>
    <w:p>
      <w:pPr>
        <w:jc w:val="both"/>
        <w:ind w:right="300"/>
        <w:spacing w:after="0" w:line="289" w:lineRule="auto"/>
        <w:rPr>
          <w:sz w:val="20"/>
          <w:szCs w:val="20"/>
          <w:color w:val="auto"/>
        </w:rPr>
      </w:pPr>
      <w:r>
        <w:rPr>
          <w:rFonts w:ascii="Times New Roman" w:cs="Times New Roman" w:eastAsia="Times New Roman" w:hAnsi="Times New Roman"/>
          <w:sz w:val="17"/>
          <w:szCs w:val="17"/>
          <w:color w:val="auto"/>
        </w:rPr>
        <w:t>The Company accounted for its 49% equity ownership in each of Alborz LLC, Bear LLC, and Chief Mountain LLC (the “WindHQ JV sites”) using the equity method of accounting. The book value of these investments is included in Investment in equity investees on the Company’s consolidated balance sheets, with the Company’s portion of income included in Equity in losses of equity investees on the Company’s consolidated statements of operation.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the Company’s investments in equity investees during the year ended December 31, 2025, and 2024, consisted of the following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20" w:type="dxa"/>
            <w:vAlign w:val="bottom"/>
          </w:tcPr>
          <w:p>
            <w:pPr>
              <w:spacing w:after="0"/>
              <w:rPr>
                <w:sz w:val="20"/>
                <w:szCs w:val="20"/>
                <w:color w:val="auto"/>
              </w:rPr>
            </w:pPr>
          </w:p>
        </w:tc>
        <w:tc>
          <w:tcPr>
            <w:tcW w:w="3720" w:type="dxa"/>
            <w:vAlign w:val="bottom"/>
            <w:gridSpan w:val="5"/>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r>
      <w:tr>
        <w:trPr>
          <w:trHeight w:val="27"/>
        </w:trPr>
        <w:tc>
          <w:tcPr>
            <w:tcW w:w="75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75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75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Opening balance</w:t>
            </w: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35,258</w:t>
            </w:r>
          </w:p>
        </w:tc>
      </w:tr>
      <w:tr>
        <w:trPr>
          <w:trHeight w:val="243"/>
        </w:trPr>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contributions</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37,123</w:t>
            </w:r>
          </w:p>
        </w:tc>
      </w:tr>
      <w:tr>
        <w:trPr>
          <w:trHeight w:val="27"/>
        </w:trPr>
        <w:tc>
          <w:tcPr>
            <w:tcW w:w="7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Accretion of basis differences related to miner contributions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w:t>
            </w:r>
          </w:p>
        </w:tc>
      </w:tr>
      <w:tr>
        <w:trPr>
          <w:trHeight w:val="243"/>
        </w:trPr>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Bitcoin received from equity investees</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(18,089)</w:t>
            </w:r>
          </w:p>
        </w:tc>
      </w:tr>
      <w:tr>
        <w:trPr>
          <w:trHeight w:val="27"/>
        </w:trPr>
        <w:tc>
          <w:tcPr>
            <w:tcW w:w="7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in net losses of equity investees</w:t>
            </w: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(5,727)</w:t>
            </w:r>
          </w:p>
        </w:tc>
      </w:tr>
      <w:tr>
        <w:trPr>
          <w:trHeight w:val="26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140" w:type="dxa"/>
            <w:vAlign w:val="bottom"/>
            <w:tcBorders>
              <w:top w:val="single" w:sz="8" w:color="auto"/>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29,400</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53,908</w:t>
            </w:r>
          </w:p>
        </w:tc>
      </w:tr>
      <w:tr>
        <w:trPr>
          <w:trHeight w:val="20"/>
        </w:trPr>
        <w:tc>
          <w:tcPr>
            <w:tcW w:w="75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February 19, 2026, the Company sold its 49% interests in the WindHQ JV sites to Canaan U.S. Inc (“Canaan”) in exchange for $29.4 million of Canaan stock. The Company recorded an additional expense in Equity in losses of equity investees in the year ended December 31, 2025 to adjust the carrying value of its investments to the negotiated purchase price.</w:t>
      </w:r>
    </w:p>
    <w:p>
      <w:pPr>
        <w:spacing w:after="0" w:line="14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October 2025, the Company purchased 53% of the equity in Colchis LLC (“Colchis”), a joint venture of a potential 1 GW site in Texas, the “Colchis Site.” The Company is the managing member and consolidates Colchis, and records redeemable noncontrolling interest for the minority interest in the site. The Company deems the noncontrolling interest to be redeemable due to certain clauses in the agreement, which could trigger the redemption of the noncontrolling shares upon events outside of the Company's control.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changes in ownership of Colchis LLC for the year ended December 31, 2025 after the Company’s original investment.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INTANGIBLE ASSETS</w:t>
      </w:r>
    </w:p>
    <w:p>
      <w:pPr>
        <w:sectPr>
          <w:pgSz w:w="11900" w:h="16838" w:orient="portrait"/>
          <w:cols w:equalWidth="0" w:num="1">
            <w:col w:w="11240"/>
          </w:cols>
          <w:pgMar w:left="320" w:top="225" w:right="339" w:bottom="1440" w:gutter="0" w:footer="0" w:header="0"/>
        </w:sect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intangible assets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641985</wp:posOffset>
            </wp:positionV>
            <wp:extent cx="7132320" cy="1803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7">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Strategic contracts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Capitalized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974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8">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728980</wp:posOffset>
            </wp:positionV>
            <wp:extent cx="7132320" cy="1797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Strategic contract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Capitalized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974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0">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31546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1">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20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00" w:type="dxa"/>
            <w:vAlign w:val="bottom"/>
          </w:tcPr>
          <w:p>
            <w:pPr>
              <w:spacing w:after="0"/>
              <w:rPr>
                <w:sz w:val="18"/>
                <w:szCs w:val="18"/>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Net Carrying</w:t>
            </w:r>
          </w:p>
        </w:tc>
      </w:tr>
      <w:tr>
        <w:trPr>
          <w:trHeight w:val="238"/>
        </w:trPr>
        <w:tc>
          <w:tcPr>
            <w:tcW w:w="140" w:type="dxa"/>
            <w:vAlign w:val="bottom"/>
          </w:tcPr>
          <w:p>
            <w:pPr>
              <w:spacing w:after="0"/>
              <w:rPr>
                <w:sz w:val="20"/>
                <w:szCs w:val="20"/>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0" w:type="dxa"/>
            <w:vAlign w:val="bottom"/>
          </w:tcPr>
          <w:p>
            <w:pPr>
              <w:spacing w:after="0"/>
              <w:rPr>
                <w:sz w:val="20"/>
                <w:szCs w:val="20"/>
                <w:color w:val="auto"/>
              </w:rPr>
            </w:pPr>
          </w:p>
        </w:tc>
        <w:tc>
          <w:tcPr>
            <w:tcW w:w="14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7"/>
        </w:trPr>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76,135</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75,406</w:t>
            </w:r>
          </w:p>
        </w:tc>
      </w:tr>
      <w:tr>
        <w:trPr>
          <w:trHeight w:val="270"/>
        </w:trPr>
        <w:tc>
          <w:tcPr>
            <w:tcW w:w="1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w:t>
            </w:r>
          </w:p>
        </w:tc>
      </w:tr>
      <w:tr>
        <w:trPr>
          <w:trHeight w:val="27"/>
        </w:trPr>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78,983</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77,388</w:t>
            </w:r>
          </w:p>
        </w:tc>
      </w:tr>
      <w:tr>
        <w:trPr>
          <w:trHeight w:val="27"/>
        </w:trPr>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31546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2">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20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00" w:type="dxa"/>
            <w:vAlign w:val="bottom"/>
          </w:tcPr>
          <w:p>
            <w:pPr>
              <w:spacing w:after="0"/>
              <w:rPr>
                <w:sz w:val="18"/>
                <w:szCs w:val="18"/>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Net Carrying</w:t>
            </w:r>
          </w:p>
        </w:tc>
      </w:tr>
      <w:tr>
        <w:trPr>
          <w:trHeight w:val="238"/>
        </w:trPr>
        <w:tc>
          <w:tcPr>
            <w:tcW w:w="140" w:type="dxa"/>
            <w:vAlign w:val="bottom"/>
          </w:tcPr>
          <w:p>
            <w:pPr>
              <w:spacing w:after="0"/>
              <w:rPr>
                <w:sz w:val="20"/>
                <w:szCs w:val="20"/>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0" w:type="dxa"/>
            <w:vAlign w:val="bottom"/>
          </w:tcPr>
          <w:p>
            <w:pPr>
              <w:spacing w:after="0"/>
              <w:rPr>
                <w:sz w:val="20"/>
                <w:szCs w:val="20"/>
                <w:color w:val="auto"/>
              </w:rPr>
            </w:pPr>
          </w:p>
        </w:tc>
        <w:tc>
          <w:tcPr>
            <w:tcW w:w="14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7"/>
        </w:trPr>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6,621</w:t>
            </w:r>
          </w:p>
        </w:tc>
      </w:tr>
      <w:tr>
        <w:trPr>
          <w:trHeight w:val="270"/>
        </w:trPr>
        <w:tc>
          <w:tcPr>
            <w:tcW w:w="1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w:t>
            </w:r>
          </w:p>
        </w:tc>
      </w:tr>
      <w:tr>
        <w:trPr>
          <w:trHeight w:val="27"/>
        </w:trPr>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9,653</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8,881</w:t>
            </w:r>
          </w:p>
        </w:tc>
      </w:tr>
      <w:tr>
        <w:trPr>
          <w:trHeight w:val="27"/>
        </w:trPr>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
        </w:trPr>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560" w:space="720"/>
            <w:col w:w="4960"/>
          </w:cols>
          <w:pgMar w:left="320" w:top="225" w:right="339" w:bottom="1440" w:gutter="0" w:footer="0" w:header="0"/>
          <w:type w:val="continuous"/>
        </w:sectPr>
      </w:pPr>
    </w:p>
    <w:p>
      <w:pPr>
        <w:spacing w:after="0" w:line="5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recorded amortization expense related to intangible assets of $0.6 million for the year ended December 31, 2025, $0.5 million for the year ended December 31, 2024, and $0.0 million for the year ended December 31, 2023. During the year ended December 31, 2025, the Company acquired strategic contracts for $56.6 million and $12.6 million related to the development of the Colchis and Ulysses sites, respectively, and wrote off $1.2 million of capitalized software related to software projects the Company is no longer pursuing. The Company expects to record amortization expense as follows over the next five subsequent years: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4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3080" w:type="dxa"/>
            <w:vAlign w:val="bottom"/>
            <w:gridSpan w:val="5"/>
          </w:tcPr>
          <w:p>
            <w:pPr>
              <w:ind w:left="9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
        </w:trPr>
        <w:tc>
          <w:tcPr>
            <w:tcW w:w="23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2340" w:type="dxa"/>
            <w:vAlign w:val="bottom"/>
          </w:tcPr>
          <w:p>
            <w:pPr>
              <w:spacing w:after="0"/>
              <w:rPr>
                <w:sz w:val="21"/>
                <w:szCs w:val="21"/>
                <w:color w:val="auto"/>
              </w:rPr>
            </w:pPr>
          </w:p>
        </w:tc>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2026</w:t>
            </w: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340" w:type="dxa"/>
            <w:vAlign w:val="bottom"/>
          </w:tcPr>
          <w:p>
            <w:pPr>
              <w:spacing w:after="0"/>
              <w:rPr>
                <w:sz w:val="21"/>
                <w:szCs w:val="21"/>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2027</w:t>
            </w: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23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2340" w:type="dxa"/>
            <w:vAlign w:val="bottom"/>
          </w:tcPr>
          <w:p>
            <w:pPr>
              <w:spacing w:after="0"/>
              <w:rPr>
                <w:sz w:val="21"/>
                <w:szCs w:val="21"/>
                <w:color w:val="auto"/>
              </w:rPr>
            </w:pPr>
          </w:p>
        </w:tc>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2028</w:t>
            </w: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340" w:type="dxa"/>
            <w:vAlign w:val="bottom"/>
          </w:tcPr>
          <w:p>
            <w:pPr>
              <w:spacing w:after="0"/>
              <w:rPr>
                <w:sz w:val="21"/>
                <w:szCs w:val="21"/>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2029</w:t>
            </w: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23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2340" w:type="dxa"/>
            <w:vAlign w:val="bottom"/>
          </w:tcPr>
          <w:p>
            <w:pPr>
              <w:spacing w:after="0"/>
              <w:rPr>
                <w:sz w:val="21"/>
                <w:szCs w:val="21"/>
                <w:color w:val="auto"/>
              </w:rPr>
            </w:pPr>
          </w:p>
        </w:tc>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2030</w:t>
            </w: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486"/>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10. SECURITY DEPOSITS</w:t>
            </w: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92"/>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security deposits consisted of the following (in thousands):</w:t>
            </w: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53"/>
        </w:trPr>
        <w:tc>
          <w:tcPr>
            <w:tcW w:w="23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60" w:type="dxa"/>
            <w:vAlign w:val="bottom"/>
          </w:tcPr>
          <w:p>
            <w:pPr>
              <w:spacing w:after="0"/>
              <w:rPr>
                <w:sz w:val="24"/>
                <w:szCs w:val="24"/>
                <w:color w:val="auto"/>
              </w:rPr>
            </w:pP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50"/>
        </w:trPr>
        <w:tc>
          <w:tcPr>
            <w:tcW w:w="64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Oncor Facility Extension security deposits</w:t>
            </w:r>
          </w:p>
        </w:tc>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27,020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18,810</w:t>
            </w:r>
          </w:p>
        </w:tc>
      </w:tr>
      <w:tr>
        <w:trPr>
          <w:trHeight w:val="243"/>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deposits</w:t>
            </w: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r>
      <w:tr>
        <w:trPr>
          <w:trHeight w:val="27"/>
        </w:trPr>
        <w:tc>
          <w:tcPr>
            <w:tcW w:w="6400" w:type="dxa"/>
            <w:vAlign w:val="bottom"/>
            <w:tcBorders>
              <w:bottom w:val="single" w:sz="8" w:color="CCEEFF"/>
            </w:tcBorders>
            <w:gridSpan w:val="2"/>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84"/>
        </w:trPr>
        <w:tc>
          <w:tcPr>
            <w:tcW w:w="6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security deposits</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27,732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19,782</w:t>
            </w: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-33655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-213995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-565150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32" w:lineRule="exact"/>
        <w:rPr>
          <w:sz w:val="20"/>
          <w:szCs w:val="20"/>
          <w:color w:val="auto"/>
        </w:rPr>
      </w:pPr>
    </w:p>
    <w:p>
      <w:pPr>
        <w:ind w:right="420"/>
        <w:spacing w:after="0" w:line="289" w:lineRule="auto"/>
        <w:rPr>
          <w:sz w:val="20"/>
          <w:szCs w:val="20"/>
          <w:color w:val="auto"/>
        </w:rPr>
      </w:pPr>
      <w:r>
        <w:rPr>
          <w:rFonts w:ascii="Times New Roman" w:cs="Times New Roman" w:eastAsia="Times New Roman" w:hAnsi="Times New Roman"/>
          <w:sz w:val="17"/>
          <w:szCs w:val="17"/>
          <w:color w:val="auto"/>
        </w:rPr>
        <w:t>As part of various transactions to acquire wholly-owned sites, the Company has deposits with Oncor Electric Delivery Company LLC (“Oncor”) to construct infrastructure to provide the ability to energize each data center. These deposits are eligible to be returned to the Company if the data centers energize an agreed upon capacity within an agreed upon timeframe. As of December 31, 2025 the Company believes these deposits will be returned.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SUPPLEMENTAL FINANCIAL INFORMATION</w:t>
      </w:r>
    </w:p>
    <w:p>
      <w:pPr>
        <w:spacing w:after="0" w:line="18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Prepaid expenses and other current assets were $8.0 million and $3.4 million as of December 31, 2025 and December 31, 2024, respectively, primarily consisting of prepaid insurance as of December 31, 2025, and December 31, 2024.</w:t>
      </w:r>
    </w:p>
    <w:p>
      <w:pPr>
        <w:sectPr>
          <w:pgSz w:w="11900" w:h="16838" w:orient="portrait"/>
          <w:cols w:equalWidth="0" w:num="1">
            <w:col w:w="11240"/>
          </w:cols>
          <w:pgMar w:left="320" w:top="225" w:right="339" w:bottom="1440" w:gutter="0" w:footer="0" w:header="0"/>
          <w:type w:val="continuous"/>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accrued expenses and other current liabilities consisted of the following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60" w:type="dxa"/>
            <w:vAlign w:val="bottom"/>
          </w:tcPr>
          <w:p>
            <w:pPr>
              <w:spacing w:after="0"/>
              <w:rPr>
                <w:sz w:val="19"/>
                <w:szCs w:val="19"/>
                <w:color w:val="auto"/>
              </w:rPr>
            </w:pPr>
          </w:p>
        </w:tc>
        <w:tc>
          <w:tcPr>
            <w:tcW w:w="160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60"/>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costs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w:t>
            </w:r>
          </w:p>
        </w:tc>
      </w:tr>
      <w:tr>
        <w:trPr>
          <w:trHeight w:val="27"/>
        </w:trPr>
        <w:tc>
          <w:tcPr>
            <w:tcW w:w="7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(primarily sales tax)</w:t>
            </w: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14,607</w:t>
            </w:r>
          </w:p>
        </w:tc>
      </w:tr>
      <w:tr>
        <w:trPr>
          <w:trHeight w:val="27"/>
        </w:trPr>
        <w:tc>
          <w:tcPr>
            <w:tcW w:w="7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8,246</w:t>
            </w:r>
          </w:p>
        </w:tc>
      </w:tr>
      <w:tr>
        <w:trPr>
          <w:trHeight w:val="27"/>
        </w:trPr>
        <w:tc>
          <w:tcPr>
            <w:tcW w:w="7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Power costs</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7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Barber Lake site deposit payable</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8,297</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Remaining payments for miners in service</w:t>
            </w:r>
          </w:p>
        </w:tc>
        <w:tc>
          <w:tcPr>
            <w:tcW w:w="180" w:type="dxa"/>
            <w:vAlign w:val="bottom"/>
          </w:tcPr>
          <w:p>
            <w:pPr>
              <w:spacing w:after="0"/>
              <w:rPr>
                <w:sz w:val="21"/>
                <w:szCs w:val="21"/>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30,221</w:t>
            </w:r>
          </w:p>
        </w:tc>
      </w:tr>
      <w:tr>
        <w:trPr>
          <w:trHeight w:val="27"/>
        </w:trPr>
        <w:tc>
          <w:tcPr>
            <w:tcW w:w="7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88"/>
        </w:trPr>
        <w:tc>
          <w:tcPr>
            <w:tcW w:w="7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90,086</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69,824</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-33655</wp:posOffset>
            </wp:positionV>
            <wp:extent cx="603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RELATED PARTY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receivables</w:t>
      </w:r>
    </w:p>
    <w:p>
      <w:pPr>
        <w:spacing w:after="0" w:line="18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Company recorded related party receivables of approximately $0.3 million and $2.1 million, as of December 31, 2025 and December 31, 2024, respectively, representing amounts owed to the Company from its equity method investees.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Observer Agreement</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April 8, 2022, the Company entered into an observer agreement (the “Board Observer Agreement”) with Bitfury Holding and Bitfury Top HoldCo (together with Bitfury Holding, the “Investors”), which provides that the Investors have the right to designate a representative to serve as an observer of the Board and any committees thereof (subject to exceptions and limitations specified in the Board Observer Agreement). The Board Observer Agreement was negotiated and approved by an independent committee of the Board. On July 22, 2025, the Company terminated the Board Observer Agreement with the Investors.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LEASES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Barber Lake Facility Lease</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September 24, 2025, the Company’s subsidiary Cipher Barber Lake LLC (“Cipher Barber Lake”) entered into a lease with Fluidstack USA II Inc. (“Fluidstack”) which provides for the development of a data center facility on, and lease of the Barber Lake Facility (the “Barber Lake Facility Lease”) for HPC. The Company expects to deliver the facility to Fluidstack by September 2026. Fluidstack’s obligations to pay rent under the lease begin on the commencement dates of the lease and will continue for a 10-year term, as well as for the two five-year extension options, as applicable. As part of the Barber Lake Facility Lease, the Company is required to provide certain services for the data center including supplying power, environmental controls, physical security and connectivity products to Fluidstack, and failure to provide these services may result in additional costs under the lease.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Odessa Facility Lease</w:t>
      </w:r>
    </w:p>
    <w:p>
      <w:pPr>
        <w:spacing w:after="0" w:line="20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Company entered into a series of agreements with affiliates of Luminant, including the Lease Agreement dated June 29, 2021, with amendment and restatement on July 9, 2021 and August 23, 2023 (as amended and restated, the “Luminant Lease Agreement”). The Luminant Lease Agreement leases a plot of land to the Company for the data center, ancillary infrastructure and electrical system (the “Interconnection Electrical Facilities” or “substation”) of the Odessa Facility. The Company entered into the Luminant Lease Agreement and the Luminant Purchase and Sale Agreement to build the infrastructure necessary to support its Odessa Facility operations. The Company determined that the Luminant Lease Agreement and the Luminant Purchase and Sale Agreement should be combined for accounting purposes under ASC 842 (collectively, the “Combined Luminant Lease Agreement”) and that amounts exchanged under the combined contract should be allocated to the various components of the overall transaction based on relative fair values. The Combined Luminant Lease Agreement is classified as a finance lease.</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07" w:name="page108"/>
    <w:bookmarkEnd w:id="107"/>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Combined Luminant Lease Agreement commenced on November 22, 2022 and has an initial term of five years, with renewal provisions that are aligned with the Luminant Power Agreement. Financing for use of the land and substation is provided by Luminant affiliates.</w:t>
      </w:r>
    </w:p>
    <w:p>
      <w:pPr>
        <w:spacing w:after="0" w:line="135"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At the end of the lease term for the Interconnection Electrical Facilities, the substation will be sold back to Luminant’s affiliate, Vistra Operations Company, LLC at a price to be determined based upon bids obtained in the secondary market.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Black Pearl Facility Lease</w:t>
      </w:r>
    </w:p>
    <w:p>
      <w:pPr>
        <w:spacing w:after="0" w:line="18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and its wholly-owned subsidiary, Cipher Black Pearl LLC (“Black Pearl”), assumed a lease for an approximately 75 acre plot of land in Winkler County, Texas in December 2023, for the purpose of constructing a data center, and ancillary infrastructure to construct the Black Pearl Facility. The initial term of the lease is ten years, and includes four consecutive renewal options for ten years each.</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Reveille Facility Lease</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and its wholly-owned subsidiary, Cipher Reveille LLC (“Reveille”), assumed a lease for up to 52 acres of land in LaSalle, Texas, in October 2024 for the purpose of constructing a data center, and ancillary infrastructure to construct the Reveille Facility. The initial term of the lease is ten years, and includes two consecutive renewal options for ten years each.</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Office and warehouse leases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leases office space for its headquarters in New York, New York, and office space in Charleston, South Carolina, and Denver, Colorado.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April 2025, the Company entered into a commercial lease for a warehouse in Odessa, Texas.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Company's office leases are classified as operating leases.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lease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the Company’s lease expenses are as follows (in thousands):</w:t>
      </w:r>
    </w:p>
    <w:p>
      <w:pPr>
        <w:spacing w:after="0" w:line="241" w:lineRule="exact"/>
        <w:rPr>
          <w:sz w:val="20"/>
          <w:szCs w:val="20"/>
          <w:color w:val="auto"/>
        </w:rPr>
      </w:pPr>
    </w:p>
    <w:tbl>
      <w:tblPr>
        <w:tblLayout w:type="fixed"/>
        <w:tblInd w:w="860" w:type="dxa"/>
        <w:tblCellMar>
          <w:top w:w="0" w:type="dxa"/>
          <w:left w:w="0" w:type="dxa"/>
          <w:bottom w:w="0" w:type="dxa"/>
          <w:right w:w="0" w:type="dxa"/>
        </w:tblCellMar>
      </w:tblPr>
      <w:tr>
        <w:trPr>
          <w:trHeight w:val="225"/>
        </w:trPr>
        <w:tc>
          <w:tcPr>
            <w:tcW w:w="422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37"/>
        </w:trPr>
        <w:tc>
          <w:tcPr>
            <w:tcW w:w="4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6"/>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1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70"/>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Amortization of ROU assets </w:t>
            </w:r>
            <w:r>
              <w:rPr>
                <w:rFonts w:ascii="Times New Roman" w:cs="Times New Roman" w:eastAsia="Times New Roman" w:hAnsi="Times New Roman"/>
                <w:sz w:val="23"/>
                <w:szCs w:val="23"/>
                <w:color w:val="auto"/>
                <w:vertAlign w:val="superscript"/>
              </w:rPr>
              <w:t>(1)</w:t>
            </w:r>
          </w:p>
        </w:tc>
        <w:tc>
          <w:tcPr>
            <w:tcW w:w="1100" w:type="dxa"/>
            <w:vAlign w:val="bottom"/>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4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w:t>
            </w:r>
          </w:p>
        </w:tc>
        <w:tc>
          <w:tcPr>
            <w:tcW w:w="10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w:t>
            </w:r>
          </w:p>
        </w:tc>
      </w:tr>
      <w:tr>
        <w:trPr>
          <w:trHeight w:val="270"/>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lease liability</w:t>
            </w:r>
          </w:p>
        </w:tc>
        <w:tc>
          <w:tcPr>
            <w:tcW w:w="1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r>
      <w:tr>
        <w:trPr>
          <w:trHeight w:val="237"/>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finance lease expense</w:t>
            </w:r>
          </w:p>
        </w:tc>
        <w:tc>
          <w:tcPr>
            <w:tcW w:w="1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4,080</w:t>
            </w:r>
          </w:p>
        </w:tc>
        <w:tc>
          <w:tcPr>
            <w:tcW w:w="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5,050</w:t>
            </w:r>
          </w:p>
        </w:tc>
      </w:tr>
      <w:tr>
        <w:trPr>
          <w:trHeight w:val="27"/>
        </w:trPr>
        <w:tc>
          <w:tcPr>
            <w:tcW w:w="4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w:t>
            </w:r>
          </w:p>
        </w:tc>
      </w:tr>
      <w:tr>
        <w:trPr>
          <w:trHeight w:val="27"/>
        </w:trPr>
        <w:tc>
          <w:tcPr>
            <w:tcW w:w="42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3"/>
        </w:trPr>
        <w:tc>
          <w:tcPr>
            <w:tcW w:w="4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lease expense</w:t>
            </w:r>
          </w:p>
        </w:tc>
        <w:tc>
          <w:tcPr>
            <w:tcW w:w="1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w:t>
            </w:r>
          </w:p>
        </w:tc>
      </w:tr>
      <w:tr>
        <w:trPr>
          <w:trHeight w:val="264"/>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lease expense</w:t>
            </w:r>
          </w:p>
        </w:tc>
        <w:tc>
          <w:tcPr>
            <w:tcW w:w="1100" w:type="dxa"/>
            <w:vAlign w:val="bottom"/>
            <w:tcBorders>
              <w:top w:val="single" w:sz="8" w:color="auto"/>
            </w:tcBorders>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6,722</w:t>
            </w:r>
          </w:p>
        </w:tc>
        <w:tc>
          <w:tcPr>
            <w:tcW w:w="80" w:type="dxa"/>
            <w:vAlign w:val="bottom"/>
          </w:tcPr>
          <w:p>
            <w:pPr>
              <w:spacing w:after="0"/>
              <w:rPr>
                <w:sz w:val="22"/>
                <w:szCs w:val="22"/>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6,640</w:t>
            </w:r>
          </w:p>
        </w:tc>
        <w:tc>
          <w:tcPr>
            <w:tcW w:w="100" w:type="dxa"/>
            <w:vAlign w:val="bottom"/>
          </w:tcPr>
          <w:p>
            <w:pPr>
              <w:spacing w:after="0"/>
              <w:rPr>
                <w:sz w:val="22"/>
                <w:szCs w:val="22"/>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0</wp:posOffset>
            </wp:positionV>
            <wp:extent cx="338645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9">
                      <a:extLst>
                        <a:ext uri="{28A0092B-C50C-407E-A947-70E740481C1C}"/>
                      </a:extLst>
                    </a:blip>
                    <a:srcRect/>
                    <a:stretch>
                      <a:fillRect/>
                    </a:stretch>
                  </pic:blipFill>
                  <pic:spPr bwMode="auto">
                    <a:xfrm>
                      <a:off x="0" y="0"/>
                      <a:ext cx="3386455"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-359410</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-1397000</wp:posOffset>
            </wp:positionV>
            <wp:extent cx="603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ind w:left="1260" w:hanging="390"/>
        <w:spacing w:after="0"/>
        <w:tabs>
          <w:tab w:leader="none" w:pos="1260" w:val="left"/>
        </w:tabs>
        <w:numPr>
          <w:ilvl w:val="0"/>
          <w:numId w:val="3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Amortization of finance lease ROU asset is included within depreciation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-100965</wp:posOffset>
            </wp:positionV>
            <wp:extent cx="338645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2">
                      <a:extLst>
                        <a:ext uri="{28A0092B-C50C-407E-A947-70E740481C1C}"/>
                      </a:extLst>
                    </a:blip>
                    <a:srcRect/>
                    <a:stretch>
                      <a:fillRect/>
                    </a:stretch>
                  </pic:blipFill>
                  <pic:spPr bwMode="auto">
                    <a:xfrm>
                      <a:off x="0" y="0"/>
                      <a:ext cx="3386455" cy="8890"/>
                    </a:xfrm>
                    <a:prstGeom prst="rect">
                      <a:avLst/>
                    </a:prstGeom>
                    <a:noFill/>
                  </pic:spPr>
                </pic:pic>
              </a:graphicData>
            </a:graphic>
          </wp:anchor>
        </w:drawing>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incur any variable lease costs during any of the periods presented.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information related to the Company’s leases is shown below (dollar amounts in thousands):</w:t>
      </w:r>
    </w:p>
    <w:p>
      <w:pPr>
        <w:spacing w:after="0" w:line="241" w:lineRule="exact"/>
        <w:rPr>
          <w:sz w:val="20"/>
          <w:szCs w:val="20"/>
          <w:color w:val="auto"/>
        </w:rPr>
      </w:pPr>
    </w:p>
    <w:tbl>
      <w:tblPr>
        <w:tblLayout w:type="fixed"/>
        <w:tblInd w:w="640" w:type="dxa"/>
        <w:tblCellMar>
          <w:top w:w="0" w:type="dxa"/>
          <w:left w:w="0" w:type="dxa"/>
          <w:bottom w:w="0" w:type="dxa"/>
          <w:right w:w="0" w:type="dxa"/>
        </w:tblCellMar>
      </w:tblPr>
      <w:tr>
        <w:trPr>
          <w:trHeight w:val="225"/>
        </w:trPr>
        <w:tc>
          <w:tcPr>
            <w:tcW w:w="42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r>
      <w:tr>
        <w:trPr>
          <w:trHeight w:val="236"/>
        </w:trPr>
        <w:tc>
          <w:tcPr>
            <w:tcW w:w="422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2025</w:t>
            </w:r>
          </w:p>
        </w:tc>
        <w:tc>
          <w:tcPr>
            <w:tcW w:w="6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 operating lease</w:t>
            </w:r>
          </w:p>
        </w:tc>
        <w:tc>
          <w:tcPr>
            <w:tcW w:w="1200" w:type="dxa"/>
            <w:vAlign w:val="bottom"/>
            <w:tcBorders>
              <w:bottom w:val="single" w:sz="8" w:color="CCEEFF"/>
            </w:tcBorders>
            <w:shd w:val="clear" w:color="auto" w:fill="CCEEFF"/>
          </w:tcPr>
          <w:p>
            <w:pPr>
              <w:jc w:val="right"/>
              <w:ind w:right="101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r>
      <w:tr>
        <w:trPr>
          <w:trHeight w:val="225"/>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 obtained in exchange for operating</w:t>
            </w:r>
          </w:p>
        </w:tc>
        <w:tc>
          <w:tcPr>
            <w:tcW w:w="1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4"/>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1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80" w:type="dxa"/>
            <w:vAlign w:val="bottom"/>
          </w:tcPr>
          <w:p>
            <w:pPr>
              <w:spacing w:after="0"/>
              <w:rPr>
                <w:sz w:val="20"/>
                <w:szCs w:val="20"/>
                <w:color w:val="auto"/>
              </w:rPr>
            </w:pPr>
          </w:p>
        </w:tc>
        <w:tc>
          <w:tcPr>
            <w:tcW w:w="44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6,733</w:t>
            </w:r>
          </w:p>
        </w:tc>
        <w:tc>
          <w:tcPr>
            <w:tcW w:w="10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-471170</wp:posOffset>
            </wp:positionV>
            <wp:extent cx="6032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type w:val="continuous"/>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500" w:type="dxa"/>
        <w:tblCellMar>
          <w:top w:w="0" w:type="dxa"/>
          <w:left w:w="0" w:type="dxa"/>
          <w:bottom w:w="0" w:type="dxa"/>
          <w:right w:w="0" w:type="dxa"/>
        </w:tblCellMar>
      </w:tblPr>
      <w:tr>
        <w:trPr>
          <w:trHeight w:val="225"/>
        </w:trPr>
        <w:tc>
          <w:tcPr>
            <w:tcW w:w="6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00" w:type="dxa"/>
            <w:vAlign w:val="bottom"/>
          </w:tcPr>
          <w:p>
            <w:pPr>
              <w:spacing w:after="0"/>
              <w:rPr>
                <w:sz w:val="19"/>
                <w:szCs w:val="19"/>
                <w:color w:val="auto"/>
              </w:rPr>
            </w:pPr>
          </w:p>
        </w:tc>
        <w:tc>
          <w:tcPr>
            <w:tcW w:w="174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50"/>
        </w:trPr>
        <w:tc>
          <w:tcPr>
            <w:tcW w:w="6280" w:type="dxa"/>
            <w:vAlign w:val="bottom"/>
            <w:tcBorders>
              <w:top w:val="single" w:sz="8" w:color="CCECFF"/>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Weighted-average remaining lease term – finance lease (in years)</w:t>
            </w:r>
          </w:p>
        </w:tc>
        <w:tc>
          <w:tcPr>
            <w:tcW w:w="220" w:type="dxa"/>
            <w:vAlign w:val="bottom"/>
            <w:tcBorders>
              <w:top w:val="single" w:sz="8" w:color="auto"/>
              <w:bottom w:val="single" w:sz="8" w:color="CCECFF"/>
            </w:tcBorders>
            <w:shd w:val="clear" w:color="auto" w:fill="CCECFF"/>
          </w:tcPr>
          <w:p>
            <w:pPr>
              <w:spacing w:after="0"/>
              <w:rPr>
                <w:sz w:val="21"/>
                <w:szCs w:val="21"/>
                <w:color w:val="auto"/>
              </w:rPr>
            </w:pPr>
          </w:p>
        </w:tc>
        <w:tc>
          <w:tcPr>
            <w:tcW w:w="1720" w:type="dxa"/>
            <w:vAlign w:val="bottom"/>
            <w:tcBorders>
              <w:top w:val="single" w:sz="8" w:color="auto"/>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CECFF"/>
              <w:bottom w:val="single" w:sz="8" w:color="CCECFF"/>
            </w:tcBorders>
            <w:shd w:val="clear" w:color="auto" w:fill="CCECFF"/>
          </w:tcPr>
          <w:p>
            <w:pPr>
              <w:spacing w:after="0"/>
              <w:rPr>
                <w:sz w:val="21"/>
                <w:szCs w:val="21"/>
                <w:color w:val="auto"/>
              </w:rPr>
            </w:pPr>
          </w:p>
        </w:tc>
        <w:tc>
          <w:tcPr>
            <w:tcW w:w="200" w:type="dxa"/>
            <w:vAlign w:val="bottom"/>
            <w:tcBorders>
              <w:top w:val="single" w:sz="8" w:color="auto"/>
              <w:bottom w:val="single" w:sz="8" w:color="CCECFF"/>
            </w:tcBorders>
            <w:shd w:val="clear" w:color="auto" w:fill="CCECFF"/>
          </w:tcPr>
          <w:p>
            <w:pPr>
              <w:spacing w:after="0"/>
              <w:rPr>
                <w:sz w:val="21"/>
                <w:szCs w:val="21"/>
                <w:color w:val="auto"/>
              </w:rPr>
            </w:pPr>
          </w:p>
        </w:tc>
        <w:tc>
          <w:tcPr>
            <w:tcW w:w="1740" w:type="dxa"/>
            <w:vAlign w:val="bottom"/>
            <w:tcBorders>
              <w:top w:val="single" w:sz="8" w:color="auto"/>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4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remaining lease term – operating lease (in years)</w:t>
            </w: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7"/>
        </w:trPr>
        <w:tc>
          <w:tcPr>
            <w:tcW w:w="6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62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Weighted-average discount rate – finance lease</w:t>
            </w:r>
          </w:p>
        </w:tc>
        <w:tc>
          <w:tcPr>
            <w:tcW w:w="220" w:type="dxa"/>
            <w:vAlign w:val="bottom"/>
            <w:tcBorders>
              <w:bottom w:val="single" w:sz="8" w:color="CCECFF"/>
            </w:tcBorders>
            <w:shd w:val="clear" w:color="auto" w:fill="CCECFF"/>
          </w:tcPr>
          <w:p>
            <w:pPr>
              <w:spacing w:after="0"/>
              <w:rPr>
                <w:sz w:val="21"/>
                <w:szCs w:val="21"/>
                <w:color w:val="auto"/>
              </w:rPr>
            </w:pPr>
          </w:p>
        </w:tc>
        <w:tc>
          <w:tcPr>
            <w:tcW w:w="17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100" w:type="dxa"/>
            <w:vAlign w:val="bottom"/>
            <w:tcBorders>
              <w:bottom w:val="single" w:sz="8" w:color="CCECFF"/>
            </w:tcBorders>
            <w:shd w:val="clear" w:color="auto" w:fill="CCECFF"/>
          </w:tcPr>
          <w:p>
            <w:pPr>
              <w:spacing w:after="0"/>
              <w:rPr>
                <w:sz w:val="21"/>
                <w:szCs w:val="21"/>
                <w:color w:val="auto"/>
              </w:rPr>
            </w:pPr>
          </w:p>
        </w:tc>
        <w:tc>
          <w:tcPr>
            <w:tcW w:w="200" w:type="dxa"/>
            <w:vAlign w:val="bottom"/>
            <w:tcBorders>
              <w:bottom w:val="single" w:sz="8" w:color="CCECFF"/>
            </w:tcBorders>
            <w:shd w:val="clear" w:color="auto" w:fill="CCECFF"/>
          </w:tcPr>
          <w:p>
            <w:pPr>
              <w:spacing w:after="0"/>
              <w:rPr>
                <w:sz w:val="21"/>
                <w:szCs w:val="21"/>
                <w:color w:val="auto"/>
              </w:rPr>
            </w:pPr>
          </w:p>
        </w:tc>
        <w:tc>
          <w:tcPr>
            <w:tcW w:w="17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11.0 %</w:t>
            </w:r>
          </w:p>
        </w:tc>
      </w:tr>
      <w:tr>
        <w:trPr>
          <w:trHeight w:val="24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 – operating lease</w:t>
            </w: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r>
      <w:tr>
        <w:trPr>
          <w:trHeight w:val="27"/>
        </w:trPr>
        <w:tc>
          <w:tcPr>
            <w:tcW w:w="6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62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Finance lease ROU assets</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8"/>
                <w:szCs w:val="18"/>
                <w:color w:val="auto"/>
              </w:rPr>
              <w:t>5,073</w:t>
            </w:r>
          </w:p>
        </w:tc>
        <w:tc>
          <w:tcPr>
            <w:tcW w:w="100" w:type="dxa"/>
            <w:vAlign w:val="bottom"/>
            <w:shd w:val="clear" w:color="auto" w:fill="CCECFF"/>
          </w:tcPr>
          <w:p>
            <w:pPr>
              <w:spacing w:after="0"/>
              <w:rPr>
                <w:sz w:val="23"/>
                <w:szCs w:val="23"/>
                <w:color w:val="auto"/>
              </w:rPr>
            </w:pP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8"/>
                <w:szCs w:val="18"/>
                <w:color w:val="auto"/>
              </w:rPr>
              <w:t>8,117</w:t>
            </w:r>
          </w:p>
        </w:tc>
      </w:tr>
    </w:tbl>
    <w:p>
      <w:pPr>
        <w:spacing w:after="0" w:line="81" w:lineRule="exact"/>
        <w:rPr>
          <w:sz w:val="20"/>
          <w:szCs w:val="20"/>
          <w:color w:val="auto"/>
        </w:rPr>
      </w:pPr>
    </w:p>
    <w:p>
      <w:pPr>
        <w:ind w:left="360" w:right="240" w:hanging="352"/>
        <w:spacing w:after="0" w:line="232" w:lineRule="auto"/>
        <w:tabs>
          <w:tab w:leader="none" w:pos="349"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of December 31, 2025, the Company recorded accumulated amortization of $7.4 million for the finance lease ROU asset. Finance lease ROU assets are recorded within property and equipment, net on the Company’s consolidated balance sheets.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future minimum lease payments during the next five years are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Finance Lease</w:t>
            </w:r>
          </w:p>
        </w:tc>
        <w:tc>
          <w:tcPr>
            <w:tcW w:w="140" w:type="dxa"/>
            <w:vAlign w:val="bottom"/>
          </w:tcPr>
          <w:p>
            <w:pPr>
              <w:spacing w:after="0"/>
              <w:rPr>
                <w:sz w:val="20"/>
                <w:szCs w:val="20"/>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6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2026</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7,319</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2027</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5,719</w:t>
            </w:r>
          </w:p>
        </w:tc>
      </w:tr>
      <w:tr>
        <w:trPr>
          <w:trHeight w:val="27"/>
        </w:trPr>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2028</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2029</w:t>
            </w:r>
          </w:p>
        </w:tc>
        <w:tc>
          <w:tcPr>
            <w:tcW w:w="180" w:type="dxa"/>
            <w:vAlign w:val="bottom"/>
          </w:tcPr>
          <w:p>
            <w:pPr>
              <w:spacing w:after="0"/>
              <w:rPr>
                <w:sz w:val="21"/>
                <w:szCs w:val="21"/>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w:t>
            </w:r>
          </w:p>
        </w:tc>
      </w:tr>
      <w:tr>
        <w:trPr>
          <w:trHeight w:val="27"/>
        </w:trPr>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2030</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Pr>
          <w:p>
            <w:pPr>
              <w:spacing w:after="0"/>
              <w:rPr>
                <w:sz w:val="21"/>
                <w:szCs w:val="21"/>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6,602</w:t>
            </w:r>
          </w:p>
        </w:tc>
      </w:tr>
      <w:tr>
        <w:trPr>
          <w:trHeight w:val="27"/>
        </w:trPr>
        <w:tc>
          <w:tcPr>
            <w:tcW w:w="6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23,228</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(5,621)</w:t>
            </w:r>
          </w:p>
        </w:tc>
      </w:tr>
      <w:tr>
        <w:trPr>
          <w:trHeight w:val="27"/>
        </w:trPr>
        <w:tc>
          <w:tcPr>
            <w:tcW w:w="6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9"/>
        </w:trPr>
        <w:tc>
          <w:tcPr>
            <w:tcW w:w="6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7,331</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10,276</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17,607</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COMMITMENTS AND CONTINGENCIES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0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that contain a variety of indemnifications with its employees, licensors, suppliers and service providers. The Company’s maximum exposure under these arrangements, if any, is unknown as of December 31, 2025. In the normal course of business, the Company enters into contracts with suppliers, primarily related to construction, and has commitments of approximately $713.5 million as of December 31, 2025. The majority of commitments relate to construction at the Barber Lake Facility, which is expected to be completed in 2026. Construction costs associated with the project are fully funded with Restricted cash, current.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8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Company, and its subsidiaries, are subject at times to various claims, lawsuits and governmental proceedings relating to the Company’s business and transactions arising in the ordinary course of business. The Company cannot predict the final outcome of such proceedings. Where appropriate, the Company vigorously defends such claims, lawsuits and proceedings. Some of these claims, lawsuits and proceedings seek damages, including consequential, exemplary or punitive damages, in amounts that could, if awarded, be significant. Certain of the claims, lawsuits and proceedings arising in the ordinary course of business are covered by the Company’s insurance program. The Company maintains property and various types of liability insurance in an effort to protect the Company from such claims. In terms of any matters where there is no insurance coverage available to the Company, or where coverage is available and the Company maintains a retention or deductible associated with such insurance, the Company may establish an accrual for such loss, retention or deductible based on current available information. In accordance with accounting guidance, if it is probable that an asset has been impaired or a liability has been incurred as of the date of the financial statements, and the amount of loss is reasonably estimable, then an accrual for the cost to resolve or settle these claims is recorded by the Company in the accompanying consolidated balance sheets. If it is reasonably possible that an asset may be impaired as of the date of the financial statements, then the Company discloses the range of possible loss. Expenses related to the defense of such claims are recorded by the Company as incurred and included in the accompanying consolidated statements of operations. Management, with the assistance of outside counsel, may from time to time adjust such accruals according to new developments in the matter, court rulings, or changes in the strategy affecting the Company’s defense of such matters. On the basis of current information, the Company does not believe there is a reasonable possibility that a material loss, if any,</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result from any claims, lawsuits and proceedings, to which the Company is subject to either individually, or in the aggregate.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is not a party to any material legal proceedings and is not aware of any pending or threatened claims. From time to time, the Company may be subject to various legal proceedings and claims that arise in the ordinary course of its business activities.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15. ASSET RETIREMENT OBLIGATIONS</w:t>
            </w: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05"/>
        </w:trPr>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summary of the changes in the Company’s AROs (in thousands):</w:t>
            </w: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3"/>
        </w:trPr>
        <w:tc>
          <w:tcPr>
            <w:tcW w:w="9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50"/>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18,394</w:t>
            </w:r>
          </w:p>
        </w:tc>
      </w:tr>
      <w:tr>
        <w:trPr>
          <w:trHeight w:val="243"/>
        </w:trPr>
        <w:tc>
          <w:tcPr>
            <w:tcW w:w="9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Accretion expense</w:t>
            </w:r>
          </w:p>
        </w:tc>
        <w:tc>
          <w:tcPr>
            <w:tcW w:w="5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w:t>
            </w:r>
          </w:p>
        </w:tc>
      </w:tr>
      <w:tr>
        <w:trPr>
          <w:trHeight w:val="27"/>
        </w:trPr>
        <w:tc>
          <w:tcPr>
            <w:tcW w:w="96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3"/>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20,282</w:t>
            </w:r>
          </w:p>
        </w:tc>
      </w:tr>
      <w:tr>
        <w:trPr>
          <w:trHeight w:val="237"/>
        </w:trPr>
        <w:tc>
          <w:tcPr>
            <w:tcW w:w="9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Initial estimate of ARO liability for the Black Pearl Facility</w:t>
            </w:r>
          </w:p>
        </w:tc>
        <w:tc>
          <w:tcPr>
            <w:tcW w:w="5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10,743</w:t>
            </w:r>
          </w:p>
        </w:tc>
      </w:tr>
      <w:tr>
        <w:trPr>
          <w:trHeight w:val="27"/>
        </w:trPr>
        <w:tc>
          <w:tcPr>
            <w:tcW w:w="9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9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Accretion expense</w:t>
            </w:r>
          </w:p>
        </w:tc>
        <w:tc>
          <w:tcPr>
            <w:tcW w:w="5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w:t>
            </w:r>
          </w:p>
        </w:tc>
      </w:tr>
      <w:tr>
        <w:trPr>
          <w:trHeight w:val="263"/>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33,696</w:t>
            </w:r>
          </w:p>
        </w:tc>
      </w:tr>
      <w:tr>
        <w:trPr>
          <w:trHeight w:val="21"/>
        </w:trPr>
        <w:tc>
          <w:tcPr>
            <w:tcW w:w="96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June 2025, as part of placing the assets related to the Black Pearl Facility into service, the Company recorded an asset retirement obligation for the Black Pearl Facility to restore the land to its original condition at the end of the lease for $10.7 million, to be depreciated straight-line over the estimated remaining useful lives of the assets related to the facility.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DEBT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borrowings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Coinbase Master Loan Agreement</w:t>
      </w:r>
    </w:p>
    <w:p>
      <w:pPr>
        <w:spacing w:after="0" w:line="18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has the Coinbase Master Loan Agreement, under which the Company established the Coinbase Overnight Credit Facility of $25.0 million, subject to credit review. The Company will not incur commitment fees for unused portions of the Coinbase Overnight Credit Facility. The borrowing rate on amounts drawn against the Credit Facility is determined based on the Federal Funds Target Rate - Upper Bound, plus 2.5%, calculated daily based on a 365-day year and payable monthly for the duration of the loan, and market demand. Borrowings under the Coinbase Overnight Credit Facility are available on demand, open term, and collateralized by bitcoin transferred to the Lending Service Provider’s platform. Since the Lender has the right to rehypothecate the bitcoin held as collateral, the Company derecognizes the bitcoin transferred. The Company has the right to receive the bitcoin back from the Lender upon repayment of the Coinbase Overnight Credit Facility, and as such recognized a receivable for bitcoin collateral measured at fair value of the bitcoin to be received upon repayment.</w:t>
      </w:r>
    </w:p>
    <w:p>
      <w:pPr>
        <w:spacing w:after="0" w:line="16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had nothing outstanding on the Coinbase Overnight Credit Facility. The Company had $25.0 million balance outstanding on the Coinbase Overnight Credit Facility at a weighted average interest rate of 9.5% as of December 31, 2024.</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Two Prime Lending Facility</w:t>
      </w:r>
    </w:p>
    <w:p>
      <w:pPr>
        <w:spacing w:after="0" w:line="18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Company also has a $100.0 million secured credit facility with Two Prime Lending Limited (“Two Prime Credit Facility”). Borrowings on this facility will be backed by the Company’s bitcoin held in a triparty account. The Company has not drawn on the Two Prime Credit Facility, and as such has nothing outstanding on this facility as of December 31, 2025.</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Luxor Purchase and Sale Agreement</w:t>
      </w:r>
    </w:p>
    <w:p>
      <w:pPr>
        <w:spacing w:after="0" w:line="18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has the ability to enter into agreements with Luxor Technology Corporation (“Luxor”) to borrow bitcoin to be repaid at a fixed amount of bitcoin per day over fixed periods. The Company records the outstanding balance at fair value in Short-term borrowings based on the current bitcoin price, with changes in fair value recorded in Other income (loss).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0" w:name="page111"/>
    <w:bookmarkEnd w:id="1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had no ongoing transactions with Luxor under the Luxor Purchase and Sales Agreement. As of December 31, 2024 the Company owed approximately 80.3 bitcoin valued at $7.3 million related to this agreement.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Portion of Long-term debt</w:t>
      </w:r>
    </w:p>
    <w:p>
      <w:pPr>
        <w:spacing w:after="0" w:line="18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also included $37.8 million of principal payments of the 2030 Senior Secured Notes in short-term borrowings on the Company’s consolidated balance sheet as these payments are due within one year.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borrowings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Company’s long-term borrowings, net of debt issuance cost as of the period presented:</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40" w:type="dxa"/>
            <w:vAlign w:val="bottom"/>
            <w:gridSpan w:val="5"/>
          </w:tcPr>
          <w:p>
            <w:pPr>
              <w:ind w:left="10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5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4"/>
        </w:trPr>
        <w:tc>
          <w:tcPr>
            <w:tcW w:w="5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Unamortized debt</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issuance costs and</w:t>
            </w: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Current</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original issue</w:t>
            </w:r>
          </w:p>
        </w:tc>
        <w:tc>
          <w:tcPr>
            <w:tcW w:w="12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portion of</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Interest</w:t>
            </w:r>
          </w:p>
        </w:tc>
        <w:tc>
          <w:tcPr>
            <w:tcW w:w="14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40" w:type="dxa"/>
            <w:vAlign w:val="bottom"/>
          </w:tcPr>
          <w:p>
            <w:pPr>
              <w:spacing w:after="0"/>
              <w:rPr>
                <w:sz w:val="18"/>
                <w:szCs w:val="18"/>
                <w:color w:val="auto"/>
              </w:rPr>
            </w:pPr>
          </w:p>
        </w:tc>
        <w:tc>
          <w:tcPr>
            <w:tcW w:w="17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discounts and</w:t>
            </w: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Long-term</w:t>
            </w:r>
          </w:p>
        </w:tc>
        <w:tc>
          <w:tcPr>
            <w:tcW w:w="160" w:type="dxa"/>
            <w:vAlign w:val="bottom"/>
          </w:tcPr>
          <w:p>
            <w:pPr>
              <w:spacing w:after="0"/>
              <w:rPr>
                <w:sz w:val="18"/>
                <w:szCs w:val="18"/>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Outstanding</w:t>
            </w:r>
          </w:p>
        </w:tc>
      </w:tr>
      <w:tr>
        <w:trPr>
          <w:trHeight w:val="238"/>
        </w:trPr>
        <w:tc>
          <w:tcPr>
            <w:tcW w:w="5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4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40" w:type="dxa"/>
            <w:vAlign w:val="bottom"/>
          </w:tcPr>
          <w:p>
            <w:pPr>
              <w:spacing w:after="0"/>
              <w:rPr>
                <w:sz w:val="20"/>
                <w:szCs w:val="20"/>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premium, net</w:t>
            </w:r>
          </w:p>
        </w:tc>
        <w:tc>
          <w:tcPr>
            <w:tcW w:w="12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Debt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Borrowings, net</w:t>
            </w:r>
          </w:p>
        </w:tc>
      </w:tr>
      <w:tr>
        <w:trPr>
          <w:trHeight w:val="27"/>
        </w:trPr>
        <w:tc>
          <w:tcPr>
            <w:tcW w:w="2760" w:type="dxa"/>
            <w:vAlign w:val="bottom"/>
            <w:tcBorders>
              <w:bottom w:val="single" w:sz="8" w:color="CCEEFF"/>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2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borrowings:</w:t>
            </w:r>
          </w:p>
        </w:tc>
        <w:tc>
          <w:tcPr>
            <w:tcW w:w="1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3"/>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May 2030</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1.75%</w:t>
            </w:r>
          </w:p>
        </w:tc>
        <w:tc>
          <w:tcPr>
            <w:tcW w:w="1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172,500</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(4,857)</w:t>
            </w:r>
          </w:p>
        </w:tc>
        <w:tc>
          <w:tcPr>
            <w:tcW w:w="1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167,643</w:t>
            </w:r>
          </w:p>
        </w:tc>
      </w:tr>
      <w:tr>
        <w:trPr>
          <w:trHeight w:val="27"/>
        </w:trPr>
        <w:tc>
          <w:tcPr>
            <w:tcW w:w="5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2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12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October 2031</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(429,158)</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870,842</w:t>
            </w:r>
          </w:p>
        </w:tc>
      </w:tr>
      <w:tr>
        <w:trPr>
          <w:trHeight w:val="225"/>
        </w:trPr>
        <w:tc>
          <w:tcPr>
            <w:tcW w:w="5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November</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4"/>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Notes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2030</w:t>
            </w:r>
          </w:p>
        </w:tc>
        <w:tc>
          <w:tcPr>
            <w:tcW w:w="14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1,733,000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1,673,163</w:t>
            </w:r>
          </w:p>
        </w:tc>
      </w:tr>
      <w:tr>
        <w:trPr>
          <w:trHeight w:val="27"/>
        </w:trPr>
        <w:tc>
          <w:tcPr>
            <w:tcW w:w="2760" w:type="dxa"/>
            <w:vAlign w:val="bottom"/>
            <w:tcBorders>
              <w:bottom w:val="single" w:sz="8" w:color="CCEEFF"/>
            </w:tcBorders>
            <w:gridSpan w:val="2"/>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8"/>
        </w:trPr>
        <w:tc>
          <w:tcPr>
            <w:tcW w:w="2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borrowings</w:t>
            </w:r>
          </w:p>
        </w:tc>
        <w:tc>
          <w:tcPr>
            <w:tcW w:w="1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3,205,500</w:t>
            </w: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(456,059)</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(37,793)</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2,711,648</w:t>
            </w:r>
          </w:p>
        </w:tc>
      </w:tr>
      <w:tr>
        <w:trPr>
          <w:trHeight w:val="20"/>
        </w:trPr>
        <w:tc>
          <w:tcPr>
            <w:tcW w:w="50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Long-term borrowings as of December 31,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2030 Convertible Notes</w:t>
      </w:r>
    </w:p>
    <w:p>
      <w:pPr>
        <w:spacing w:after="0" w:line="18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On May 22, 2025, the Company issued $172.5 million of principal amount of the 2030 Convertible Notes with an interest rate of 1.75%. The 2030 Convertible Notes are senior, unsecured obligations with interest due semiannually on May 15 and November 15 each year beginning on November 15, 2025. The 2030 Convertible Notes will mature on May 15, 2030, unless earlier repurchased, redeemed or converted.</w:t>
      </w:r>
    </w:p>
    <w:p>
      <w:pPr>
        <w:spacing w:after="0" w:line="14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Before February 15, 2030, noteholders will have the right to convert their 2030 Convertible Notes only upon the occurrence of certain events. From and after February 15, 2030, noteholders may convert their 2030 Convertible Notes at any time at their election until the close of business on the second scheduled trading day immediately before the maturity date. The Company will settle conversions by paying or delivering, as applicable, cash, shares of its common stock or a combination of cash and shares of its common stock, at the Company’s election. As the Company has the option to settle in shares, these shares are considered potentially dilutive for the calculation of diluted earnings per share. The initial conversion rate is 224.9213 shares of the Company’s common stock per $1,000 principal amount of 2030 Convertible Notes, which represents an initial conversion price of approximately $4.45 per share of the Company’s common stock.</w:t>
      </w:r>
    </w:p>
    <w:p>
      <w:pPr>
        <w:spacing w:after="0" w:line="14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2030 Convertible Notes will be redeemable, in whole or in part (subject to certain limitations), at the Company’s option at any time, and from time to time, on or after May 22, 2028 and on or before the 30th scheduled trading day immediately before the maturity date, but only if the last reported sale price per share of the Company’s common stock exceeds 130% of the conversion price on (1) each of at least 20 trading days, whether or not consecutive, during the 30 consecutive trading days ending on, and including, the trading day immediately before the date the Company sends the related redemption notice; and (2) the trading day immediately before the date the Company sends such redemption notice. However, the Company may not redeem less than all of the outstanding 2030 Convertible Notes unless at least $50.0 million aggregate principal amount of 2030 Convertible Notes are outstanding and not called for redemption as of the time the Company sends the related redemption notice.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2031 Convertible Notes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1" w:name="page112"/>
    <w:bookmarkEnd w:id="1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September 30, 2025, the Company issued $1.3 billion of principal amount of the 2031 Convertible Notes with an interest rate of 0.00%. The 2031 Convertible Notes are senior, unsecured obligations and will be equal in right of payment with the Company’s existing and future senior, unsecured indebtedness, including the 2030 Convertible Notes. The 2031 Convertible Notes will mature on October 1, 2031, unless earlier repurchased, redeemed or converted.</w:t>
      </w:r>
    </w:p>
    <w:p>
      <w:pPr>
        <w:spacing w:after="0" w:line="15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Before July 1, 2031, the 2031 Convertible Notes will be convertible only upon satisfaction of certain conditions and during a certain period. On or after July 1, 2031, the 2031 Convertible Notes will be convertible at any time until the close of business on the second scheduled trading day immediately preceding the maturity date (the “2031 Note Conversion Option”). The Company will settle conversions by paying or delivering, as applicable, cash, shares of its common stock, or a combination of cash and shares of its common stock, at the Company’s election. The Company’s ability to elect to settle conversions in whole or in part in shares of common stock will, subject to a limited exception, be subject to receipt of stockholder approval for an increase in the number of its authorized shares of common stock or the Company otherwise increasing the number of shares of its common stock available to settle conversions of the 2031 Convertible Notes, which was obtained on October 30, 2025. The initial conversion rate is 62.3733 shares of the Company’s common stock per $1,000 principal amount of the 2031 Convertible Notes, which represents an initial conversion price of approximately $16.03 per share of the Company’s common stock.</w:t>
      </w:r>
    </w:p>
    <w:p>
      <w:pPr>
        <w:spacing w:after="0" w:line="14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2031 Convertible Notes will be redeemable, in whole or in part (subject to certain limitations described below), for cash at the Company’s option at any time, and from time to time, on or after October 5, 2028 and on or before the 30th scheduled trading day immediately before the maturity date, but only if (i) the last reported sale price per share of the Company’s common stock exceeds 130% of the conversion price on (1) each of at least 20 trading days, whether or not consecutive, during the 30 consecutive trading days ending on, and including, the trading day immediately before the date the Company sends the related redemption notice and (2) the trading day immediately before the date the Company sends such redemption notice, and (ii) certain “liquidity conditions” (as defined in the Indenture) having been satisfied. However, the Company may not redeem less than all of the outstanding 2031 Convertible Notes unless at least $100.0 million aggregate principal amount of 2031 Convertible Notes are outstanding and not called for redemption as of the time the Company sends the related redemption notice.</w:t>
      </w:r>
    </w:p>
    <w:p>
      <w:pPr>
        <w:spacing w:after="0" w:line="15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accounting for the issuance of the 2031 Convertible Notes, the 2031 Note Conversion Option of the 2031 Convertible Notes was deemed an embedded derivative that required bifurcation from the 2031 Convertible Notes and separate accounting as a derivative liability, resulting from the Company not having the necessary number of authorized but unissued shares of its common stock available to settle the 2031 Note Conversion Option. The proceeds from the 2031 Convertible Notes were first allocated to the embedded derivative and the remaining proceeds were allocated to the 2031 Convertible Notes. On October 30, 2025, the Company amended its charter to increase the number of authorized shares to allow for equity classification of the 2031 Note Conversion Option, and the fair value at that time of $864.8 million was reclassified into Additional Paid in Capital. This resulted in a $450.4 million loss recorded in Other expense for the year ended December 31, 2025.</w:t>
      </w:r>
    </w:p>
    <w:p>
      <w:pPr>
        <w:spacing w:after="0" w:line="16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connection with the pricing of the offering of 2031 Convertible Notes, the Company entered into capped call transactions with certain of the initial purchasers or their affiliates and certain other financial institutions (the “Capped Call Transactions”). The Capped Call Transactions cover, subject to customary anti-dilution adjustments, the number of shares of the Company’s common stock that initially underlie the 2031 Convertible Notes. The Capped Call Transactions are generally expected to reduce the potential dilution to the Company’s common stock upon any conversion of the 2031 Convertible Notes and/or offset any potential cash payments the Company is required to make in excess of the principal amount of converted 2031 Convertible Notes. The cap price of the Capped Call Transactions is initially $23.32 per share. The cost of the Capped Call Transactions was approximately $82.7 million. This resulted in a $45.1 million gain recorded in Other expense for the year ended December 31, 2025</w:t>
      </w:r>
    </w:p>
    <w:p>
      <w:pPr>
        <w:spacing w:after="0" w:line="14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Capped Call Transactions were initially reported at fair value on the Company’s consolidated balance sheets, and were reclassified into Additional Paid-In-Capital on October 30, 2025 and no longer required to be remeasured provided the requirements to qualify for the scope exception in ASC 815-10-15-74(a) continue to be met.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2030 Senior Secured Notes</w:t>
      </w:r>
    </w:p>
    <w:p>
      <w:pPr>
        <w:spacing w:after="0" w:line="200" w:lineRule="exact"/>
        <w:rPr>
          <w:sz w:val="20"/>
          <w:szCs w:val="20"/>
          <w:color w:val="auto"/>
        </w:rPr>
      </w:pPr>
    </w:p>
    <w:p>
      <w:pPr>
        <w:jc w:val="both"/>
        <w:ind w:right="120"/>
        <w:spacing w:after="0" w:line="281" w:lineRule="auto"/>
        <w:rPr>
          <w:sz w:val="20"/>
          <w:szCs w:val="20"/>
          <w:color w:val="auto"/>
        </w:rPr>
      </w:pPr>
      <w:r>
        <w:rPr>
          <w:rFonts w:ascii="Times New Roman" w:cs="Times New Roman" w:eastAsia="Times New Roman" w:hAnsi="Times New Roman"/>
          <w:sz w:val="17"/>
          <w:szCs w:val="17"/>
          <w:color w:val="auto"/>
        </w:rPr>
        <w:t>On November 13, 2025, Cipher Compute LLC (“Cipher Compute”), a wholly-owned indirect subsidiary of the Company, issued an aggregate principal of $1.4 billion of 7.125% Senior Secured Notes due 2030 (the “2030 Senior Secured Notes”). The 2030 Senior Secured Notes are senior secured obligations of Cipher Compute and bear interest at a rate of 7.125% per year payable semiannually in arrears on May 15 and November 15 of each year, beginning on May 15, 2026. The 2030 Senior Secured Notes will mature on November 15, 2030, unless earlier redeemed or repurchased in accordance with their</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12" w:name="page113"/>
    <w:bookmarkEnd w:id="1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On November 24, 2025, Cipher Compute issued an additional series of $333.0 million aggregate principal amount of the 2030 Senior Secured Notes.</w:t>
      </w:r>
    </w:p>
    <w:p>
      <w:pPr>
        <w:spacing w:after="0" w:line="198"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principal amount of the 2030 Senior Secured Notes will amortize on a semi-annual basis on May 15 and November 15 of each year in amounts based on schedules in the Indenture. No amortization will be payable prior to the completion of the Barber Lake Facility. Required amortization shall be subject to adjustment in case of partial redemption or repurchase.</w:t>
      </w:r>
    </w:p>
    <w:p>
      <w:pPr>
        <w:spacing w:after="0" w:line="13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or after November 15, 2027, the Company may redeem the 2030 Senior Secured Notes at its option, in whole at any time or in part from time to time, at the redemption prices set forth in the indenture. Prior to November 15, 2027, the Company may redeem the 2030 Senior Secured Notes at its option, in whole at any time or in part from time to time, at a redemption price equal to 100% of the principal amount of the 2030 Senior Secured Notes redeemed, plus a “make-whole” premium and accrued and unpaid interest, if any. In addition, prior to November 15, 2027, the Company may redeem up to 40% of the aggregate principal amount of the 2030 Senior Secured Notes in an amount not to exceed the amount of the proceeds of certain equity offerings, at the redemption price set forth in the indenture, plus accrued and unpaid interest.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aggregate future required minimum principal payments based on the terms of the long-term borrowings were as follows:</w:t>
      </w:r>
    </w:p>
    <w:p>
      <w:pPr>
        <w:spacing w:after="0" w:line="248" w:lineRule="exact"/>
        <w:rPr>
          <w:sz w:val="20"/>
          <w:szCs w:val="20"/>
          <w:color w:val="auto"/>
        </w:rPr>
      </w:pPr>
    </w:p>
    <w:tbl>
      <w:tblPr>
        <w:tblLayout w:type="fixed"/>
        <w:tblInd w:w="2780" w:type="dxa"/>
        <w:tblCellMar>
          <w:top w:w="0" w:type="dxa"/>
          <w:left w:w="0" w:type="dxa"/>
          <w:bottom w:w="0" w:type="dxa"/>
          <w:right w:w="0" w:type="dxa"/>
        </w:tblCellMar>
      </w:tblPr>
      <w:tr>
        <w:trPr>
          <w:trHeight w:val="238"/>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3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37,793</w:t>
            </w: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152,305</w:t>
            </w:r>
          </w:p>
        </w:tc>
      </w:tr>
      <w:tr>
        <w:trPr>
          <w:trHeight w:val="27"/>
        </w:trPr>
        <w:tc>
          <w:tcPr>
            <w:tcW w:w="3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156,874</w:t>
            </w: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161,580</w:t>
            </w:r>
          </w:p>
        </w:tc>
      </w:tr>
      <w:tr>
        <w:trPr>
          <w:trHeight w:val="27"/>
        </w:trPr>
        <w:tc>
          <w:tcPr>
            <w:tcW w:w="3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5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1,224,448</w:t>
            </w: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9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8"/>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principal of long-term borrowings</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1,733,000</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STOCKHOLDERS’ EQUITY</w:t>
      </w:r>
    </w:p>
    <w:p>
      <w:pPr>
        <w:spacing w:after="0" w:line="18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As of December 31, 2025, 1,010,000,000 shares with a par value of $0.001 per share are authorized, of which 1,000,000,000 shares are designated as Common Stock and 10,000,000 shares are designated as preferred stock (“Preferred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Holders of each share of Common Stock are entitled to dividends when, as and if declared by the Board. As of the issuance of these consolidated financial statements, the Company had not declared any dividends. The holder of each share of Common Stock is entitled to one vote. The voting, dividend, liquidation and other rights and powers of the Common Stock are subject to and qualified by the rights, powers and preferences of any outstanding series of Preferred Stock, for which there currently are none outstanding.</w:t>
      </w:r>
    </w:p>
    <w:p>
      <w:pPr>
        <w:spacing w:after="0" w:line="13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2025, the Company issued 10,084,960 shares of Common Stock to officers, employees and consultants in settlement of an equal number of fully vested RSUs awarded to these individuals, 4,706,682 shares of Common Stock upon the vesting and settlement of performance-based stock awards, and 358,206 shares of Common Stock to directors, pursuant to grants made under the Cipher Mining Inc. 2021 Incentive Award Plan (the “Incentive Award Plan”). The Company immediately repurchased 6,901,249 of these shares of Common Stock from officers and employees, with a fair value of approximately $89.6 million, to cover taxes related to the settlement of vested RSUs and PSUs, as permitted by the Incentive Award Plan. The Company placed the repurchased shares in treasury stock.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Sales Agreement</w:t>
      </w:r>
    </w:p>
    <w:p>
      <w:pPr>
        <w:spacing w:after="0" w:line="25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September 21, 2022, the Company filed with the SEC a shelf registration statement on Form S-3, which was declared effective on October 6, 2022 (the “Registration Statement”).</w:t>
      </w:r>
    </w:p>
    <w:p>
      <w:pPr>
        <w:spacing w:after="0" w:line="189" w:lineRule="exact"/>
        <w:rPr>
          <w:sz w:val="20"/>
          <w:szCs w:val="20"/>
          <w:color w:val="auto"/>
        </w:rPr>
      </w:pPr>
    </w:p>
    <w:p>
      <w:pPr>
        <w:ind w:right="320"/>
        <w:spacing w:after="0" w:line="235" w:lineRule="auto"/>
        <w:rPr>
          <w:sz w:val="20"/>
          <w:szCs w:val="20"/>
          <w:color w:val="auto"/>
        </w:rPr>
      </w:pPr>
      <w:r>
        <w:rPr>
          <w:rFonts w:ascii="Times New Roman" w:cs="Times New Roman" w:eastAsia="Times New Roman" w:hAnsi="Times New Roman"/>
          <w:sz w:val="18"/>
          <w:szCs w:val="18"/>
          <w:color w:val="auto"/>
        </w:rPr>
        <w:t>On August 3, 2023, the Company entered into a Controlled Equity Offering</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xml:space="preserve"> Sales Agreement (the “Sales Agreement”) with Cantor Fitzgerald &amp; Co., Canaccord Genuity LLC, Needham &amp; Company, LLC and Compass Point Research &amp; Trading, LLC (each, an “Original Agent” and, together, the “Original Agents”), pursuant to which the Company may offer</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13" w:name="page114"/>
    <w:bookmarkEnd w:id="11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3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and sell, from time to time through or to the Agents, shares of its Common Stock, for aggregate gross proceeds of up to $250.0 million. The offering and sale of up to $250.0 million of the shares has been registered under the Registration Statement, the base prospectus contained within the Registration Statement, and a prospectus supplement that was filed with the SEC on August 4, 2023 (the “Prospectus Supplement”).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6, 2024, the Company entered into an amendment (the “Amendment”) to the Sales Agreement (as amended, the “Amended Sales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and among the Original Agents, Stifel, Nicolaus &amp; Company, Incorporated (“Stifel”) and Virtu Americas LLC (“Virtu”). The Amendment modifies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Agreement to include Stifel and Virtu as additional agents under the Amended Sales Agreement. On March 6, 2024, the Company also filed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to the Prospectus Supplement (i) increasing the dollar amount of shares available to be sold pursuant to the Amended Sales Agreement,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$296,560,661, which consists of $96,560,661 remaining as originally authorized under the Prospectus Supplement and an additional $200,000,000, and (ii)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Stifel and Virtu as additional agents.</w:t>
      </w:r>
    </w:p>
    <w:p>
      <w:pPr>
        <w:spacing w:after="0" w:line="23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September 3, 2024, the Company amended and restated the Amended Sales Agreement (as amended and restated, the “Amended and Restated Sales Agreement”) with the Original Agents, Keefe, Bruyette &amp; Woods, Inc. (“KBW”), Virtu and BTIG, LLC (“BTIG”) (each, an “Agent” and, together, the “Agents”). The Amended and Restated Sales Agreement modified the Amended Sales Agreement to, among other things, include BTIG as an additional Agent under the Amended and Restated Sales Agreement and to replace Stifel with KBW as an Agent under the Amended and Restated Sales Agreement.</w:t>
      </w:r>
    </w:p>
    <w:p>
      <w:pPr>
        <w:spacing w:after="0" w:line="13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Pursuant to the Amended and Restated Sales Agreement, the Company may offer and sell, from time to time through or to the Agents, shares of the Company’s Common Stock, for aggregate gross proceeds of up to $725.7 million (the “Shares”), which consists of up to $600.0 million of Shares, which can be issued and sold pursuant to the Company’s shelf registration statement on Form S-3ASR, filed with the SEC on September 3, 2024, which became immediately effective upon filing, and a prospectus supplement dated September 3, 2024, filed by the Company with the SEC.</w:t>
      </w:r>
    </w:p>
    <w:p>
      <w:pPr>
        <w:spacing w:after="0" w:line="20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Pursuant to the Amended and Restated Sales Agreement, the Agent selected by the Company (such Agent, the “Designated Agent”) may sell the Shares in sales deemed to be “at-the-market offerings” as defined in Rule 415(a)(4) promulgated under the Securities Act. The Company has no obligation to sell any of the Shares under the Amended and Restated Sales Agreement and may at any time suspend or terminate the offering of the Shares pursuant to the Amended and Restated Sales Agreement upon notice and subject to other conditions. The Agents will act as sales agents and will use commercially reasonable efforts to sell on the Company’s behalf all of the Shares requested to be sold by it, on mutually agreed terms between the Agents and the Company. Under the terms of the Amended and Restated Sales Agreement, the Company agreed to pay the Designated Agent a commission up to 3.0% of the aggregate gross proceeds from any Shares sold through such Designated Agent pursuant to the Amended and Restated Sales Agreement. In addition, the Company agreed to reimburse certain expenses incurred by the Agents in connection with the Amended and Restated Sales Agreement. During the year ended December 31, 2025, in connection with the Amended and Restated Sales Agreement, the Company received proceeds of $195.5 million, net of issuance costs, from the sale of 33,268,137 shares of common stock, with an average net selling price of $5.88 per share.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WARRANTS</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assumed Common Stock warrants that were originally issued in the Good Works Acquisition Corp (“GWAC”) initial public offering (the “Public Warrants”), as well as warrants that were issued in a private placement that closed concurrently with GWAC’s initial public offering (the “Private Placement Warrants”). The Public and Private Placement Warrants entitled the holder to purchase one share of Common Stock at an exercise price of $11.50 per share, subject to adjustment. There were no Private Warrants outstanding as of December 31, 2025. On November 26, 2025, the Company delivered a notice of redemption to redeem all of its outstanding Public Warrants. Upon delivery of the notice of redemption, all Public Warrants were exercised on a “cashless basis.” Accordingly, the payment obligation of exercising holders’ under the Public Warrants was netted against the shares otherwise due upon exercise and the exercising warrant holders received 0.2687 of a share of Common Stock for each Warrant surrendered for exercise. As a result, no Public Warrants were outstanding as of December 31, 2025.</w:t>
      </w:r>
    </w:p>
    <w:p>
      <w:pPr>
        <w:spacing w:after="0" w:line="15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September 24, 2025, as consideration for Google agreeing to backstop certain obligations of Fluidstack in connection with the Barber Lake Facility lease, the Company entered into the Google Warrant Agreement, pursuant to which the Company issued to Google warrants to purchase 24,178,576 shares (the “Warrant Shares”) of the Company’s Common Stock for an exercise price of $0.01 per share of Common Stock (the “Google Warrants”). The Google Warrants have an exercise period beginning on the commencement date of the Barber Lake Facility lease and expiring on September 24,</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2030. Additionally, if, on the business day prior to the beginning of the exercise period under the Google Warrant Agreement, the value of the Warrant Shares does not equal or exceed $430.0 million, the Company shall be obligated to issue additional Warrant Shares and/or make a cash payment equal in the aggregate to such shortfall amount on the terms set forth in the Warrant Agreement. The Google Warrants are recorded at fair value in Warrant liability on the Company’s consolidated balance sheets and changes in the fair value are recorded in Change in fair value of warrant liability on the Company’s consolidated statements of operations.</w:t>
      </w:r>
    </w:p>
    <w:p>
      <w:pPr>
        <w:spacing w:after="0" w:line="15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recorded an asset of $544.5 million in Other noncurrent assets on the consolidated balance sheets at the fair value of the Google Warrants at issuance to represent the value of Google agreeing to make the lease payments from Fluidstack in the event of Fluidstack not fulfilling its obligations under the lease. The Company will amortize this asset over the life of the lease on a straight-line basis to recognize the benefit over the term of the benefit derived from the backstop.</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SHARE-BASED COMPENSATION</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Cipher Mining Inc. 2021 Incentive Award Plan (the “Incentive Award Plan”) provides for the grant of stock options, including incentive stock options and nonqualified stock options, stock appreciation rights, RSUs and other stock or cash-based awards to employees, consultants and directors. Upon vesting of an award, the Company may either issue new shares or reissue treasury shares.</w:t>
      </w:r>
    </w:p>
    <w:p>
      <w:pPr>
        <w:spacing w:after="0" w:line="14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Initially, up to 19,869,312 shares of Common Stock were available for issuance under awards granted pursuant to the Incentive Award Plan. In addition, the number of shares of Common Stock available for issuance under the Incentive Award Plan is increased on January 1 of each calendar year beginning in 2022 and ending in 2031 by an amount equal to the lesser of (a) three percent (3%) of the total number of shares of Common Stock outstanding on the final day of the immediately preceding calendar year and (b) such smaller number of shares determined by the Board. On January 1, 2025, this resulted in an increase of 10,523,515 shares of Common Stock available for issuance under the Incentive Award Plan. As of December 31, 2025, 15,118,752 shares of Common Stock were available for issuance under the Incentive Award Plan.</w:t>
      </w:r>
    </w:p>
    <w:p>
      <w:pPr>
        <w:spacing w:after="0" w:line="14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Company recognized total share-based compensation in Compensation and benefits on the consolidated statements of operations for the following categories of awards as follows (in thousands):</w:t>
      </w:r>
    </w:p>
    <w:p>
      <w:pPr>
        <w:spacing w:after="0" w:line="178" w:lineRule="exact"/>
        <w:rPr>
          <w:sz w:val="20"/>
          <w:szCs w:val="20"/>
          <w:color w:val="auto"/>
        </w:rPr>
      </w:pPr>
    </w:p>
    <w:tbl>
      <w:tblPr>
        <w:tblLayout w:type="fixed"/>
        <w:tblInd w:w="960" w:type="dxa"/>
        <w:tblCellMar>
          <w:top w:w="0" w:type="dxa"/>
          <w:left w:w="0" w:type="dxa"/>
          <w:bottom w:w="0" w:type="dxa"/>
          <w:right w:w="0" w:type="dxa"/>
        </w:tblCellMar>
      </w:tblPr>
      <w:tr>
        <w:trPr>
          <w:trHeight w:val="225"/>
        </w:trPr>
        <w:tc>
          <w:tcPr>
            <w:tcW w:w="436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37"/>
        </w:trPr>
        <w:tc>
          <w:tcPr>
            <w:tcW w:w="4360" w:type="dxa"/>
            <w:vAlign w:val="bottom"/>
            <w:tcBorders>
              <w:bottom w:val="single" w:sz="8" w:color="CCEC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50"/>
        </w:trPr>
        <w:tc>
          <w:tcPr>
            <w:tcW w:w="43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Service-based RSUs</w:t>
            </w:r>
          </w:p>
        </w:tc>
        <w:tc>
          <w:tcPr>
            <w:tcW w:w="1020" w:type="dxa"/>
            <w:vAlign w:val="bottom"/>
            <w:tcBorders>
              <w:bottom w:val="single" w:sz="8" w:color="CCEEFF"/>
            </w:tcBorders>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38,792</w:t>
            </w:r>
          </w:p>
        </w:tc>
        <w:tc>
          <w:tcPr>
            <w:tcW w:w="540" w:type="dxa"/>
            <w:vAlign w:val="bottom"/>
            <w:tcBorders>
              <w:bottom w:val="single" w:sz="8" w:color="CCEEFF"/>
            </w:tcBorders>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35,440</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24,936</w:t>
            </w: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Performance-based RSUs</w:t>
            </w:r>
          </w:p>
        </w:tc>
        <w:tc>
          <w:tcPr>
            <w:tcW w:w="10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5,166</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12,630</w:t>
            </w:r>
          </w:p>
        </w:tc>
      </w:tr>
      <w:tr>
        <w:trPr>
          <w:trHeight w:val="27"/>
        </w:trPr>
        <w:tc>
          <w:tcPr>
            <w:tcW w:w="4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3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Common stock, fully-vested</w:t>
            </w: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r>
      <w:tr>
        <w:trPr>
          <w:trHeight w:val="264"/>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020" w:type="dxa"/>
            <w:vAlign w:val="bottom"/>
            <w:tcBorders>
              <w:top w:val="single" w:sz="8" w:color="auto"/>
              <w:bottom w:val="single" w:sz="8" w:color="auto"/>
            </w:tcBorders>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52,787</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42,132</w:t>
            </w:r>
          </w:p>
        </w:tc>
        <w:tc>
          <w:tcPr>
            <w:tcW w:w="16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38,470</w:t>
            </w:r>
          </w:p>
        </w:tc>
      </w:tr>
      <w:tr>
        <w:trPr>
          <w:trHeight w:val="20"/>
        </w:trPr>
        <w:tc>
          <w:tcPr>
            <w:tcW w:w="4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-736600</wp:posOffset>
            </wp:positionV>
            <wp:extent cx="603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Service-based RSUs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unvested Service-Based RSU activity for the year ended December 31, 2025 is shown below:</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Grant Date Fair</w:t>
            </w:r>
          </w:p>
        </w:tc>
      </w:tr>
      <w:tr>
        <w:trPr>
          <w:trHeight w:val="239"/>
        </w:trPr>
        <w:tc>
          <w:tcPr>
            <w:tcW w:w="6360" w:type="dxa"/>
            <w:vAlign w:val="bottom"/>
            <w:tcBorders>
              <w:bottom w:val="single" w:sz="8" w:color="CCEEFF"/>
            </w:tcBorders>
          </w:tcPr>
          <w:p>
            <w:pPr>
              <w:spacing w:after="0"/>
              <w:rPr>
                <w:sz w:val="20"/>
                <w:szCs w:val="20"/>
                <w:color w:val="auto"/>
              </w:rPr>
            </w:pPr>
          </w:p>
        </w:tc>
        <w:tc>
          <w:tcPr>
            <w:tcW w:w="23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952"/>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December 31, 2024</w:t>
            </w:r>
          </w:p>
        </w:tc>
        <w:tc>
          <w:tcPr>
            <w:tcW w:w="2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15,922,220</w:t>
            </w:r>
          </w:p>
        </w:tc>
        <w:tc>
          <w:tcPr>
            <w:tcW w:w="6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43"/>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4,805,472</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r>
      <w:tr>
        <w:trPr>
          <w:trHeight w:val="27"/>
        </w:trPr>
        <w:tc>
          <w:tcPr>
            <w:tcW w:w="63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6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2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(10,084,960)</w:t>
            </w:r>
          </w:p>
        </w:tc>
        <w:tc>
          <w:tcPr>
            <w:tcW w:w="6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6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December 31, 2025</w:t>
            </w:r>
          </w:p>
        </w:tc>
        <w:tc>
          <w:tcPr>
            <w:tcW w:w="2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10,642,732</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1"/>
        </w:trPr>
        <w:tc>
          <w:tcPr>
            <w:tcW w:w="636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25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December 31, 2025, there was approximately $25.5 million of unrecognized compensation expense related to unvested Service-Based RSUs, which is expected to be recognized over a weighted-average vesting period of approximately 0.9 years.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5" w:name="page116"/>
    <w:bookmarkEnd w:id="1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not fully vested upon grant, service-based RSUs awarded generally vest over a period ranging from three to four years in installments as determined by the Board.</w:t>
      </w:r>
    </w:p>
    <w:p>
      <w:pPr>
        <w:spacing w:after="0" w:line="13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Vesting is subject to the award recipient’s continuous service on the applicable vesting date; provided, that if the award recipient’s employment is terminated by the Company without “cause”, by award recipient for “good reason” (if applicable, as such term or similar term may be defined in any employment, consulting or similar service agreement between award recipient and the Company) or due to award recipient’s death or permanent disability, all unvested service-based RSUs will vest in full (unless otherwise specified in the agreement between the award recipient and the Company). In addition, in the event of a change in control, any unvested service-based RSUs will vest subject to the award recipient’s continuous service to the Company through such change in control. In addition, if the Company achieves a $10 billion market capitalization milestone (described further below) and the CEO remains in continuous service through such achievement, any then-unvested service-based RSUs awarded to the CEO will also vest.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RSUs</w:t>
      </w:r>
    </w:p>
    <w:p>
      <w:pPr>
        <w:spacing w:after="0" w:line="18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2021, the Company issued 4,257,710 performance-based RSUs (the “2021 Performance-Based RSUs”) at a weighted average grant date fair value of $7.76. As of December 31, 2025, 2,838,474 of the 2021 Performance-Based RSUs were vested.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unrecognized compensation expense related to unvested performance-based RSUs at December 31, 2025.</w:t>
      </w:r>
    </w:p>
    <w:p>
      <w:pPr>
        <w:spacing w:after="0" w:line="18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Two-thirds of the outstanding 2021 Performance-Based RSUs have vested upon the Company achieving a market capitalization equal to or exceeding $5 billion and $7.5 billion. One-third remains outstanding and will vest upon the company achieving a market capitalization equal to or exceeding $10 billion, over a 30-day lookback period and subject to the CEO’s continuous service through the end of the applicable 30-day period. In the event of a change in control and CEO’s continuous service through such change in control, the per share price (plus the per share value of any other consideration) received by the Company’s stockholders in such change in control will be used to determine whether any of the market capitalization milestones are achieved (without regard to the 30-day lookback period). Any 2021 Performance-Based RSUs that do not vest prior to the CEO’s termination of service or, if earlier, in connection with a change in control will be forfeited for no consideration.</w:t>
      </w:r>
    </w:p>
    <w:p>
      <w:pPr>
        <w:spacing w:after="0" w:line="14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On February 26, 2025, the Company issued an additional 2,490,943 Performance-Based RSUs (the “2025 Performance-Based RSUs”) to the Company’s senior management team under the Incentive Award Plan at a weighted average grant date fair value of $5.01. There was approximately $7.5 million in unrecognized compensation expense related to the 2025 Performance-Based RSUs at December 31, 2025, which is expected to be recognized over a weighted-average vesting period of approximately 1.13 years, regardless of whether the market conditions required for vesting are achieved.</w:t>
      </w:r>
    </w:p>
    <w:p>
      <w:pPr>
        <w:spacing w:after="0" w:line="15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the end of the performance period, the Compensation Committee of the Board of Directors certified that the Company’s common stock achieved the necessary Total Shareholder Return (TSR) relative to the TSR of peer companies identified in the grant agreements and overall TSR for the performance period, and earned 225% of the 2025 Performance-Based RSUs originally granted, resulting in the issuance of 5,604,621 shares. One-third of the earned PSUs vested on December 31, 2025, and the remaining two-thirds of the earned PSUs will vest in equal quarterly installments over the following two years with the first such vesting date occurring on March 31, 2026.</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grant date fair value of the 2025 Performance-Based RSUs was measured using a Monte Carlo simulation model based on the following assumptions:</w:t>
      </w:r>
    </w:p>
    <w:p>
      <w:pPr>
        <w:spacing w:after="0" w:line="284" w:lineRule="exact"/>
        <w:rPr>
          <w:sz w:val="20"/>
          <w:szCs w:val="20"/>
          <w:color w:val="auto"/>
        </w:rPr>
      </w:pPr>
    </w:p>
    <w:tbl>
      <w:tblPr>
        <w:tblLayout w:type="fixed"/>
        <w:tblInd w:w="3580" w:type="dxa"/>
        <w:tblCellMar>
          <w:top w:w="0" w:type="dxa"/>
          <w:left w:w="0" w:type="dxa"/>
          <w:bottom w:w="0" w:type="dxa"/>
          <w:right w:w="0" w:type="dxa"/>
        </w:tblCellMar>
      </w:tblPr>
      <w:tr>
        <w:trPr>
          <w:trHeight w:val="270"/>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8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4.14%</w:t>
            </w:r>
          </w:p>
        </w:tc>
      </w:tr>
      <w:tr>
        <w:trPr>
          <w:trHeight w:val="243"/>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8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111.5%</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FAIR VALUE MEASUREMENTS</w:t>
      </w:r>
    </w:p>
    <w:p>
      <w:pPr>
        <w:spacing w:after="0" w:line="20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Financial assets and liabilities measured at fair value are classified and disclosed in one of the following categories based on the inputs used to derive the fair value: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Unadjusted quoted prices in active markets that are accessible at the measurement date for identical, unrestricted assets or liabilities;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Level 2 — Quoted prices in markets that are not active and financial instruments for which all significant inputs are observable, either directly or indirectly; or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Prices or valuations that require inputs that are both significant to the fair value measurement and unobservable</w:t>
      </w:r>
    </w:p>
    <w:p>
      <w:pPr>
        <w:spacing w:after="0" w:line="18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Company’s financial assets and liabilities subject to fair value measurement on a recurring basis and the level of inputs used for such measurements were as follows as of the dates indicated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3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 Measured as of December 31, 2025</w:t>
            </w: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20" w:type="dxa"/>
            <w:vAlign w:val="bottom"/>
          </w:tcPr>
          <w:p>
            <w:pPr>
              <w:spacing w:after="0"/>
              <w:rPr>
                <w:sz w:val="20"/>
                <w:szCs w:val="20"/>
                <w:color w:val="auto"/>
              </w:rPr>
            </w:pPr>
          </w:p>
        </w:tc>
        <w:tc>
          <w:tcPr>
            <w:tcW w:w="82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37"/>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 included in:</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securities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535,085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535,085</w:t>
            </w: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2,035,631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2,035,631</w:t>
            </w: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Bitcoin</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125,400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125,400</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asset</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56,810</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3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2,696,803</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56,810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2,753,613</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included in: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3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525,160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525,160</w:t>
            </w:r>
          </w:p>
        </w:tc>
        <w:tc>
          <w:tcPr>
            <w:tcW w:w="0" w:type="dxa"/>
            <w:vAlign w:val="bottom"/>
          </w:tcPr>
          <w:p>
            <w:pPr>
              <w:spacing w:after="0"/>
              <w:rPr>
                <w:sz w:val="1"/>
                <w:szCs w:val="1"/>
                <w:color w:val="auto"/>
              </w:rPr>
            </w:pPr>
          </w:p>
        </w:tc>
      </w:tr>
      <w:tr>
        <w:trPr>
          <w:trHeight w:val="237"/>
        </w:trPr>
        <w:tc>
          <w:tcPr>
            <w:tcW w:w="63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525,160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525,160</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7"/>
        </w:trPr>
        <w:tc>
          <w:tcPr>
            <w:tcW w:w="63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 Measured as of December 31, 2024</w:t>
            </w: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20" w:type="dxa"/>
            <w:vAlign w:val="bottom"/>
          </w:tcPr>
          <w:p>
            <w:pPr>
              <w:spacing w:after="0"/>
              <w:rPr>
                <w:sz w:val="20"/>
                <w:szCs w:val="20"/>
                <w:color w:val="auto"/>
              </w:rPr>
            </w:pPr>
          </w:p>
        </w:tc>
        <w:tc>
          <w:tcPr>
            <w:tcW w:w="82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50"/>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 included in:</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Money market securities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14,392</w:t>
            </w: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Bitcoin</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92,651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92,651</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 for bitcoin collateral</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32,248</w:t>
            </w: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85,670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85,670</w:t>
            </w:r>
          </w:p>
        </w:tc>
        <w:tc>
          <w:tcPr>
            <w:tcW w:w="0" w:type="dxa"/>
            <w:vAlign w:val="bottom"/>
          </w:tcPr>
          <w:p>
            <w:pPr>
              <w:spacing w:after="0"/>
              <w:rPr>
                <w:sz w:val="1"/>
                <w:szCs w:val="1"/>
                <w:color w:val="auto"/>
              </w:rPr>
            </w:pPr>
          </w:p>
        </w:tc>
      </w:tr>
      <w:tr>
        <w:trPr>
          <w:trHeight w:val="237"/>
        </w:trPr>
        <w:tc>
          <w:tcPr>
            <w:tcW w:w="63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111,953</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32,248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85,670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229,871</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included in:</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borrowings</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Bitcoin loan payable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7,330</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7,330</w:t>
            </w:r>
          </w:p>
        </w:tc>
        <w:tc>
          <w:tcPr>
            <w:tcW w:w="0" w:type="dxa"/>
            <w:vAlign w:val="bottom"/>
          </w:tcPr>
          <w:p>
            <w:pPr>
              <w:spacing w:after="0"/>
              <w:rPr>
                <w:sz w:val="1"/>
                <w:szCs w:val="1"/>
                <w:color w:val="auto"/>
              </w:rPr>
            </w:pPr>
          </w:p>
        </w:tc>
      </w:tr>
      <w:tr>
        <w:trPr>
          <w:trHeight w:val="237"/>
        </w:trPr>
        <w:tc>
          <w:tcPr>
            <w:tcW w:w="63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7,330</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7,330</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6348730</wp:posOffset>
            </wp:positionH>
            <wp:positionV relativeFrom="paragraph">
              <wp:posOffset>-3573780</wp:posOffset>
            </wp:positionV>
            <wp:extent cx="596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-3573780</wp:posOffset>
            </wp:positionV>
            <wp:extent cx="603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-3573780</wp:posOffset>
            </wp:positionV>
            <wp:extent cx="603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-5125720</wp:posOffset>
            </wp:positionV>
            <wp:extent cx="596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-5125720</wp:posOffset>
            </wp:positionV>
            <wp:extent cx="603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-5125720</wp:posOffset>
            </wp:positionV>
            <wp:extent cx="603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-736600</wp:posOffset>
            </wp:positionV>
            <wp:extent cx="5969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-736600</wp:posOffset>
            </wp:positionV>
            <wp:extent cx="6032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-736600</wp:posOffset>
            </wp:positionV>
            <wp:extent cx="6032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32" w:lineRule="exact"/>
        <w:rPr>
          <w:sz w:val="20"/>
          <w:szCs w:val="20"/>
          <w:color w:val="auto"/>
        </w:rPr>
      </w:pPr>
    </w:p>
    <w:p>
      <w:pPr>
        <w:ind w:right="1080"/>
        <w:spacing w:after="0" w:line="282" w:lineRule="auto"/>
        <w:rPr>
          <w:sz w:val="20"/>
          <w:szCs w:val="20"/>
          <w:color w:val="auto"/>
        </w:rPr>
      </w:pPr>
      <w:r>
        <w:rPr>
          <w:rFonts w:ascii="Times New Roman" w:cs="Times New Roman" w:eastAsia="Times New Roman" w:hAnsi="Times New Roman"/>
          <w:sz w:val="18"/>
          <w:szCs w:val="18"/>
          <w:color w:val="auto"/>
        </w:rPr>
        <w:t>The Company’s financial assets and liabilities not subject to fair value measurement on a recurring basis and the level of inputs used for such measurements were as follows as of the dates indicated (in thousands):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9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14"/>
        </w:trPr>
        <w:tc>
          <w:tcPr>
            <w:tcW w:w="5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Total carrying</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5"/>
        </w:trPr>
        <w:tc>
          <w:tcPr>
            <w:tcW w:w="58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00" w:type="dxa"/>
            <w:vAlign w:val="bottom"/>
          </w:tcPr>
          <w:p>
            <w:pPr>
              <w:spacing w:after="0"/>
              <w:rPr>
                <w:sz w:val="19"/>
                <w:szCs w:val="19"/>
                <w:color w:val="auto"/>
              </w:rPr>
            </w:pPr>
          </w:p>
        </w:tc>
        <w:tc>
          <w:tcPr>
            <w:tcW w:w="92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7"/>
        </w:trPr>
        <w:tc>
          <w:tcPr>
            <w:tcW w:w="47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included in:</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borrowings</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591,768</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591,768</w:t>
            </w:r>
          </w:p>
        </w:tc>
      </w:tr>
      <w:tr>
        <w:trPr>
          <w:trHeight w:val="243"/>
        </w:trPr>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870,842</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1,547,533</w:t>
            </w:r>
          </w:p>
        </w:tc>
        <w:tc>
          <w:tcPr>
            <w:tcW w:w="80" w:type="dxa"/>
            <w:vAlign w:val="bottom"/>
          </w:tcPr>
          <w:p>
            <w:pPr>
              <w:spacing w:after="0"/>
              <w:rPr>
                <w:sz w:val="21"/>
                <w:szCs w:val="21"/>
                <w:color w:val="auto"/>
              </w:rPr>
            </w:pPr>
          </w:p>
        </w:tc>
        <w:tc>
          <w:tcPr>
            <w:tcW w:w="92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1,547,533</w:t>
            </w:r>
          </w:p>
        </w:tc>
      </w:tr>
      <w:tr>
        <w:trPr>
          <w:trHeight w:val="27"/>
        </w:trPr>
        <w:tc>
          <w:tcPr>
            <w:tcW w:w="5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Notes</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1,673,163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1,769,514</w:t>
            </w:r>
          </w:p>
        </w:tc>
        <w:tc>
          <w:tcPr>
            <w:tcW w:w="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1,769,514</w:t>
            </w:r>
          </w:p>
        </w:tc>
      </w:tr>
      <w:tr>
        <w:trPr>
          <w:trHeight w:val="237"/>
        </w:trPr>
        <w:tc>
          <w:tcPr>
            <w:tcW w:w="58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2,711,648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3,908,815</w:t>
            </w:r>
          </w:p>
        </w:tc>
        <w:tc>
          <w:tcPr>
            <w:tcW w:w="80" w:type="dxa"/>
            <w:vAlign w:val="bottom"/>
          </w:tcPr>
          <w:p>
            <w:pPr>
              <w:spacing w:after="0"/>
              <w:rPr>
                <w:sz w:val="20"/>
                <w:szCs w:val="20"/>
                <w:color w:val="auto"/>
              </w:rPr>
            </w:pPr>
          </w:p>
        </w:tc>
        <w:tc>
          <w:tcPr>
            <w:tcW w:w="920" w:type="dxa"/>
            <w:vAlign w:val="bottom"/>
            <w:tcBorders>
              <w:top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3,908,815</w:t>
            </w:r>
          </w:p>
        </w:tc>
      </w:tr>
      <w:tr>
        <w:trPr>
          <w:trHeight w:val="27"/>
        </w:trPr>
        <w:tc>
          <w:tcPr>
            <w:tcW w:w="5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
        </w:trPr>
        <w:tc>
          <w:tcPr>
            <w:tcW w:w="5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financial assets and liabilities not subject to fair value measurement on a recurring basis as of December 31, 2024.</w:t>
      </w:r>
    </w:p>
    <w:p>
      <w:pPr>
        <w:spacing w:after="0" w:line="198"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The carrying values reported in the Company’s consolidated balance sheets for cash (excluding cash equivalents which are recorded at fair value on a recurring basis), accounts payable and accrued expenses and other current liabilities are reasonable estimates of their fair values due to the short-term nature of these items.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of financial instruments between Level 1, Level 2 and Level 3 during the periods presented.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Power purchase agreement</w:t>
      </w:r>
    </w:p>
    <w:p>
      <w:pPr>
        <w:spacing w:after="0" w:line="20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Company’s power purchase agreement, related to the Luminant Power Agreement, is divided between current and noncurrent assets, and was initially recorded on its consolidated balance sheets on the derivative asset’s effective date of July 1, 2022, with an offsetting amount recorded to change in fair value of derivative asset in costs and operating expenses on the consolidated statements of operations. Subsequent changes in fair value are also recorded to Change in fair value of derivative asset. The Luminant Power Agreement was not designated as a hedging instrument. The estimated fair value of the Company’s derivative asset was derived from Level 2 and Level 3 inputs (i.e., unobservable inputs) due to a lack of quoted prices for similar type assets and as such, is classified in Level 3 of the fair value hierarchy. Specifically, the discounted cash flow estimation models contain quoted spot and forward prices for electricity, as well as estimated usage rates consistent with the terms of the Luminant Power Agreement, the initial term of which is five years, and a remaining term of approximately 1.6 years. The valuations performed by the third-party valuation firm engaged by the Company utilized pre-tax discount rates of 4.80% and 5.96% as of December 31, 2025 and December 31, 2024, respectively, and include observable market inputs, but also include unobservable inputs based on qualitative judgment related to company-specific risk factors. Unrealized gains and losses associated with the derivative asset within the Level 3 category include changes in fair value that were attributable to amendments to the Luminant Power Agreement, changes to the quoted forward electricity rates, as well as unobservable inputs (e.g., changes in estimated usage rates and discount rate assumptions).</w:t>
      </w:r>
    </w:p>
    <w:p>
      <w:pPr>
        <w:spacing w:after="0" w:line="14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the estimated fair value of the power purchase agreement measured using significant unobservable inputs (Level 3) for the year ended December 31, 2025 and 2024 (amounts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9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4"/>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37"/>
        </w:trPr>
        <w:tc>
          <w:tcPr>
            <w:tcW w:w="7960" w:type="dxa"/>
            <w:vAlign w:val="bottom"/>
            <w:tcBorders>
              <w:bottom w:val="single" w:sz="8" w:color="CCEC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50"/>
        </w:trPr>
        <w:tc>
          <w:tcPr>
            <w:tcW w:w="79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Opening balance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center"/>
              <w:ind w:left="474"/>
              <w:spacing w:after="0"/>
              <w:rPr>
                <w:sz w:val="20"/>
                <w:szCs w:val="20"/>
                <w:color w:val="auto"/>
              </w:rPr>
            </w:pPr>
            <w:r>
              <w:rPr>
                <w:rFonts w:ascii="Times New Roman" w:cs="Times New Roman" w:eastAsia="Times New Roman" w:hAnsi="Times New Roman"/>
                <w:sz w:val="18"/>
                <w:szCs w:val="18"/>
                <w:color w:val="auto"/>
              </w:rPr>
              <w:t>85,670</w:t>
            </w:r>
          </w:p>
        </w:tc>
        <w:tc>
          <w:tcPr>
            <w:tcW w:w="4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93,591</w:t>
            </w:r>
          </w:p>
        </w:tc>
      </w:tr>
      <w:tr>
        <w:trPr>
          <w:trHeight w:val="243"/>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w:t>
            </w:r>
          </w:p>
        </w:tc>
        <w:tc>
          <w:tcPr>
            <w:tcW w:w="380" w:type="dxa"/>
            <w:vAlign w:val="bottom"/>
          </w:tcPr>
          <w:p>
            <w:pPr>
              <w:spacing w:after="0"/>
              <w:rPr>
                <w:sz w:val="21"/>
                <w:szCs w:val="21"/>
                <w:color w:val="auto"/>
              </w:rPr>
            </w:pPr>
          </w:p>
        </w:tc>
        <w:tc>
          <w:tcPr>
            <w:tcW w:w="1220" w:type="dxa"/>
            <w:vAlign w:val="bottom"/>
          </w:tcPr>
          <w:p>
            <w:pPr>
              <w:jc w:val="center"/>
              <w:ind w:left="454"/>
              <w:spacing w:after="0"/>
              <w:rPr>
                <w:sz w:val="20"/>
                <w:szCs w:val="20"/>
                <w:color w:val="auto"/>
              </w:rPr>
            </w:pPr>
            <w:r>
              <w:rPr>
                <w:rFonts w:ascii="Times New Roman" w:cs="Times New Roman" w:eastAsia="Times New Roman" w:hAnsi="Times New Roman"/>
                <w:sz w:val="18"/>
                <w:szCs w:val="18"/>
                <w:color w:val="auto"/>
                <w:w w:val="97"/>
              </w:rPr>
              <w:t>(28,860)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(7,921)</w:t>
            </w:r>
          </w:p>
        </w:tc>
      </w:tr>
      <w:tr>
        <w:trPr>
          <w:trHeight w:val="27"/>
        </w:trPr>
        <w:tc>
          <w:tcPr>
            <w:tcW w:w="7960" w:type="dxa"/>
            <w:vAlign w:val="bottom"/>
            <w:tcBorders>
              <w:bottom w:val="single" w:sz="8" w:color="CCEC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79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380" w:type="dxa"/>
            <w:vAlign w:val="bottom"/>
            <w:tcBorders>
              <w:bottom w:val="single" w:sz="8" w:color="auto"/>
            </w:tcBorders>
            <w:shd w:val="clear" w:color="auto" w:fill="CCEC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CFF"/>
          </w:tcPr>
          <w:p>
            <w:pPr>
              <w:jc w:val="center"/>
              <w:ind w:left="474"/>
              <w:spacing w:after="0"/>
              <w:rPr>
                <w:sz w:val="20"/>
                <w:szCs w:val="20"/>
                <w:color w:val="auto"/>
              </w:rPr>
            </w:pPr>
            <w:r>
              <w:rPr>
                <w:rFonts w:ascii="Times New Roman" w:cs="Times New Roman" w:eastAsia="Times New Roman" w:hAnsi="Times New Roman"/>
                <w:sz w:val="18"/>
                <w:szCs w:val="18"/>
                <w:color w:val="auto"/>
              </w:rPr>
              <w:t>56,810</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C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CFF"/>
          </w:tcPr>
          <w:p>
            <w:pPr>
              <w:ind w:left="660"/>
              <w:spacing w:after="0"/>
              <w:rPr>
                <w:sz w:val="20"/>
                <w:szCs w:val="20"/>
                <w:color w:val="auto"/>
              </w:rPr>
            </w:pPr>
            <w:r>
              <w:rPr>
                <w:rFonts w:ascii="Times New Roman" w:cs="Times New Roman" w:eastAsia="Times New Roman" w:hAnsi="Times New Roman"/>
                <w:sz w:val="18"/>
                <w:szCs w:val="18"/>
                <w:color w:val="auto"/>
              </w:rPr>
              <w:t>85,670</w:t>
            </w:r>
          </w:p>
        </w:tc>
      </w:tr>
      <w:tr>
        <w:trPr>
          <w:trHeight w:val="20"/>
        </w:trPr>
        <w:tc>
          <w:tcPr>
            <w:tcW w:w="7960" w:type="dxa"/>
            <w:vAlign w:val="bottom"/>
            <w:tcBorders>
              <w:top w:val="single" w:sz="8" w:color="CCECFF"/>
            </w:tcBorders>
          </w:tcPr>
          <w:p>
            <w:pPr>
              <w:spacing w:after="0" w:line="20" w:lineRule="exact"/>
              <w:rPr>
                <w:sz w:val="1"/>
                <w:szCs w:val="1"/>
                <w:color w:val="auto"/>
              </w:rPr>
            </w:pPr>
          </w:p>
        </w:tc>
        <w:tc>
          <w:tcPr>
            <w:tcW w:w="380" w:type="dxa"/>
            <w:vAlign w:val="bottom"/>
            <w:tcBorders>
              <w:top w:val="single" w:sz="8" w:color="CCECFF"/>
              <w:bottom w:val="single" w:sz="8" w:color="auto"/>
            </w:tcBorders>
          </w:tcPr>
          <w:p>
            <w:pPr>
              <w:spacing w:after="0" w:line="20" w:lineRule="exact"/>
              <w:rPr>
                <w:sz w:val="1"/>
                <w:szCs w:val="1"/>
                <w:color w:val="auto"/>
              </w:rPr>
            </w:pPr>
          </w:p>
        </w:tc>
        <w:tc>
          <w:tcPr>
            <w:tcW w:w="1220" w:type="dxa"/>
            <w:vAlign w:val="bottom"/>
            <w:tcBorders>
              <w:top w:val="single" w:sz="8" w:color="CCEC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CFF"/>
              <w:bottom w:val="single" w:sz="8" w:color="auto"/>
            </w:tcBorders>
          </w:tcPr>
          <w:p>
            <w:pPr>
              <w:spacing w:after="0" w:line="20" w:lineRule="exact"/>
              <w:rPr>
                <w:sz w:val="1"/>
                <w:szCs w:val="1"/>
                <w:color w:val="auto"/>
              </w:rPr>
            </w:pPr>
          </w:p>
        </w:tc>
        <w:tc>
          <w:tcPr>
            <w:tcW w:w="1220" w:type="dxa"/>
            <w:vAlign w:val="bottom"/>
            <w:tcBorders>
              <w:top w:val="single" w:sz="8" w:color="CCEC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-565150</wp:posOffset>
            </wp:positionV>
            <wp:extent cx="603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Level 3 liabilities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Google Warrants</w:t>
      </w:r>
    </w:p>
    <w:p>
      <w:pPr>
        <w:spacing w:after="0" w:line="19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The Company’s Google Warrants (as defined in </w:t>
      </w:r>
      <w:r>
        <w:rPr>
          <w:rFonts w:ascii="Times New Roman" w:cs="Times New Roman" w:eastAsia="Times New Roman" w:hAnsi="Times New Roman"/>
          <w:sz w:val="18"/>
          <w:szCs w:val="18"/>
          <w:i w:val="1"/>
          <w:iCs w:val="1"/>
          <w:color w:val="auto"/>
        </w:rPr>
        <w:t>Note 18. Warrants</w:t>
      </w:r>
      <w:r>
        <w:rPr>
          <w:rFonts w:ascii="Times New Roman" w:cs="Times New Roman" w:eastAsia="Times New Roman" w:hAnsi="Times New Roman"/>
          <w:sz w:val="18"/>
          <w:szCs w:val="18"/>
          <w:color w:val="auto"/>
        </w:rPr>
        <w:t>) were classified within Level 3 of the fair value hierarchy because the fair value is based on significant inputs that are unobservable in the market. The valuation of the</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18" w:name="page119"/>
    <w:bookmarkEnd w:id="11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Google Warrants used assumptions and estimates the Company believes would be made by a market participant in making the same valuation. The initial valuation of the Google Warrants was recorded to Warrant liability on the Company’s consolidated balance sheets, and subsequent changes in fair value are also recorded to Change in fair value of warrant liability in the Company’s consolidated statements of operations.</w:t>
      </w:r>
    </w:p>
    <w:p>
      <w:pPr>
        <w:spacing w:after="0" w:line="14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engaged a third-party valuation firm to determine the fair value of the Google Warrants using a Black-Scholes option-pricing model and the quoted price of Common Stock. The following table presents significant assumptions utilized in the valuations of the Google Warrants as of the date indicated: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40" w:type="dxa"/>
            <w:vAlign w:val="bottom"/>
            <w:tcBorders>
              <w:bottom w:val="single" w:sz="8" w:color="CCEEFF"/>
            </w:tcBorders>
          </w:tcPr>
          <w:p>
            <w:pPr>
              <w:spacing w:after="0"/>
              <w:rPr>
                <w:sz w:val="19"/>
                <w:szCs w:val="19"/>
                <w:color w:val="auto"/>
              </w:rPr>
            </w:pPr>
          </w:p>
        </w:tc>
        <w:tc>
          <w:tcPr>
            <w:tcW w:w="7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14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50"/>
        </w:trPr>
        <w:tc>
          <w:tcPr>
            <w:tcW w:w="8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3.54%</w:t>
            </w:r>
          </w:p>
        </w:tc>
        <w:tc>
          <w:tcPr>
            <w:tcW w:w="64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yield rate</w:t>
            </w:r>
          </w:p>
        </w:tc>
        <w:tc>
          <w:tcPr>
            <w:tcW w:w="120" w:type="dxa"/>
            <w:vAlign w:val="bottom"/>
          </w:tcPr>
          <w:p>
            <w:pPr>
              <w:spacing w:after="0"/>
              <w:rPr>
                <w:sz w:val="21"/>
                <w:szCs w:val="21"/>
                <w:color w:val="auto"/>
              </w:rPr>
            </w:pPr>
          </w:p>
        </w:tc>
        <w:tc>
          <w:tcPr>
            <w:tcW w:w="15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0.00%</w:t>
            </w:r>
          </w:p>
        </w:tc>
        <w:tc>
          <w:tcPr>
            <w:tcW w:w="640" w:type="dxa"/>
            <w:vAlign w:val="bottom"/>
          </w:tcPr>
          <w:p>
            <w:pPr>
              <w:spacing w:after="0"/>
              <w:rPr>
                <w:sz w:val="21"/>
                <w:szCs w:val="21"/>
                <w:color w:val="auto"/>
              </w:rPr>
            </w:pPr>
          </w:p>
        </w:tc>
      </w:tr>
      <w:tr>
        <w:trPr>
          <w:trHeight w:val="27"/>
        </w:trPr>
        <w:tc>
          <w:tcPr>
            <w:tcW w:w="840" w:type="dxa"/>
            <w:vAlign w:val="bottom"/>
          </w:tcPr>
          <w:p>
            <w:pPr>
              <w:spacing w:after="0"/>
              <w:rPr>
                <w:sz w:val="2"/>
                <w:szCs w:val="2"/>
                <w:color w:val="auto"/>
              </w:rPr>
            </w:pPr>
          </w:p>
        </w:tc>
        <w:tc>
          <w:tcPr>
            <w:tcW w:w="7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107.00%</w:t>
            </w:r>
          </w:p>
        </w:tc>
        <w:tc>
          <w:tcPr>
            <w:tcW w:w="64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Contractual term (in years)</w:t>
            </w:r>
          </w:p>
        </w:tc>
        <w:tc>
          <w:tcPr>
            <w:tcW w:w="120" w:type="dxa"/>
            <w:vAlign w:val="bottom"/>
          </w:tcPr>
          <w:p>
            <w:pPr>
              <w:spacing w:after="0"/>
              <w:rPr>
                <w:sz w:val="21"/>
                <w:szCs w:val="21"/>
                <w:color w:val="auto"/>
              </w:rPr>
            </w:pPr>
          </w:p>
        </w:tc>
        <w:tc>
          <w:tcPr>
            <w:tcW w:w="15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4.75</w:t>
            </w:r>
          </w:p>
        </w:tc>
        <w:tc>
          <w:tcPr>
            <w:tcW w:w="640" w:type="dxa"/>
            <w:vAlign w:val="bottom"/>
          </w:tcPr>
          <w:p>
            <w:pPr>
              <w:spacing w:after="0"/>
              <w:rPr>
                <w:sz w:val="21"/>
                <w:szCs w:val="21"/>
                <w:color w:val="auto"/>
              </w:rPr>
            </w:pPr>
          </w:p>
        </w:tc>
      </w:tr>
      <w:tr>
        <w:trPr>
          <w:trHeight w:val="513"/>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changes in the estimated fair value of the Google Warrants (amounts in thousands):</w:t>
            </w: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840" w:type="dxa"/>
            <w:vAlign w:val="bottom"/>
          </w:tcPr>
          <w:p>
            <w:pPr>
              <w:spacing w:after="0"/>
              <w:rPr>
                <w:sz w:val="17"/>
                <w:szCs w:val="17"/>
                <w:color w:val="auto"/>
              </w:rPr>
            </w:pPr>
          </w:p>
        </w:tc>
        <w:tc>
          <w:tcPr>
            <w:tcW w:w="7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gridSpan w:val="2"/>
          </w:tcPr>
          <w:p>
            <w:pPr>
              <w:spacing w:after="0"/>
              <w:rPr>
                <w:sz w:val="17"/>
                <w:szCs w:val="17"/>
                <w:color w:val="auto"/>
              </w:rPr>
            </w:pPr>
          </w:p>
        </w:tc>
      </w:tr>
      <w:tr>
        <w:trPr>
          <w:trHeight w:val="250"/>
        </w:trPr>
        <w:tc>
          <w:tcPr>
            <w:tcW w:w="840" w:type="dxa"/>
            <w:vAlign w:val="bottom"/>
          </w:tcPr>
          <w:p>
            <w:pPr>
              <w:spacing w:after="0"/>
              <w:rPr>
                <w:sz w:val="21"/>
                <w:szCs w:val="21"/>
                <w:color w:val="auto"/>
              </w:rPr>
            </w:pPr>
          </w:p>
        </w:tc>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1"/>
                <w:szCs w:val="21"/>
                <w:color w:val="auto"/>
              </w:rPr>
            </w:pPr>
          </w:p>
        </w:tc>
      </w:tr>
      <w:tr>
        <w:trPr>
          <w:trHeight w:val="243"/>
        </w:trPr>
        <w:tc>
          <w:tcPr>
            <w:tcW w:w="840" w:type="dxa"/>
            <w:vAlign w:val="bottom"/>
          </w:tcPr>
          <w:p>
            <w:pPr>
              <w:spacing w:after="0"/>
              <w:rPr>
                <w:sz w:val="21"/>
                <w:szCs w:val="21"/>
                <w:color w:val="auto"/>
              </w:rPr>
            </w:pPr>
          </w:p>
        </w:tc>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of warrants as of issuance date</w:t>
            </w:r>
          </w:p>
        </w:tc>
        <w:tc>
          <w:tcPr>
            <w:tcW w:w="120" w:type="dxa"/>
            <w:vAlign w:val="bottom"/>
          </w:tcPr>
          <w:p>
            <w:pPr>
              <w:spacing w:after="0"/>
              <w:rPr>
                <w:sz w:val="21"/>
                <w:szCs w:val="21"/>
                <w:color w:val="auto"/>
              </w:rPr>
            </w:pPr>
          </w:p>
        </w:tc>
        <w:tc>
          <w:tcPr>
            <w:tcW w:w="15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544,450</w:t>
            </w:r>
          </w:p>
        </w:tc>
        <w:tc>
          <w:tcPr>
            <w:tcW w:w="640" w:type="dxa"/>
            <w:vAlign w:val="bottom"/>
          </w:tcPr>
          <w:p>
            <w:pPr>
              <w:spacing w:after="0"/>
              <w:rPr>
                <w:sz w:val="21"/>
                <w:szCs w:val="21"/>
                <w:color w:val="auto"/>
              </w:rPr>
            </w:pPr>
          </w:p>
        </w:tc>
      </w:tr>
      <w:tr>
        <w:trPr>
          <w:trHeight w:val="27"/>
        </w:trPr>
        <w:tc>
          <w:tcPr>
            <w:tcW w:w="840" w:type="dxa"/>
            <w:vAlign w:val="bottom"/>
          </w:tcPr>
          <w:p>
            <w:pPr>
              <w:spacing w:after="0"/>
              <w:rPr>
                <w:sz w:val="2"/>
                <w:szCs w:val="2"/>
                <w:color w:val="auto"/>
              </w:rPr>
            </w:pPr>
          </w:p>
        </w:tc>
        <w:tc>
          <w:tcPr>
            <w:tcW w:w="7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840" w:type="dxa"/>
            <w:vAlign w:val="bottom"/>
          </w:tcPr>
          <w:p>
            <w:pPr>
              <w:spacing w:after="0"/>
              <w:rPr>
                <w:sz w:val="23"/>
                <w:szCs w:val="23"/>
                <w:color w:val="auto"/>
              </w:rPr>
            </w:pPr>
          </w:p>
        </w:tc>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(19,290)</w:t>
            </w:r>
          </w:p>
        </w:tc>
        <w:tc>
          <w:tcPr>
            <w:tcW w:w="640" w:type="dxa"/>
            <w:vAlign w:val="bottom"/>
          </w:tcPr>
          <w:p>
            <w:pPr>
              <w:spacing w:after="0"/>
              <w:rPr>
                <w:sz w:val="23"/>
                <w:szCs w:val="23"/>
                <w:color w:val="auto"/>
              </w:rPr>
            </w:pPr>
          </w:p>
        </w:tc>
      </w:tr>
      <w:tr>
        <w:trPr>
          <w:trHeight w:val="263"/>
        </w:trPr>
        <w:tc>
          <w:tcPr>
            <w:tcW w:w="840" w:type="dxa"/>
            <w:vAlign w:val="bottom"/>
          </w:tcPr>
          <w:p>
            <w:pPr>
              <w:spacing w:after="0"/>
              <w:rPr>
                <w:sz w:val="22"/>
                <w:szCs w:val="22"/>
                <w:color w:val="auto"/>
              </w:rPr>
            </w:pPr>
          </w:p>
        </w:tc>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525,160</w:t>
            </w:r>
          </w:p>
        </w:tc>
        <w:tc>
          <w:tcPr>
            <w:tcW w:w="640" w:type="dxa"/>
            <w:vAlign w:val="bottom"/>
          </w:tcPr>
          <w:p>
            <w:pPr>
              <w:spacing w:after="0"/>
              <w:rPr>
                <w:sz w:val="22"/>
                <w:szCs w:val="22"/>
                <w:color w:val="auto"/>
              </w:rPr>
            </w:pPr>
          </w:p>
        </w:tc>
      </w:tr>
      <w:tr>
        <w:trPr>
          <w:trHeight w:val="21"/>
        </w:trPr>
        <w:tc>
          <w:tcPr>
            <w:tcW w:w="84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SEGMENT REPORTING</w:t>
      </w:r>
    </w:p>
    <w:p>
      <w:pPr>
        <w:spacing w:after="0" w:line="20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currently has one operating segment, Bitcoin Mining, which through operations produce bitcoin to generate revenue. The Chief Operating Decision Maker (“CODM”) for the Company consists of the CEO and CFO. The CODM reviews the performance of the Company’s operating segment primarily based on operating income when deciding on allocating resources between reinvesting in Bitcoin Mining or exploring alternative deployment of resources. Asset information is not regularly provided to the CODM for resource allocation as a large portion of assets are property and equipment that cannot be repurposed for other revenue streams. In future periods, the Company expects to have an additional segment related to construction of data centers for HPC tenants when leases for those data centers commence operations.</w:t>
      </w:r>
    </w:p>
    <w:p>
      <w:pPr>
        <w:spacing w:after="0" w:line="32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Company’s revenues, significant expenses, operating income, and net income by segment for the years ended December 31, 2025, 2024 and 2023 are summarized in the following table (in thousands):</w:t>
      </w:r>
    </w:p>
    <w:p>
      <w:pPr>
        <w:spacing w:after="0" w:line="171" w:lineRule="exact"/>
        <w:rPr>
          <w:sz w:val="20"/>
          <w:szCs w:val="20"/>
          <w:color w:val="auto"/>
        </w:rPr>
      </w:pPr>
    </w:p>
    <w:tbl>
      <w:tblPr>
        <w:tblLayout w:type="fixed"/>
        <w:tblInd w:w="240" w:type="dxa"/>
        <w:tblCellMar>
          <w:top w:w="0" w:type="dxa"/>
          <w:left w:w="0" w:type="dxa"/>
          <w:bottom w:w="0" w:type="dxa"/>
          <w:right w:w="0" w:type="dxa"/>
        </w:tblCellMar>
      </w:tblPr>
      <w:tr>
        <w:trPr>
          <w:trHeight w:val="238"/>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0"/>
        </w:trPr>
        <w:tc>
          <w:tcPr>
            <w:tcW w:w="7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Bitcoin Mining</w:t>
            </w:r>
          </w:p>
        </w:tc>
        <w:tc>
          <w:tcPr>
            <w:tcW w:w="160" w:type="dxa"/>
            <w:vAlign w:val="bottom"/>
          </w:tcPr>
          <w:p>
            <w:pPr>
              <w:spacing w:after="0"/>
              <w:rPr>
                <w:sz w:val="23"/>
                <w:szCs w:val="23"/>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7"/>
        </w:trPr>
        <w:tc>
          <w:tcPr>
            <w:tcW w:w="7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 bitcoin mining</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223,942</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223,942</w:t>
            </w:r>
          </w:p>
        </w:tc>
      </w:tr>
      <w:tr>
        <w:trPr>
          <w:trHeight w:val="243"/>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Costs and operating (expenses) income</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(81,216)</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(198,973)</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fair value of power purchase agreement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(28,860)</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loss on fair value of bitcoin</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(41,603)</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Realized gains on sale of bitcoin</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7,126</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in losses of equity method investees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(20,822)</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(165,646)</w:t>
            </w:r>
          </w:p>
        </w:tc>
        <w:tc>
          <w:tcPr>
            <w:tcW w:w="16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spacing w:after="0"/>
              <w:rPr>
                <w:sz w:val="23"/>
                <w:szCs w:val="23"/>
                <w:color w:val="auto"/>
              </w:rPr>
            </w:pPr>
          </w:p>
        </w:tc>
      </w:tr>
      <w:tr>
        <w:trPr>
          <w:trHeight w:val="23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Segment operating loss</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(306,052)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(306,052)</w:t>
            </w:r>
          </w:p>
        </w:tc>
      </w:tr>
      <w:tr>
        <w:trPr>
          <w:trHeight w:val="27"/>
        </w:trPr>
        <w:tc>
          <w:tcPr>
            <w:tcW w:w="7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(115,511)</w:t>
            </w:r>
          </w:p>
        </w:tc>
      </w:tr>
      <w:tr>
        <w:trPr>
          <w:trHeight w:val="23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(421,563)</w:t>
            </w:r>
          </w:p>
        </w:tc>
      </w:tr>
      <w:tr>
        <w:trPr>
          <w:trHeight w:val="27"/>
        </w:trPr>
        <w:tc>
          <w:tcPr>
            <w:tcW w:w="7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19,479</w:t>
            </w:r>
          </w:p>
        </w:tc>
      </w:tr>
      <w:tr>
        <w:trPr>
          <w:trHeight w:val="27"/>
        </w:trPr>
        <w:tc>
          <w:tcPr>
            <w:tcW w:w="75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00"/>
          </w:cols>
          <w:pgMar w:left="320" w:top="225" w:right="37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type w:val="continuous"/>
        </w:sectPr>
      </w:pPr>
    </w:p>
    <w:bookmarkStart w:id="119" w:name="page120"/>
    <w:bookmarkEnd w:id="11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ectPr>
          <w:pgSz w:w="11900" w:h="16838" w:orient="portrait"/>
          <w:cols w:equalWidth="0" w:num="1">
            <w:col w:w="10780"/>
          </w:cols>
          <w:pgMar w:left="560" w:top="225"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34290</wp:posOffset>
            </wp:positionV>
            <wp:extent cx="6849110" cy="171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7">
                      <a:extLst>
                        <a:ext uri="{28A0092B-C50C-407E-A947-70E740481C1C}"/>
                      </a:extLst>
                    </a:blip>
                    <a:srcRect/>
                    <a:stretch>
                      <a:fillRect/>
                    </a:stretch>
                  </pic:blipFill>
                  <pic:spPr bwMode="auto">
                    <a:xfrm>
                      <a:off x="0" y="0"/>
                      <a:ext cx="684911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non-operating items</w:t>
      </w:r>
      <w:r>
        <w:rPr>
          <w:rFonts w:ascii="Times New Roman" w:cs="Times New Roman" w:eastAsia="Times New Roman" w:hAnsi="Times New Roman"/>
          <w:sz w:val="22"/>
          <w:szCs w:val="22"/>
          <w:color w:val="auto"/>
          <w:vertAlign w:val="superscript"/>
        </w:rPr>
        <w:t>(3)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before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(36,559)</w:t>
      </w:r>
    </w:p>
    <w:p>
      <w:pPr>
        <w:spacing w:after="0" w:line="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(386,914)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34290</wp:posOffset>
            </wp:positionV>
            <wp:extent cx="91757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8">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57" w:lineRule="exact"/>
        <w:rPr>
          <w:sz w:val="20"/>
          <w:szCs w:val="20"/>
          <w:color w:val="auto"/>
        </w:rPr>
      </w:pPr>
    </w:p>
    <w:p>
      <w:pPr>
        <w:ind w:left="689" w:hanging="689"/>
        <w:spacing w:after="0"/>
        <w:tabs>
          <w:tab w:leader="none" w:pos="68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(825,557)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34290</wp:posOffset>
            </wp:positionV>
            <wp:extent cx="91757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9">
                      <a:extLst>
                        <a:ext uri="{28A0092B-C50C-407E-A947-70E740481C1C}"/>
                      </a:extLst>
                    </a:blip>
                    <a:srcRect/>
                    <a:stretch>
                      <a:fillRect/>
                    </a:stretch>
                  </pic:blipFill>
                  <pic:spPr bwMode="auto">
                    <a:xfrm>
                      <a:off x="0" y="0"/>
                      <a:ext cx="917575"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60325</wp:posOffset>
            </wp:positionV>
            <wp:extent cx="91757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0">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33" w:lineRule="exact"/>
        <w:rPr>
          <w:sz w:val="20"/>
          <w:szCs w:val="20"/>
          <w:color w:val="auto"/>
        </w:rPr>
      </w:pPr>
    </w:p>
    <w:p>
      <w:pPr>
        <w:sectPr>
          <w:pgSz w:w="11900" w:h="16838" w:orient="portrait"/>
          <w:cols w:equalWidth="0" w:num="2">
            <w:col w:w="8631" w:space="720"/>
            <w:col w:w="1429"/>
          </w:cols>
          <w:pgMar w:left="560" w:top="225" w:right="559" w:bottom="1440" w:gutter="0" w:footer="0" w:header="0"/>
          <w:type w:val="continuous"/>
        </w:sectPr>
      </w:pP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Bitcoin Mining</w:t>
            </w:r>
          </w:p>
        </w:tc>
        <w:tc>
          <w:tcPr>
            <w:tcW w:w="160" w:type="dxa"/>
            <w:vAlign w:val="bottom"/>
          </w:tcPr>
          <w:p>
            <w:pPr>
              <w:spacing w:after="0"/>
              <w:rPr>
                <w:sz w:val="23"/>
                <w:szCs w:val="23"/>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 bitcoin mining</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151,270</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151,270</w:t>
            </w:r>
          </w:p>
        </w:tc>
        <w:tc>
          <w:tcPr>
            <w:tcW w:w="0" w:type="dxa"/>
            <w:vAlign w:val="bottom"/>
          </w:tcPr>
          <w:p>
            <w:pPr>
              <w:spacing w:after="0"/>
              <w:rPr>
                <w:sz w:val="1"/>
                <w:szCs w:val="1"/>
                <w:color w:val="auto"/>
              </w:rPr>
            </w:pPr>
          </w:p>
        </w:tc>
      </w:tr>
      <w:tr>
        <w:trPr>
          <w:trHeight w:val="243"/>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Costs and operating (expenses) income</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(62,364)</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(102,448)</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fair value of power purchase agreement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(7,921)</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gain on fair value of bitcoin</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11,313</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Realized gains on sale of bitcoin</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51,548</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in losses of equity method investees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8,738</w:t>
            </w:r>
          </w:p>
        </w:tc>
        <w:tc>
          <w:tcPr>
            <w:tcW w:w="16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49,752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49,752</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(93,451)</w:t>
            </w:r>
          </w:p>
        </w:tc>
        <w:tc>
          <w:tcPr>
            <w:tcW w:w="0" w:type="dxa"/>
            <w:vAlign w:val="bottom"/>
          </w:tcPr>
          <w:p>
            <w:pPr>
              <w:spacing w:after="0"/>
              <w:rPr>
                <w:sz w:val="1"/>
                <w:szCs w:val="1"/>
                <w:color w:val="auto"/>
              </w:rPr>
            </w:pPr>
          </w:p>
        </w:tc>
      </w:tr>
      <w:tr>
        <w:trPr>
          <w:trHeight w:val="237"/>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(43,699)</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0" w:type="dxa"/>
            <w:vAlign w:val="bottom"/>
          </w:tcPr>
          <w:p>
            <w:pPr>
              <w:spacing w:after="0"/>
              <w:rPr>
                <w:sz w:val="1"/>
                <w:szCs w:val="1"/>
                <w:color w:val="auto"/>
              </w:rPr>
            </w:pPr>
          </w:p>
        </w:tc>
      </w:tr>
      <w:tr>
        <w:trPr>
          <w:trHeight w:val="243"/>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non-operating items</w:t>
            </w:r>
            <w:r>
              <w:rPr>
                <w:rFonts w:ascii="Times New Roman" w:cs="Times New Roman" w:eastAsia="Times New Roman" w:hAnsi="Times New Roman"/>
                <w:sz w:val="23"/>
                <w:szCs w:val="23"/>
                <w:color w:val="auto"/>
                <w:vertAlign w:val="superscript"/>
              </w:rPr>
              <w:t>(3)</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0" w:type="dxa"/>
            <w:vAlign w:val="bottom"/>
          </w:tcPr>
          <w:p>
            <w:pPr>
              <w:spacing w:after="0"/>
              <w:rPr>
                <w:sz w:val="1"/>
                <w:szCs w:val="1"/>
                <w:color w:val="auto"/>
              </w:rPr>
            </w:pPr>
          </w:p>
        </w:tc>
      </w:tr>
      <w:tr>
        <w:trPr>
          <w:trHeight w:val="264"/>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taxes</w:t>
            </w: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(44,317)</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75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Bitcoin Mining</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Revenue - bitcoin mining</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126,842</w:t>
            </w:r>
          </w:p>
        </w:tc>
        <w:tc>
          <w:tcPr>
            <w:tcW w:w="1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126,842</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operating (expenses) income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(50,309)</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(59,093)</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of power purchase agreement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26,836</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gain on fair value of bitcoin</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Realized gains on sale of bitcoin</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7,739</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in losses of equity method investees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12,296</w:t>
            </w:r>
          </w:p>
        </w:tc>
        <w:tc>
          <w:tcPr>
            <w:tcW w:w="16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65,080</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65,080</w:t>
            </w:r>
          </w:p>
        </w:tc>
        <w:tc>
          <w:tcPr>
            <w:tcW w:w="0" w:type="dxa"/>
            <w:vAlign w:val="bottom"/>
          </w:tcPr>
          <w:p>
            <w:pPr>
              <w:spacing w:after="0"/>
              <w:rPr>
                <w:sz w:val="1"/>
                <w:szCs w:val="1"/>
                <w:color w:val="auto"/>
              </w:rPr>
            </w:pPr>
          </w:p>
        </w:tc>
      </w:tr>
      <w:tr>
        <w:trPr>
          <w:trHeight w:val="270"/>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CCEEFF"/>
            </w:tcBorders>
          </w:tcPr>
          <w:p>
            <w:pPr>
              <w:spacing w:after="0"/>
              <w:rPr>
                <w:sz w:val="23"/>
                <w:szCs w:val="23"/>
                <w:color w:val="auto"/>
              </w:rPr>
            </w:pPr>
          </w:p>
        </w:tc>
        <w:tc>
          <w:tcPr>
            <w:tcW w:w="144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(85,195)</w:t>
            </w:r>
          </w:p>
        </w:tc>
        <w:tc>
          <w:tcPr>
            <w:tcW w:w="0" w:type="dxa"/>
            <w:vAlign w:val="bottom"/>
          </w:tcPr>
          <w:p>
            <w:pPr>
              <w:spacing w:after="0"/>
              <w:rPr>
                <w:sz w:val="1"/>
                <w:szCs w:val="1"/>
                <w:color w:val="auto"/>
              </w:rPr>
            </w:pPr>
          </w:p>
        </w:tc>
      </w:tr>
      <w:tr>
        <w:trPr>
          <w:trHeight w:val="244"/>
        </w:trPr>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(20,115)</w:t>
            </w:r>
          </w:p>
        </w:tc>
        <w:tc>
          <w:tcPr>
            <w:tcW w:w="0" w:type="dxa"/>
            <w:vAlign w:val="bottom"/>
          </w:tcPr>
          <w:p>
            <w:pPr>
              <w:spacing w:after="0"/>
              <w:rPr>
                <w:sz w:val="1"/>
                <w:szCs w:val="1"/>
                <w:color w:val="auto"/>
              </w:rPr>
            </w:pPr>
          </w:p>
        </w:tc>
      </w:tr>
      <w:tr>
        <w:trPr>
          <w:trHeight w:val="243"/>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0" w:type="dxa"/>
            <w:vAlign w:val="bottom"/>
          </w:tcPr>
          <w:p>
            <w:pPr>
              <w:spacing w:after="0"/>
              <w:rPr>
                <w:sz w:val="1"/>
                <w:szCs w:val="1"/>
                <w:color w:val="auto"/>
              </w:rPr>
            </w:pPr>
          </w:p>
        </w:tc>
      </w:tr>
      <w:tr>
        <w:trPr>
          <w:trHeight w:val="270"/>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non-operating items</w:t>
            </w:r>
            <w:r>
              <w:rPr>
                <w:rFonts w:ascii="Times New Roman" w:cs="Times New Roman" w:eastAsia="Times New Roman" w:hAnsi="Times New Roman"/>
                <w:sz w:val="23"/>
                <w:szCs w:val="23"/>
                <w:color w:val="auto"/>
                <w:vertAlign w:val="superscript"/>
              </w:rPr>
              <w:t>(3)</w:t>
            </w:r>
          </w:p>
        </w:tc>
        <w:tc>
          <w:tcPr>
            <w:tcW w:w="160" w:type="dxa"/>
            <w:vAlign w:val="bottom"/>
            <w:tcBorders>
              <w:bottom w:val="single" w:sz="8" w:color="CCEEFF"/>
            </w:tcBorders>
          </w:tcPr>
          <w:p>
            <w:pPr>
              <w:spacing w:after="0"/>
              <w:rPr>
                <w:sz w:val="23"/>
                <w:szCs w:val="23"/>
                <w:color w:val="auto"/>
              </w:rPr>
            </w:pPr>
          </w:p>
        </w:tc>
        <w:tc>
          <w:tcPr>
            <w:tcW w:w="144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89"/>
        </w:trPr>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taxes</w:t>
            </w:r>
          </w:p>
        </w:tc>
        <w:tc>
          <w:tcPr>
            <w:tcW w:w="16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(22,210)</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Other segment items included in Bitcoin Mining include Power sales, and Other losses, including impairment on miners.</w:t>
      </w:r>
    </w:p>
    <w:p>
      <w:pPr>
        <w:sectPr>
          <w:pgSz w:w="11900" w:h="16838" w:orient="portrait"/>
          <w:cols w:equalWidth="0" w:num="1">
            <w:col w:w="10780"/>
          </w:cols>
          <w:pgMar w:left="560" w:top="225" w:right="5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560" w:top="225" w:right="559" w:bottom="1440" w:gutter="0" w:footer="0" w:header="0"/>
          <w:type w:val="continuous"/>
        </w:sectPr>
      </w:pPr>
    </w:p>
    <w:bookmarkStart w:id="120" w:name="page121"/>
    <w:bookmarkEnd w:id="12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00" w:hanging="251"/>
        <w:spacing w:after="0"/>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operating items included in adjustments include Compensation and benefits, and General and administrative.</w:t>
      </w:r>
    </w:p>
    <w:p>
      <w:pPr>
        <w:spacing w:after="0" w:line="63" w:lineRule="exact"/>
        <w:rPr>
          <w:rFonts w:ascii="Times New Roman" w:cs="Times New Roman" w:eastAsia="Times New Roman" w:hAnsi="Times New Roman"/>
          <w:sz w:val="18"/>
          <w:szCs w:val="18"/>
          <w:color w:val="auto"/>
        </w:rPr>
      </w:pPr>
    </w:p>
    <w:p>
      <w:pPr>
        <w:ind w:left="500" w:hanging="251"/>
        <w:spacing w:after="0"/>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non-operating items include Change in fair value of warrant liability, and Other expense.</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INCOME TAXES</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For the years ended December 31, 2025, 2024, the Company recorded a deferred tax benefit, and for the year ended December 31, 2023 the Company recorded a deferred tax expense, related to changes in deferred tax liabilities associated with derivatives and joint venture instruments (refer to </w:t>
      </w:r>
      <w:r>
        <w:rPr>
          <w:rFonts w:ascii="Times New Roman" w:cs="Times New Roman" w:eastAsia="Times New Roman" w:hAnsi="Times New Roman"/>
          <w:sz w:val="18"/>
          <w:szCs w:val="18"/>
          <w:i w:val="1"/>
          <w:iCs w:val="1"/>
          <w:color w:val="auto"/>
        </w:rPr>
        <w:t>Note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Investments In Joint Ventures </w:t>
      </w:r>
      <w:r>
        <w:rPr>
          <w:rFonts w:ascii="Times New Roman" w:cs="Times New Roman" w:eastAsia="Times New Roman" w:hAnsi="Times New Roman"/>
          <w:sz w:val="18"/>
          <w:szCs w:val="18"/>
          <w:color w:val="auto"/>
        </w:rPr>
        <w:t>for more details on the Company’s joint ventures). Current income taxes are based upon the current period’s income taxable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federal and state tax reporting purposes. The Company does not have any foreign operations or tax effects. The Company’s state taxes are primarily driven from Texas. Deferred income taxes (benefits) are provided for certain income and expenses, which are recognized in different periods for tax and financial reporting purposes. Deferred tax assets and liabilities are computed for differences between the financial statements and tax bases of assets and liabilities that will result in taxable or deductible amounts in the future based on enacted tax laws and rates applicable to the period in which the differences are expected to affect taxable income, and net operating loss (“NOL”) carryforwards.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Company’s income tax provision are listed below (in thousands):</w:t>
      </w:r>
    </w:p>
    <w:p>
      <w:pPr>
        <w:spacing w:after="0" w:line="241" w:lineRule="exact"/>
        <w:rPr>
          <w:sz w:val="20"/>
          <w:szCs w:val="20"/>
          <w:color w:val="auto"/>
        </w:rPr>
      </w:pPr>
    </w:p>
    <w:tbl>
      <w:tblPr>
        <w:tblLayout w:type="fixed"/>
        <w:tblInd w:w="1500" w:type="dxa"/>
        <w:tblCellMar>
          <w:top w:w="0" w:type="dxa"/>
          <w:left w:w="0" w:type="dxa"/>
          <w:bottom w:w="0" w:type="dxa"/>
          <w:right w:w="0" w:type="dxa"/>
        </w:tblCellMar>
      </w:tblPr>
      <w:tr>
        <w:trPr>
          <w:trHeight w:val="212"/>
        </w:trPr>
        <w:tc>
          <w:tcPr>
            <w:tcW w:w="3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2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56"/>
        </w:trPr>
        <w:tc>
          <w:tcPr>
            <w:tcW w:w="3300" w:type="dxa"/>
            <w:vAlign w:val="bottom"/>
            <w:tcBorders>
              <w:bottom w:val="single" w:sz="8" w:color="CCEC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50"/>
        </w:trPr>
        <w:tc>
          <w:tcPr>
            <w:tcW w:w="33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00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5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7"/>
        </w:trPr>
        <w:tc>
          <w:tcPr>
            <w:tcW w:w="3300" w:type="dxa"/>
            <w:vAlign w:val="bottom"/>
            <w:tcBorders>
              <w:bottom w:val="single" w:sz="8" w:color="CCEC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33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Total current</w:t>
            </w:r>
          </w:p>
        </w:tc>
        <w:tc>
          <w:tcPr>
            <w:tcW w:w="10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37"/>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0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27"/>
        </w:trPr>
        <w:tc>
          <w:tcPr>
            <w:tcW w:w="3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300" w:type="dxa"/>
            <w:vAlign w:val="bottom"/>
            <w:tcBorders>
              <w:bottom w:val="single" w:sz="8" w:color="CCECFF"/>
            </w:tcBorders>
            <w:shd w:val="clear" w:color="auto" w:fill="CCEC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1000" w:type="dxa"/>
            <w:vAlign w:val="bottom"/>
            <w:tcBorders>
              <w:bottom w:val="single" w:sz="8" w:color="CCECFF"/>
            </w:tcBorders>
            <w:shd w:val="clear" w:color="auto" w:fill="CCECFF"/>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(4,269)</w:t>
            </w:r>
          </w:p>
        </w:tc>
        <w:tc>
          <w:tcPr>
            <w:tcW w:w="500" w:type="dxa"/>
            <w:vAlign w:val="bottom"/>
            <w:tcBorders>
              <w:bottom w:val="single" w:sz="8" w:color="CCECFF"/>
            </w:tcBorders>
            <w:gridSpan w:val="3"/>
            <w:shd w:val="clear" w:color="auto" w:fill="CCEC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tcBorders>
              <w:bottom w:val="single" w:sz="8" w:color="CCECFF"/>
            </w:tcBorders>
            <w:shd w:val="clear" w:color="auto" w:fill="CCECFF"/>
          </w:tcPr>
          <w:p>
            <w:pPr>
              <w:spacing w:after="0"/>
              <w:rPr>
                <w:sz w:val="23"/>
                <w:szCs w:val="23"/>
                <w:color w:val="auto"/>
              </w:rPr>
            </w:pPr>
          </w:p>
        </w:tc>
        <w:tc>
          <w:tcPr>
            <w:tcW w:w="360" w:type="dxa"/>
            <w:vAlign w:val="bottom"/>
            <w:tcBorders>
              <w:bottom w:val="single" w:sz="8" w:color="CCECFF"/>
            </w:tcBorders>
            <w:shd w:val="clear" w:color="auto" w:fill="CCEC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3,366</w:t>
            </w:r>
          </w:p>
        </w:tc>
      </w:tr>
      <w:tr>
        <w:trPr>
          <w:trHeight w:val="237"/>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w:t>
            </w:r>
          </w:p>
        </w:tc>
        <w:tc>
          <w:tcPr>
            <w:tcW w:w="10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(4,269)</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3,366</w:t>
            </w:r>
          </w:p>
        </w:tc>
      </w:tr>
      <w:tr>
        <w:trPr>
          <w:trHeight w:val="27"/>
        </w:trPr>
        <w:tc>
          <w:tcPr>
            <w:tcW w:w="3300" w:type="dxa"/>
            <w:vAlign w:val="bottom"/>
            <w:tcBorders>
              <w:bottom w:val="single" w:sz="8" w:color="CCEC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4"/>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000" w:type="dxa"/>
            <w:vAlign w:val="bottom"/>
            <w:shd w:val="clear" w:color="auto" w:fill="CCECFF"/>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500" w:type="dxa"/>
            <w:vAlign w:val="bottom"/>
            <w:gridSpan w:val="3"/>
            <w:shd w:val="clear" w:color="auto" w:fill="CCEC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CECFF"/>
          </w:tcPr>
          <w:p>
            <w:pPr>
              <w:spacing w:after="0"/>
              <w:rPr>
                <w:sz w:val="24"/>
                <w:szCs w:val="24"/>
                <w:color w:val="auto"/>
              </w:rPr>
            </w:pPr>
          </w:p>
        </w:tc>
        <w:tc>
          <w:tcPr>
            <w:tcW w:w="360" w:type="dxa"/>
            <w:vAlign w:val="bottom"/>
            <w:shd w:val="clear" w:color="auto" w:fill="CCEC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3,567</w:t>
            </w:r>
          </w:p>
        </w:tc>
      </w:tr>
      <w:tr>
        <w:trPr>
          <w:trHeight w:val="20"/>
        </w:trPr>
        <w:tc>
          <w:tcPr>
            <w:tcW w:w="3300" w:type="dxa"/>
            <w:vAlign w:val="bottom"/>
            <w:tcBorders>
              <w:top w:val="single" w:sz="8" w:color="CCEC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color w:val="auto"/>
        </w:rPr>
        <w:t xml:space="preserve">Under adoption of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(“ASU 2023-09”), as described in Note 2, </w:t>
      </w:r>
      <w:r>
        <w:rPr>
          <w:rFonts w:ascii="Times New Roman" w:cs="Times New Roman" w:eastAsia="Times New Roman" w:hAnsi="Times New Roman"/>
          <w:sz w:val="18"/>
          <w:szCs w:val="18"/>
          <w:i w:val="1"/>
          <w:iCs w:val="1"/>
          <w:color w:val="auto"/>
        </w:rPr>
        <w:t>Summary of 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Policies</w:t>
      </w:r>
      <w:r>
        <w:rPr>
          <w:rFonts w:ascii="Times New Roman" w:cs="Times New Roman" w:eastAsia="Times New Roman" w:hAnsi="Times New Roman"/>
          <w:sz w:val="18"/>
          <w:szCs w:val="18"/>
          <w:color w:val="auto"/>
        </w:rPr>
        <w:t>, the reconciliation of the expected tax computed at the U.S. statutory federal income tax rate to the total expense for income taxes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2025 is shown below (in thousands, except for percentages):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Amount</w:t>
            </w:r>
          </w:p>
        </w:tc>
        <w:tc>
          <w:tcPr>
            <w:tcW w:w="17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Percent</w:t>
            </w:r>
          </w:p>
        </w:tc>
      </w:tr>
      <w:tr>
        <w:trPr>
          <w:trHeight w:val="27"/>
        </w:trPr>
        <w:tc>
          <w:tcPr>
            <w:tcW w:w="6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Tax expense (benefit) at the U.S. statutory rate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(173,367)</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State income taxes, net of federal income tax effect</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6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Nontaxable or nondeductible items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43"/>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compensation</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(29,200)</w:t>
            </w:r>
          </w:p>
        </w:tc>
        <w:tc>
          <w:tcPr>
            <w:tcW w:w="1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7"/>
        </w:trPr>
        <w:tc>
          <w:tcPr>
            <w:tcW w:w="6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162m limitations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32,192</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43"/>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MTM adjustments</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82,931</w:t>
            </w:r>
          </w:p>
        </w:tc>
        <w:tc>
          <w:tcPr>
            <w:tcW w:w="1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7"/>
        </w:trPr>
        <w:tc>
          <w:tcPr>
            <w:tcW w:w="6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Non-deductible interest on convertible debt</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43"/>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joint ventures</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7"/>
        </w:trPr>
        <w:tc>
          <w:tcPr>
            <w:tcW w:w="6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adjustments</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7"/>
        </w:trPr>
        <w:tc>
          <w:tcPr>
            <w:tcW w:w="6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valuation allowance</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79,945</w:t>
            </w:r>
          </w:p>
        </w:tc>
        <w:tc>
          <w:tcPr>
            <w:tcW w:w="1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64"/>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Income tax provision</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100" w:type="dxa"/>
            <w:vAlign w:val="bottom"/>
          </w:tcPr>
          <w:p>
            <w:pPr>
              <w:spacing w:after="0"/>
              <w:rPr>
                <w:sz w:val="22"/>
                <w:szCs w:val="22"/>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0"/>
        </w:trPr>
        <w:tc>
          <w:tcPr>
            <w:tcW w:w="6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state and local tax jurisdiction that makes up the majority of the effect of the state and local tax line item in 2025 is Texas.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21" w:name="page122"/>
    <w:bookmarkEnd w:id="12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reconciliation of taxes as the federal statutory rate to our provision for (benefit from) income taxes for the years ended December 31, 2024 and 2023 in accordance with the guidance prior to the adoption of ASU 2023-09 was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160" w:type="dxa"/>
            <w:vAlign w:val="bottom"/>
          </w:tcPr>
          <w:p>
            <w:pPr>
              <w:spacing w:after="0"/>
              <w:rPr>
                <w:sz w:val="18"/>
                <w:szCs w:val="18"/>
                <w:color w:val="auto"/>
              </w:rPr>
            </w:pPr>
          </w:p>
        </w:tc>
        <w:tc>
          <w:tcPr>
            <w:tcW w:w="2840" w:type="dxa"/>
            <w:vAlign w:val="bottom"/>
            <w:gridSpan w:val="4"/>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40" w:type="dxa"/>
            <w:vAlign w:val="bottom"/>
          </w:tcPr>
          <w:p>
            <w:pPr>
              <w:spacing w:after="0"/>
              <w:rPr>
                <w:sz w:val="18"/>
                <w:szCs w:val="18"/>
                <w:color w:val="auto"/>
              </w:rPr>
            </w:pPr>
          </w:p>
        </w:tc>
      </w:tr>
      <w:tr>
        <w:trPr>
          <w:trHeight w:val="256"/>
        </w:trPr>
        <w:tc>
          <w:tcPr>
            <w:tcW w:w="616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Borders>
              <w:bottom w:val="single" w:sz="8" w:color="auto"/>
            </w:tcBorders>
          </w:tcPr>
          <w:p>
            <w:pPr>
              <w:spacing w:after="0"/>
              <w:rPr>
                <w:sz w:val="22"/>
                <w:szCs w:val="22"/>
                <w:color w:val="auto"/>
              </w:rPr>
            </w:pPr>
          </w:p>
        </w:tc>
      </w:tr>
      <w:tr>
        <w:trPr>
          <w:trHeight w:val="250"/>
        </w:trPr>
        <w:tc>
          <w:tcPr>
            <w:tcW w:w="7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at federal statutory rate</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43"/>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7"/>
        </w:trPr>
        <w:tc>
          <w:tcPr>
            <w:tcW w:w="6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162m limitations</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43"/>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7"/>
        </w:trPr>
        <w:tc>
          <w:tcPr>
            <w:tcW w:w="6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Permanent differences</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43"/>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Difference and changes in tax rates</w:t>
            </w:r>
          </w:p>
        </w:tc>
        <w:tc>
          <w:tcPr>
            <w:tcW w:w="1800" w:type="dxa"/>
            <w:vAlign w:val="bottom"/>
            <w:gridSpan w:val="3"/>
          </w:tcPr>
          <w:p>
            <w:pPr>
              <w:jc w:val="right"/>
              <w:ind w:right="1079"/>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6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RTP and other</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43"/>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16.1 %</w:t>
            </w:r>
          </w:p>
        </w:tc>
      </w:tr>
      <w:tr>
        <w:trPr>
          <w:trHeight w:val="27"/>
        </w:trPr>
        <w:tc>
          <w:tcPr>
            <w:tcW w:w="61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83"/>
        </w:trPr>
        <w:tc>
          <w:tcPr>
            <w:tcW w:w="7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provision</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adoption of ASU 2023-09, cash paid for income taxes, net of refunds for the year ended December 31, 2025 was as follows:</w:t>
      </w:r>
    </w:p>
    <w:p>
      <w:pPr>
        <w:spacing w:after="0" w:line="241" w:lineRule="exact"/>
        <w:rPr>
          <w:sz w:val="20"/>
          <w:szCs w:val="20"/>
          <w:color w:val="auto"/>
        </w:rPr>
      </w:pPr>
    </w:p>
    <w:tbl>
      <w:tblPr>
        <w:tblLayout w:type="fixed"/>
        <w:tblInd w:w="2120" w:type="dxa"/>
        <w:tblCellMar>
          <w:top w:w="0" w:type="dxa"/>
          <w:left w:w="0" w:type="dxa"/>
          <w:bottom w:w="0" w:type="dxa"/>
          <w:right w:w="0" w:type="dxa"/>
        </w:tblCellMar>
      </w:tblPr>
      <w:tr>
        <w:trPr>
          <w:trHeight w:val="212"/>
        </w:trPr>
        <w:tc>
          <w:tcPr>
            <w:tcW w:w="4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53"/>
        </w:trPr>
        <w:tc>
          <w:tcPr>
            <w:tcW w:w="4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40" w:type="dxa"/>
            <w:vAlign w:val="bottom"/>
          </w:tcPr>
          <w:p>
            <w:pPr>
              <w:jc w:val="right"/>
              <w:ind w:right="105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60"/>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tcPr>
          <w:p>
            <w:pPr>
              <w:spacing w:after="0"/>
              <w:rPr>
                <w:sz w:val="21"/>
                <w:szCs w:val="21"/>
                <w:color w:val="auto"/>
              </w:rPr>
            </w:pPr>
          </w:p>
        </w:tc>
        <w:tc>
          <w:tcPr>
            <w:tcW w:w="2340" w:type="dxa"/>
            <w:vAlign w:val="bottom"/>
          </w:tcPr>
          <w:p>
            <w:pPr>
              <w:spacing w:after="0"/>
              <w:rPr>
                <w:sz w:val="21"/>
                <w:szCs w:val="21"/>
                <w:color w:val="auto"/>
              </w:rPr>
            </w:pPr>
          </w:p>
        </w:tc>
      </w:tr>
      <w:tr>
        <w:trPr>
          <w:trHeight w:val="27"/>
        </w:trPr>
        <w:tc>
          <w:tcPr>
            <w:tcW w:w="4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Texas</w:t>
            </w:r>
          </w:p>
        </w:tc>
        <w:tc>
          <w:tcPr>
            <w:tcW w:w="24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r>
      <w:tr>
        <w:trPr>
          <w:trHeight w:val="243"/>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New York</w:t>
            </w:r>
          </w:p>
        </w:tc>
        <w:tc>
          <w:tcPr>
            <w:tcW w:w="24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7"/>
        </w:trPr>
        <w:tc>
          <w:tcPr>
            <w:tcW w:w="4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States</w:t>
            </w:r>
          </w:p>
        </w:tc>
        <w:tc>
          <w:tcPr>
            <w:tcW w:w="24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88"/>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paid for income taxes, net of refunds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3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and liabilities were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22" w:name="page123"/>
    <w:bookmarkEnd w:id="12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1780" w:type="dxa"/>
        <w:tblCellMar>
          <w:top w:w="0" w:type="dxa"/>
          <w:left w:w="0" w:type="dxa"/>
          <w:bottom w:w="0" w:type="dxa"/>
          <w:right w:w="0" w:type="dxa"/>
        </w:tblCellMar>
      </w:tblPr>
      <w:tr>
        <w:trPr>
          <w:trHeight w:val="212"/>
        </w:trPr>
        <w:tc>
          <w:tcPr>
            <w:tcW w:w="4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40" w:type="dxa"/>
            <w:vAlign w:val="bottom"/>
            <w:gridSpan w:val="4"/>
          </w:tcPr>
          <w:p>
            <w:pPr>
              <w:jc w:val="right"/>
              <w:ind w:right="67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56"/>
        </w:trPr>
        <w:tc>
          <w:tcPr>
            <w:tcW w:w="44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7"/>
        </w:trPr>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3"/>
        </w:trPr>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51,187</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25,521</w:t>
            </w:r>
          </w:p>
        </w:tc>
      </w:tr>
      <w:tr>
        <w:trPr>
          <w:trHeight w:val="27"/>
        </w:trPr>
        <w:tc>
          <w:tcPr>
            <w:tcW w:w="4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Share-based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w:t>
            </w:r>
          </w:p>
        </w:tc>
      </w:tr>
      <w:tr>
        <w:trPr>
          <w:trHeight w:val="243"/>
        </w:trPr>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Accruals and other temporary differences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3,517</w:t>
            </w:r>
          </w:p>
        </w:tc>
      </w:tr>
      <w:tr>
        <w:trPr>
          <w:trHeight w:val="27"/>
        </w:trPr>
        <w:tc>
          <w:tcPr>
            <w:tcW w:w="4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w:t>
            </w:r>
          </w:p>
        </w:tc>
      </w:tr>
      <w:tr>
        <w:trPr>
          <w:trHeight w:val="243"/>
        </w:trPr>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 liability</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5,113</w:t>
            </w:r>
          </w:p>
        </w:tc>
      </w:tr>
      <w:tr>
        <w:trPr>
          <w:trHeight w:val="27"/>
        </w:trPr>
        <w:tc>
          <w:tcPr>
            <w:tcW w:w="4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5,440</w:t>
            </w:r>
          </w:p>
        </w:tc>
      </w:tr>
      <w:tr>
        <w:trPr>
          <w:trHeight w:val="243"/>
        </w:trPr>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Bitcoin holdings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Non-deductible interest</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7"/>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Gross deferred tax assets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116,420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45,199</w:t>
            </w:r>
          </w:p>
        </w:tc>
      </w:tr>
      <w:tr>
        <w:trPr>
          <w:trHeight w:val="27"/>
        </w:trPr>
        <w:tc>
          <w:tcPr>
            <w:tcW w:w="4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(95,054)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(13,461)</w:t>
            </w:r>
          </w:p>
        </w:tc>
      </w:tr>
      <w:tr>
        <w:trPr>
          <w:trHeight w:val="237"/>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21,366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31,738</w:t>
            </w:r>
          </w:p>
        </w:tc>
      </w:tr>
      <w:tr>
        <w:trPr>
          <w:trHeight w:val="27"/>
        </w:trPr>
        <w:tc>
          <w:tcPr>
            <w:tcW w:w="4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Right-of-use asset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(5,305)</w:t>
            </w:r>
          </w:p>
        </w:tc>
      </w:tr>
      <w:tr>
        <w:trPr>
          <w:trHeight w:val="27"/>
        </w:trPr>
        <w:tc>
          <w:tcPr>
            <w:tcW w:w="4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Derivatives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(18,316)</w:t>
            </w:r>
          </w:p>
        </w:tc>
      </w:tr>
      <w:tr>
        <w:trPr>
          <w:trHeight w:val="243"/>
        </w:trPr>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Joint venture investments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(9,430)</w:t>
            </w:r>
          </w:p>
        </w:tc>
      </w:tr>
      <w:tr>
        <w:trPr>
          <w:trHeight w:val="27"/>
        </w:trPr>
        <w:tc>
          <w:tcPr>
            <w:tcW w:w="4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Bitcoin holdings</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w:t>
            </w:r>
          </w:p>
        </w:tc>
      </w:tr>
      <w:tr>
        <w:trPr>
          <w:trHeight w:val="243"/>
        </w:trPr>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3"/>
        </w:trPr>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(36,007)</w:t>
            </w:r>
          </w:p>
        </w:tc>
      </w:tr>
      <w:tr>
        <w:trPr>
          <w:trHeight w:val="26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(4,269)</w:t>
            </w:r>
          </w:p>
        </w:tc>
      </w:tr>
      <w:tr>
        <w:trPr>
          <w:trHeight w:val="20"/>
        </w:trPr>
        <w:tc>
          <w:tcPr>
            <w:tcW w:w="4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As required by ASC 740, management of the Company has evaluated the evidence bearing upon the realizability of its deferred tax assets. Based on the weight of available evidence, both positive and negative, management has determined that it is more likely than not that the Company will not realize the benefits of these assets. Accordingly, the Company recorded a valuation allowance of $95.1 million as of December 31, 2025. The valuation allowance increased by $81.6 million during the year ended December 31, 2025. primarily as a result of the increased tax basis over book basis in property and equipment and the net operating losses generated in the current year.</w:t>
      </w:r>
    </w:p>
    <w:p>
      <w:pPr>
        <w:spacing w:after="0" w:line="156" w:lineRule="exact"/>
        <w:rPr>
          <w:sz w:val="20"/>
          <w:szCs w:val="20"/>
          <w:color w:val="auto"/>
        </w:rPr>
      </w:pPr>
    </w:p>
    <w:p>
      <w:pPr>
        <w:ind w:right="800"/>
        <w:spacing w:after="0" w:line="312" w:lineRule="auto"/>
        <w:rPr>
          <w:sz w:val="20"/>
          <w:szCs w:val="20"/>
          <w:color w:val="auto"/>
        </w:rPr>
      </w:pPr>
      <w:r>
        <w:rPr>
          <w:rFonts w:ascii="Times New Roman" w:cs="Times New Roman" w:eastAsia="Times New Roman" w:hAnsi="Times New Roman"/>
          <w:sz w:val="17"/>
          <w:szCs w:val="17"/>
          <w:color w:val="auto"/>
        </w:rPr>
        <w:t>As of December 31, 2025, the Company had federal, and state and local NOL carryforwards of approximately $236.4 million and $30.4 million, respectively. The federal NOL carryforwards do not expire, but the state and local NOL carryforwards expire if not utilized prior to 2045.</w:t>
      </w:r>
    </w:p>
    <w:p>
      <w:pPr>
        <w:spacing w:after="0" w:line="9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Utilization of the U.S. federal and state NOL carryforwards may be subject to a substantial annual limitation under Sections 382 and 383 of the Internal Revenue Code of 1986, as amended, and corresponding provisions of state law, due to ownership changes that have occurred previously or that could occur in the future. These ownership changes may limit the amount of NOL carryforwards that can be utilized annually to offset future taxable income and tax liabilities, respectively. The Company has not completed a study to assess whether a change of ownership has occurred, or whether there have been multiple ownership changes since its formation, due to the significant cost and complexity associated with such a study. Any limitation may result in expiration of a portion of the NOL carryforwards before utilization. Further, until a study is completed by the Company and any limitation is known, no amounts are being presented as an uncertain tax position.</w:t>
      </w:r>
    </w:p>
    <w:p>
      <w:pPr>
        <w:spacing w:after="0" w:line="14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At December 31, 2025 and December 31, 2024, the Company did not have any significant uncertain tax positions. The Company will recognize interest and penalties related to uncertain tax positions in income tax expense. The Company had no accrued interest or penalties related to uncertain tax positions in either period.</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23" w:name="page124"/>
    <w:bookmarkEnd w:id="12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SUBSEQUENT EVENTS</w:t>
      </w:r>
    </w:p>
    <w:p>
      <w:pPr>
        <w:spacing w:after="0" w:line="20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for adjustment to or disclosure in its consolidated financial statements through the date of this report. No subsequent events have been identified other than those disclosed in these consolidated financial statements except for the following: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Black Pearl Compute LLC Senior Secured Notes</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February 11, 2026, the Company’s wholly-owned indirect subsidiary Black Pearl Compute LLC completed its previously announced private offering of 6.125% Senior Secured Notes due 2031. The aggregate principal amount of notes sold in the offering was $2.0 billion.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Name Change</w:t>
      </w:r>
    </w:p>
    <w:p>
      <w:pPr>
        <w:spacing w:after="0" w:line="18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On February 20, 2026, the Board of Directors approved an amendment to our Second Amended and Restated Certificate of Incorporation to change the name of the Company to “Cipher Digital Inc.” The amendment became effective upon filing with the Delaware Secretary of State on February 20, 2026. The Board of Directors also approved and adopted amendments to the Company’s Amended and Restated Bylaws, effective immediately to change the name of the Company to “Cipher Digital Inc.”</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WindHQ JV Sites Sale</w:t>
      </w:r>
    </w:p>
    <w:p>
      <w:pPr>
        <w:spacing w:after="0" w:line="198"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color w:val="auto"/>
        </w:rPr>
        <w:t xml:space="preserve">On February 19, 2026, the Company sold its 49% interests in the WindHQ JV sites to Canaan U.S. Inc. For more details refer to </w:t>
      </w:r>
      <w:r>
        <w:rPr>
          <w:rFonts w:ascii="Times New Roman" w:cs="Times New Roman" w:eastAsia="Times New Roman" w:hAnsi="Times New Roman"/>
          <w:sz w:val="18"/>
          <w:szCs w:val="18"/>
          <w:i w:val="1"/>
          <w:iCs w:val="1"/>
          <w:color w:val="auto"/>
        </w:rPr>
        <w:t>Note 8. Investments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Joint Ventures.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color w:val="auto"/>
        </w:rPr>
        <w:t>SCHEDULE I - CONDENSED PARENT COMPANY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share and per share amounts)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60" w:type="dxa"/>
            <w:vAlign w:val="bottom"/>
          </w:tcPr>
          <w:p>
            <w:pPr>
              <w:spacing w:after="0"/>
              <w:rPr>
                <w:sz w:val="19"/>
                <w:szCs w:val="19"/>
                <w:color w:val="auto"/>
              </w:rPr>
            </w:pPr>
          </w:p>
        </w:tc>
        <w:tc>
          <w:tcPr>
            <w:tcW w:w="154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20"/>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r>
      <w:tr>
        <w:trPr>
          <w:trHeight w:val="273"/>
        </w:trPr>
        <w:tc>
          <w:tcPr>
            <w:tcW w:w="7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16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1,825,812</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682,967</w:t>
            </w:r>
          </w:p>
        </w:tc>
      </w:tr>
      <w:tr>
        <w:trPr>
          <w:trHeight w:val="27"/>
        </w:trPr>
        <w:tc>
          <w:tcPr>
            <w:tcW w:w="76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9" w:lineRule="exact"/>
        <w:rPr>
          <w:sz w:val="20"/>
          <w:szCs w:val="20"/>
          <w:color w:val="auto"/>
        </w:rPr>
      </w:pPr>
    </w:p>
    <w:p>
      <w:pPr>
        <w:sectPr>
          <w:pgSz w:w="11900" w:h="16838" w:orient="portrait"/>
          <w:cols w:equalWidth="0" w:num="1">
            <w:col w:w="11240"/>
          </w:cols>
          <w:pgMar w:left="320" w:top="1035" w:right="339" w:bottom="1440" w:gutter="0" w:footer="0" w:header="0"/>
        </w:sectPr>
      </w:pP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2120" w:type="dxa"/>
            <w:vAlign w:val="bottom"/>
          </w:tcPr>
          <w:p>
            <w:pPr>
              <w:spacing w:after="0"/>
              <w:rPr>
                <w:sz w:val="18"/>
                <w:szCs w:val="18"/>
                <w:color w:val="auto"/>
              </w:rPr>
            </w:pPr>
          </w:p>
        </w:tc>
      </w:tr>
      <w:tr>
        <w:trPr>
          <w:trHeight w:val="311"/>
        </w:trPr>
        <w:tc>
          <w:tcPr>
            <w:tcW w:w="558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120" w:type="dxa"/>
            <w:vAlign w:val="bottom"/>
          </w:tcPr>
          <w:p>
            <w:pPr>
              <w:spacing w:after="0"/>
              <w:rPr>
                <w:sz w:val="21"/>
                <w:szCs w:val="21"/>
                <w:color w:val="auto"/>
              </w:rPr>
            </w:pPr>
          </w:p>
        </w:tc>
      </w:tr>
      <w:tr>
        <w:trPr>
          <w:trHeight w:val="270"/>
        </w:trPr>
        <w:tc>
          <w:tcPr>
            <w:tcW w:w="5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Due to subsidiaries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120" w:type="dxa"/>
            <w:vAlign w:val="bottom"/>
          </w:tcPr>
          <w:p>
            <w:pPr>
              <w:spacing w:after="0"/>
              <w:rPr>
                <w:sz w:val="23"/>
                <w:szCs w:val="23"/>
                <w:color w:val="auto"/>
              </w:rPr>
            </w:pPr>
          </w:p>
        </w:tc>
      </w:tr>
      <w:tr>
        <w:trPr>
          <w:trHeight w:val="270"/>
        </w:trPr>
        <w:tc>
          <w:tcPr>
            <w:tcW w:w="5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Warrant liability</w:t>
            </w:r>
          </w:p>
        </w:tc>
        <w:tc>
          <w:tcPr>
            <w:tcW w:w="2120" w:type="dxa"/>
            <w:vAlign w:val="bottom"/>
          </w:tcPr>
          <w:p>
            <w:pPr>
              <w:spacing w:after="0"/>
              <w:rPr>
                <w:sz w:val="23"/>
                <w:szCs w:val="23"/>
                <w:color w:val="auto"/>
              </w:rPr>
            </w:pPr>
          </w:p>
        </w:tc>
      </w:tr>
      <w:tr>
        <w:trPr>
          <w:trHeight w:val="283"/>
        </w:trPr>
        <w:tc>
          <w:tcPr>
            <w:tcW w:w="5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120" w:type="dxa"/>
            <w:vAlign w:val="bottom"/>
          </w:tcPr>
          <w:p>
            <w:pPr>
              <w:spacing w:after="0"/>
              <w:rPr>
                <w:sz w:val="24"/>
                <w:szCs w:val="24"/>
                <w:color w:val="auto"/>
              </w:rPr>
            </w:pPr>
          </w:p>
        </w:tc>
      </w:tr>
      <w:tr>
        <w:trPr>
          <w:trHeight w:val="270"/>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Long-term borrowings, net</w:t>
            </w:r>
          </w:p>
        </w:tc>
        <w:tc>
          <w:tcPr>
            <w:tcW w:w="2120" w:type="dxa"/>
            <w:vAlign w:val="bottom"/>
          </w:tcPr>
          <w:p>
            <w:pPr>
              <w:spacing w:after="0"/>
              <w:rPr>
                <w:sz w:val="23"/>
                <w:szCs w:val="23"/>
                <w:color w:val="auto"/>
              </w:rPr>
            </w:pPr>
          </w:p>
        </w:tc>
      </w:tr>
      <w:tr>
        <w:trPr>
          <w:trHeight w:val="283"/>
        </w:trPr>
        <w:tc>
          <w:tcPr>
            <w:tcW w:w="5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 liabilities</w:t>
            </w:r>
          </w:p>
        </w:tc>
        <w:tc>
          <w:tcPr>
            <w:tcW w:w="2120" w:type="dxa"/>
            <w:vAlign w:val="bottom"/>
          </w:tcPr>
          <w:p>
            <w:pPr>
              <w:spacing w:after="0"/>
              <w:rPr>
                <w:sz w:val="24"/>
                <w:szCs w:val="24"/>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21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-1187450</wp:posOffset>
            </wp:positionV>
            <wp:extent cx="7132320" cy="171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-844550</wp:posOffset>
            </wp:positionV>
            <wp:extent cx="7132320" cy="171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-492760</wp:posOffset>
            </wp:positionV>
            <wp:extent cx="7132320" cy="1714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543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-1538605</wp:posOffset>
            </wp:positionV>
            <wp:extent cx="7132320" cy="1974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0">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13" w:lineRule="exact"/>
        <w:rPr>
          <w:sz w:val="20"/>
          <w:szCs w:val="20"/>
          <w:color w:val="auto"/>
        </w:rPr>
      </w:pPr>
    </w:p>
    <w:p>
      <w:pPr>
        <w:ind w:left="180" w:right="180"/>
        <w:spacing w:after="0" w:line="280" w:lineRule="auto"/>
        <w:rPr>
          <w:sz w:val="20"/>
          <w:szCs w:val="20"/>
          <w:color w:val="auto"/>
        </w:rPr>
      </w:pPr>
      <w:r>
        <w:rPr>
          <w:rFonts w:ascii="Times New Roman" w:cs="Times New Roman" w:eastAsia="Times New Roman" w:hAnsi="Times New Roman"/>
          <w:sz w:val="16"/>
          <w:szCs w:val="16"/>
          <w:color w:val="auto"/>
        </w:rPr>
        <w:t>Preferred stock, $0.001 par value; 10,000,000 shares authorized, none issued and outstanding as of December 31, 2025, and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5314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1">
                      <a:extLst>
                        <a:ext uri="{28A0092B-C50C-407E-A947-70E740481C1C}"/>
                      </a:extLst>
                    </a:blip>
                    <a:srcRect/>
                    <a:stretch>
                      <a:fillRect/>
                    </a:stretch>
                  </pic:blipFill>
                  <pic:spPr bwMode="auto">
                    <a:xfrm>
                      <a:off x="0" y="0"/>
                      <a:ext cx="7132320" cy="531495"/>
                    </a:xfrm>
                    <a:prstGeom prst="rect">
                      <a:avLst/>
                    </a:prstGeom>
                    <a:noFill/>
                  </pic:spPr>
                </pic:pic>
              </a:graphicData>
            </a:graphic>
          </wp:anchor>
        </w:drawing>
      </w:r>
    </w:p>
    <w:p>
      <w:pPr>
        <w:ind w:left="180" w:right="140"/>
        <w:spacing w:after="0" w:line="263" w:lineRule="auto"/>
        <w:rPr>
          <w:sz w:val="20"/>
          <w:szCs w:val="20"/>
          <w:color w:val="auto"/>
        </w:rPr>
      </w:pPr>
      <w:r>
        <w:rPr>
          <w:rFonts w:ascii="Times New Roman" w:cs="Times New Roman" w:eastAsia="Times New Roman" w:hAnsi="Times New Roman"/>
          <w:sz w:val="16"/>
          <w:szCs w:val="16"/>
          <w:color w:val="auto"/>
        </w:rPr>
        <w:t>Common stock, $0.001 par value, 1,000,000,000 and 500,000,000 shares authorized as of December 31, 2025 and December 31, 2024, respectively, 412,074,529 and 361,432,449 shares issued as of December 31, 2025 and December 31, 2024, respectively, and 404,963,061 and 350,783,817 shares outstanding as of December 31, 2025, and December 31, 2024, respectively</w:t>
      </w:r>
    </w:p>
    <w:p>
      <w:pPr>
        <w:spacing w:after="0" w:line="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Accumulated deficit</w:t>
      </w:r>
    </w:p>
    <w:p>
      <w:pPr>
        <w:spacing w:after="0" w:line="59" w:lineRule="exact"/>
        <w:rPr>
          <w:sz w:val="20"/>
          <w:szCs w:val="20"/>
          <w:color w:val="auto"/>
        </w:rPr>
      </w:pPr>
    </w:p>
    <w:p>
      <w:pPr>
        <w:ind w:left="180" w:right="840"/>
        <w:spacing w:after="0" w:line="280" w:lineRule="auto"/>
        <w:rPr>
          <w:sz w:val="20"/>
          <w:szCs w:val="20"/>
          <w:color w:val="auto"/>
        </w:rPr>
      </w:pPr>
      <w:r>
        <w:rPr>
          <w:rFonts w:ascii="Times New Roman" w:cs="Times New Roman" w:eastAsia="Times New Roman" w:hAnsi="Times New Roman"/>
          <w:sz w:val="16"/>
          <w:szCs w:val="16"/>
          <w:color w:val="auto"/>
        </w:rPr>
        <w:t>Treasury stock, at par, 7,111,468 and 10,648,632 shares at December 31, 2025 and December 31,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797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Total stockholders’ equity</w:t>
      </w:r>
    </w:p>
    <w:p>
      <w:pPr>
        <w:spacing w:after="0" w:line="64" w:lineRule="exact"/>
        <w:rPr>
          <w:sz w:val="20"/>
          <w:szCs w:val="20"/>
          <w:color w:val="auto"/>
        </w:rPr>
      </w:pPr>
    </w:p>
    <w:p>
      <w:pPr>
        <w:ind w:left="180"/>
        <w:spacing w:after="0"/>
        <w:tabs>
          <w:tab w:leader="none" w:pos="7600" w:val="left"/>
        </w:tabs>
        <w:rPr>
          <w:sz w:val="20"/>
          <w:szCs w:val="20"/>
          <w:color w:val="auto"/>
        </w:rPr>
      </w:pPr>
      <w:r>
        <w:rPr>
          <w:rFonts w:ascii="Times New Roman" w:cs="Times New Roman" w:eastAsia="Times New Roman" w:hAnsi="Times New Roman"/>
          <w:sz w:val="16"/>
          <w:szCs w:val="16"/>
          <w:b w:val="1"/>
          <w:bCs w:val="1"/>
          <w:color w:val="auto"/>
        </w:rPr>
        <w:t>Total liabilities, and stockholders’ equity</w:t>
      </w:r>
      <w:r>
        <w:rPr>
          <w:sz w:val="20"/>
          <w:szCs w:val="20"/>
          <w:color w:val="auto"/>
        </w:rPr>
        <w:tab/>
      </w:r>
      <w:r>
        <w:rPr>
          <w:rFonts w:ascii="Times New Roman" w:cs="Times New Roman" w:eastAsia="Times New Roman" w:hAnsi="Times New Roman"/>
          <w:sz w:val="30"/>
          <w:szCs w:val="30"/>
          <w:b w:val="1"/>
          <w:bCs w:val="1"/>
          <w:color w:val="auto"/>
          <w:vertAlign w:val="superscript"/>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544,450</w:t>
            </w:r>
          </w:p>
        </w:tc>
        <w:tc>
          <w:tcPr>
            <w:tcW w:w="5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1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2,370,358</w:t>
            </w: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00" w:type="dxa"/>
            <w:vAlign w:val="bottom"/>
            <w:vMerge w:val="continue"/>
          </w:tcPr>
          <w:p>
            <w:pPr>
              <w:spacing w:after="0"/>
              <w:rPr>
                <w:sz w:val="20"/>
                <w:szCs w:val="20"/>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682,967</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1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81</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70"/>
        </w:trPr>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1,097</w:t>
            </w:r>
          </w:p>
        </w:tc>
        <w:tc>
          <w:tcPr>
            <w:tcW w:w="5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0" w:type="dxa"/>
            <w:vAlign w:val="bottom"/>
          </w:tcPr>
          <w:p>
            <w:pPr>
              <w:spacing w:after="0"/>
              <w:rPr>
                <w:sz w:val="1"/>
                <w:szCs w:val="1"/>
                <w:color w:val="auto"/>
              </w:rPr>
            </w:pPr>
          </w:p>
        </w:tc>
      </w:tr>
      <w:tr>
        <w:trPr>
          <w:trHeight w:val="270"/>
        </w:trPr>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525,160</w:t>
            </w:r>
          </w:p>
        </w:tc>
        <w:tc>
          <w:tcPr>
            <w:tcW w:w="5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526,338</w:t>
            </w:r>
          </w:p>
        </w:tc>
        <w:tc>
          <w:tcPr>
            <w:tcW w:w="5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0" w:type="dxa"/>
            <w:vAlign w:val="bottom"/>
          </w:tcPr>
          <w:p>
            <w:pPr>
              <w:spacing w:after="0"/>
              <w:rPr>
                <w:sz w:val="1"/>
                <w:szCs w:val="1"/>
                <w:color w:val="auto"/>
              </w:rPr>
            </w:pPr>
          </w:p>
        </w:tc>
      </w:tr>
      <w:tr>
        <w:trPr>
          <w:trHeight w:val="270"/>
        </w:trPr>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1,038,485</w:t>
            </w:r>
          </w:p>
        </w:tc>
        <w:tc>
          <w:tcPr>
            <w:tcW w:w="5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1,564,823</w:t>
            </w:r>
          </w:p>
        </w:tc>
        <w:tc>
          <w:tcPr>
            <w:tcW w:w="5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42"/>
        </w:trPr>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90"/>
        </w:trPr>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412</w:t>
            </w:r>
          </w:p>
        </w:tc>
        <w:tc>
          <w:tcPr>
            <w:tcW w:w="5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70"/>
        </w:trPr>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1,808,786</w:t>
            </w:r>
          </w:p>
        </w:tc>
        <w:tc>
          <w:tcPr>
            <w:tcW w:w="5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863,015</w:t>
            </w:r>
          </w:p>
        </w:tc>
        <w:tc>
          <w:tcPr>
            <w:tcW w:w="0" w:type="dxa"/>
            <w:vAlign w:val="bottom"/>
          </w:tcPr>
          <w:p>
            <w:pPr>
              <w:spacing w:after="0"/>
              <w:rPr>
                <w:sz w:val="1"/>
                <w:szCs w:val="1"/>
                <w:color w:val="auto"/>
              </w:rPr>
            </w:pPr>
          </w:p>
        </w:tc>
      </w:tr>
      <w:tr>
        <w:trPr>
          <w:trHeight w:val="270"/>
        </w:trPr>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7"/>
              </w:rPr>
              <w:t>(1,003,656)</w:t>
            </w:r>
          </w:p>
        </w:tc>
        <w:tc>
          <w:tcPr>
            <w:tcW w:w="5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(181,412)</w:t>
            </w:r>
          </w:p>
        </w:tc>
        <w:tc>
          <w:tcPr>
            <w:tcW w:w="0" w:type="dxa"/>
            <w:vAlign w:val="bottom"/>
          </w:tcPr>
          <w:p>
            <w:pPr>
              <w:spacing w:after="0"/>
              <w:rPr>
                <w:sz w:val="1"/>
                <w:szCs w:val="1"/>
                <w:color w:val="auto"/>
              </w:rPr>
            </w:pPr>
          </w:p>
        </w:tc>
      </w:tr>
      <w:tr>
        <w:trPr>
          <w:trHeight w:val="445"/>
        </w:trPr>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w:t>
            </w:r>
          </w:p>
        </w:tc>
        <w:tc>
          <w:tcPr>
            <w:tcW w:w="5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805,535</w:t>
            </w:r>
          </w:p>
        </w:tc>
        <w:tc>
          <w:tcPr>
            <w:tcW w:w="5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681,953</w:t>
            </w:r>
          </w:p>
        </w:tc>
        <w:tc>
          <w:tcPr>
            <w:tcW w:w="0" w:type="dxa"/>
            <w:vAlign w:val="bottom"/>
          </w:tcPr>
          <w:p>
            <w:pPr>
              <w:spacing w:after="0"/>
              <w:rPr>
                <w:sz w:val="1"/>
                <w:szCs w:val="1"/>
                <w:color w:val="auto"/>
              </w:rPr>
            </w:pPr>
          </w:p>
        </w:tc>
      </w:tr>
      <w:tr>
        <w:trPr>
          <w:trHeight w:val="27"/>
        </w:trPr>
        <w:tc>
          <w:tcPr>
            <w:tcW w:w="11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2,370,358</w:t>
            </w: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00" w:type="dxa"/>
            <w:vAlign w:val="bottom"/>
            <w:vMerge w:val="continue"/>
          </w:tcPr>
          <w:p>
            <w:pPr>
              <w:spacing w:after="0"/>
              <w:rPr>
                <w:sz w:val="20"/>
                <w:szCs w:val="20"/>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682,967</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1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-33655</wp:posOffset>
            </wp:positionV>
            <wp:extent cx="108013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4">
                      <a:extLst>
                        <a:ext uri="{28A0092B-C50C-407E-A947-70E740481C1C}"/>
                      </a:extLst>
                    </a:blip>
                    <a:srcRect/>
                    <a:stretch>
                      <a:fillRect/>
                    </a:stretch>
                  </pic:blipFill>
                  <pic:spPr bwMode="auto">
                    <a:xfrm>
                      <a:off x="0" y="0"/>
                      <a:ext cx="108013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-7620</wp:posOffset>
            </wp:positionV>
            <wp:extent cx="10801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5">
                      <a:extLst>
                        <a:ext uri="{28A0092B-C50C-407E-A947-70E740481C1C}"/>
                      </a:extLst>
                    </a:blip>
                    <a:srcRect/>
                    <a:stretch>
                      <a:fillRect/>
                    </a:stretch>
                  </pic:blipFill>
                  <pic:spPr bwMode="auto">
                    <a:xfrm>
                      <a:off x="0" y="0"/>
                      <a:ext cx="108013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-213995</wp:posOffset>
            </wp:positionV>
            <wp:extent cx="10801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6">
                      <a:extLst>
                        <a:ext uri="{28A0092B-C50C-407E-A947-70E740481C1C}"/>
                      </a:extLst>
                    </a:blip>
                    <a:srcRect/>
                    <a:stretch>
                      <a:fillRect/>
                    </a:stretch>
                  </pic:blipFill>
                  <pic:spPr bwMode="auto">
                    <a:xfrm>
                      <a:off x="0" y="0"/>
                      <a:ext cx="108013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-2167890</wp:posOffset>
            </wp:positionV>
            <wp:extent cx="10801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7">
                      <a:extLst>
                        <a:ext uri="{28A0092B-C50C-407E-A947-70E740481C1C}"/>
                      </a:extLst>
                    </a:blip>
                    <a:srcRect/>
                    <a:stretch>
                      <a:fillRect/>
                    </a:stretch>
                  </pic:blipFill>
                  <pic:spPr bwMode="auto">
                    <a:xfrm>
                      <a:off x="0" y="0"/>
                      <a:ext cx="108013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-2519680</wp:posOffset>
            </wp:positionV>
            <wp:extent cx="10801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8">
                      <a:extLst>
                        <a:ext uri="{28A0092B-C50C-407E-A947-70E740481C1C}"/>
                      </a:extLst>
                    </a:blip>
                    <a:srcRect/>
                    <a:stretch>
                      <a:fillRect/>
                    </a:stretch>
                  </pic:blipFill>
                  <pic:spPr bwMode="auto">
                    <a:xfrm>
                      <a:off x="0" y="0"/>
                      <a:ext cx="108013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-3179445</wp:posOffset>
            </wp:positionV>
            <wp:extent cx="10801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9">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7720" w:space="720"/>
            <w:col w:w="2800"/>
          </w:cols>
          <w:pgMar w:left="320" w:top="1035" w:right="339" w:bottom="1440" w:gutter="0" w:footer="0" w:header="0"/>
          <w:type w:val="continuous"/>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125" w:name="page126"/>
    <w:bookmarkEnd w:id="125"/>
    <w:p>
      <w:pPr>
        <w:jc w:val="center"/>
        <w:ind w:right="-819"/>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31"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8"/>
          <w:szCs w:val="18"/>
          <w:color w:val="auto"/>
        </w:rPr>
        <w:t>(in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0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237"/>
        </w:trPr>
        <w:tc>
          <w:tcPr>
            <w:tcW w:w="47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8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Costs and operating (expenses) income</w:t>
            </w:r>
          </w:p>
        </w:tc>
        <w:tc>
          <w:tcPr>
            <w:tcW w:w="10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r>
      <w:tr>
        <w:trPr>
          <w:trHeight w:val="253"/>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10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(51,583)</w:t>
            </w:r>
          </w:p>
        </w:tc>
        <w:tc>
          <w:tcPr>
            <w:tcW w:w="2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(39,673)</w:t>
            </w:r>
          </w:p>
        </w:tc>
        <w:tc>
          <w:tcPr>
            <w:tcW w:w="3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(38,470)</w:t>
            </w:r>
          </w:p>
        </w:tc>
      </w:tr>
      <w:tr>
        <w:trPr>
          <w:trHeight w:val="233"/>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(1,440)</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(2,540)</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(Losses) income from subsidiaries, net of tax</w:t>
            </w:r>
          </w:p>
        </w:tc>
        <w:tc>
          <w:tcPr>
            <w:tcW w:w="10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(365,465)</w:t>
            </w:r>
          </w:p>
        </w:tc>
        <w:tc>
          <w:tcPr>
            <w:tcW w:w="2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(2,422)</w:t>
            </w:r>
          </w:p>
        </w:tc>
        <w:tc>
          <w:tcPr>
            <w:tcW w:w="3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12,936</w:t>
            </w:r>
          </w:p>
        </w:tc>
      </w:tr>
      <w:tr>
        <w:trPr>
          <w:trHeight w:val="237"/>
        </w:trPr>
        <w:tc>
          <w:tcPr>
            <w:tcW w:w="4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10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(418,488)</w:t>
            </w:r>
          </w:p>
        </w:tc>
        <w:tc>
          <w:tcPr>
            <w:tcW w:w="2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(44,635)</w:t>
            </w:r>
          </w:p>
        </w:tc>
        <w:tc>
          <w:tcPr>
            <w:tcW w:w="3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(25,534)</w:t>
            </w:r>
          </w:p>
        </w:tc>
      </w:tr>
      <w:tr>
        <w:trPr>
          <w:trHeight w:val="243"/>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loss</w:t>
            </w:r>
          </w:p>
        </w:tc>
        <w:tc>
          <w:tcPr>
            <w:tcW w:w="10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(418,488)</w:t>
            </w:r>
          </w:p>
        </w:tc>
        <w:tc>
          <w:tcPr>
            <w:tcW w:w="2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(44,635)</w:t>
            </w:r>
          </w:p>
        </w:tc>
        <w:tc>
          <w:tcPr>
            <w:tcW w:w="3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(25,534)</w:t>
            </w:r>
          </w:p>
        </w:tc>
      </w:tr>
      <w:tr>
        <w:trPr>
          <w:trHeight w:val="213"/>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income (expense)</w:t>
            </w: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3"/>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10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(17,667)</w:t>
            </w:r>
          </w:p>
        </w:tc>
        <w:tc>
          <w:tcPr>
            <w:tcW w:w="2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10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19,290</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r>
      <w:tr>
        <w:trPr>
          <w:trHeight w:val="246"/>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expense</w:t>
            </w:r>
          </w:p>
        </w:tc>
        <w:tc>
          <w:tcPr>
            <w:tcW w:w="10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(405,379)</w:t>
            </w:r>
          </w:p>
        </w:tc>
        <w:tc>
          <w:tcPr>
            <w:tcW w:w="2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4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other expense</w:t>
            </w:r>
          </w:p>
        </w:tc>
        <w:tc>
          <w:tcPr>
            <w:tcW w:w="10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(403,756)</w:t>
            </w:r>
          </w:p>
        </w:tc>
        <w:tc>
          <w:tcPr>
            <w:tcW w:w="2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w:t>
            </w:r>
          </w:p>
        </w:tc>
      </w:tr>
      <w:tr>
        <w:trPr>
          <w:trHeight w:val="263"/>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(822,244)</w:t>
            </w: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(44,635)</w:t>
            </w:r>
          </w:p>
        </w:tc>
        <w:tc>
          <w:tcPr>
            <w:tcW w:w="3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(25,777)</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320" w:top="1211" w:right="1159" w:bottom="1440" w:gutter="0" w:footer="0" w:header="0"/>
        </w:sectPr>
      </w:pPr>
    </w:p>
    <w:bookmarkStart w:id="126" w:name="page127"/>
    <w:bookmarkEnd w:id="126"/>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w:t>
      </w:r>
    </w:p>
    <w:p>
      <w:pPr>
        <w:spacing w:after="0" w:line="230"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36830</wp:posOffset>
            </wp:positionV>
            <wp:extent cx="33604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2">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63" w:lineRule="exact"/>
        <w:rPr>
          <w:sz w:val="20"/>
          <w:szCs w:val="20"/>
          <w:color w:val="auto"/>
        </w:rPr>
      </w:pPr>
    </w:p>
    <w:tbl>
      <w:tblPr>
        <w:tblLayout w:type="fixed"/>
        <w:tblInd w:w="640" w:type="dxa"/>
        <w:tblCellMar>
          <w:top w:w="0" w:type="dxa"/>
          <w:left w:w="0" w:type="dxa"/>
          <w:bottom w:w="0" w:type="dxa"/>
          <w:right w:w="0" w:type="dxa"/>
        </w:tblCellMar>
      </w:tblPr>
      <w:tr>
        <w:trPr>
          <w:trHeight w:val="225"/>
        </w:trPr>
        <w:tc>
          <w:tcPr>
            <w:tcW w:w="46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9"/>
        </w:trPr>
        <w:tc>
          <w:tcPr>
            <w:tcW w:w="4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60"/>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(822,244)</w:t>
            </w:r>
          </w:p>
        </w:tc>
        <w:tc>
          <w:tcPr>
            <w:tcW w:w="100" w:type="dxa"/>
            <w:vAlign w:val="bottom"/>
          </w:tcPr>
          <w:p>
            <w:pPr>
              <w:spacing w:after="0"/>
              <w:rPr>
                <w:sz w:val="22"/>
                <w:szCs w:val="22"/>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(44,635)</w:t>
            </w:r>
          </w:p>
        </w:tc>
        <w:tc>
          <w:tcPr>
            <w:tcW w:w="100" w:type="dxa"/>
            <w:vAlign w:val="bottom"/>
          </w:tcPr>
          <w:p>
            <w:pPr>
              <w:spacing w:after="0"/>
              <w:rPr>
                <w:sz w:val="22"/>
                <w:szCs w:val="22"/>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(25,777)</w:t>
            </w:r>
          </w:p>
        </w:tc>
      </w:tr>
      <w:tr>
        <w:trPr>
          <w:trHeight w:val="212"/>
        </w:trPr>
        <w:tc>
          <w:tcPr>
            <w:tcW w:w="4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3"/>
        </w:trPr>
        <w:tc>
          <w:tcPr>
            <w:tcW w:w="4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activities:</w:t>
            </w:r>
          </w:p>
        </w:tc>
        <w:tc>
          <w:tcPr>
            <w:tcW w:w="4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r>
      <w:tr>
        <w:trPr>
          <w:trHeight w:val="260"/>
        </w:trPr>
        <w:tc>
          <w:tcPr>
            <w:tcW w:w="4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Share-based compensation</w:t>
            </w: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52,787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38,470</w:t>
            </w:r>
          </w:p>
        </w:tc>
      </w:tr>
      <w:tr>
        <w:trPr>
          <w:trHeight w:val="280"/>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Equity in losses of subsidiaries</w:t>
            </w: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365,465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(12,936)</w:t>
            </w:r>
          </w:p>
        </w:tc>
      </w:tr>
      <w:tr>
        <w:trPr>
          <w:trHeight w:val="260"/>
        </w:trPr>
        <w:tc>
          <w:tcPr>
            <w:tcW w:w="4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Amortization of debt discount and issuance costs</w:t>
            </w: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0"/>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fair value of derivative assets</w:t>
            </w: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0"/>
        </w:trPr>
        <w:tc>
          <w:tcPr>
            <w:tcW w:w="4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80"/>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fair value of embedded derivative</w:t>
            </w: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450,440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46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r>
      <w:tr>
        <w:trPr>
          <w:trHeight w:val="270"/>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4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4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70"/>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4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68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64"/>
        </w:trPr>
        <w:tc>
          <w:tcPr>
            <w:tcW w:w="46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4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0"/>
        </w:trPr>
        <w:tc>
          <w:tcPr>
            <w:tcW w:w="46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400" w:type="dxa"/>
            <w:vAlign w:val="bottom"/>
          </w:tcPr>
          <w:p>
            <w:pPr>
              <w:spacing w:after="0"/>
              <w:rPr>
                <w:sz w:val="22"/>
                <w:szCs w:val="22"/>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2"/>
                <w:szCs w:val="22"/>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0"/>
        </w:trPr>
        <w:tc>
          <w:tcPr>
            <w:tcW w:w="46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Cash and cash equivalents, beginning of the period</w:t>
            </w:r>
          </w:p>
        </w:tc>
        <w:tc>
          <w:tcPr>
            <w:tcW w:w="4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4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and cash equivalents, end of the period</w:t>
            </w:r>
          </w:p>
        </w:tc>
        <w:tc>
          <w:tcPr>
            <w:tcW w:w="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750"/>
        </w:trPr>
        <w:tc>
          <w:tcPr>
            <w:tcW w:w="4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80" w:type="dxa"/>
            <w:vAlign w:val="bottom"/>
            <w:gridSpan w:val="6"/>
          </w:tcPr>
          <w:p>
            <w:pPr>
              <w:ind w:left="126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320" w:type="dxa"/>
            <w:vAlign w:val="bottom"/>
          </w:tcPr>
          <w:p>
            <w:pPr>
              <w:spacing w:after="0"/>
              <w:rPr>
                <w:sz w:val="24"/>
                <w:szCs w:val="24"/>
                <w:color w:val="auto"/>
              </w:rPr>
            </w:pPr>
          </w:p>
        </w:tc>
      </w:tr>
      <w:tr>
        <w:trPr>
          <w:trHeight w:val="27"/>
        </w:trPr>
        <w:tc>
          <w:tcPr>
            <w:tcW w:w="46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46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87"/>
        </w:trPr>
        <w:tc>
          <w:tcPr>
            <w:tcW w:w="4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w:t>
            </w: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225"/>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activities</w:t>
            </w:r>
          </w:p>
        </w:tc>
        <w:tc>
          <w:tcPr>
            <w:tcW w:w="4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r>
      <w:tr>
        <w:trPr>
          <w:trHeight w:val="233"/>
        </w:trPr>
        <w:tc>
          <w:tcPr>
            <w:tcW w:w="4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 of convertible notes</w:t>
            </w:r>
          </w:p>
        </w:tc>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1,435,138</w:t>
            </w:r>
          </w:p>
        </w:tc>
        <w:tc>
          <w:tcPr>
            <w:tcW w:w="100" w:type="dxa"/>
            <w:vAlign w:val="bottom"/>
          </w:tcPr>
          <w:p>
            <w:pPr>
              <w:spacing w:after="0"/>
              <w:rPr>
                <w:sz w:val="20"/>
                <w:szCs w:val="20"/>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Reclassification of embedded derivative liability to equity</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737,019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4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Issuance of warrant liability</w:t>
            </w:r>
          </w:p>
        </w:tc>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544,450</w:t>
            </w:r>
          </w:p>
        </w:tc>
        <w:tc>
          <w:tcPr>
            <w:tcW w:w="100" w:type="dxa"/>
            <w:vAlign w:val="bottom"/>
          </w:tcPr>
          <w:p>
            <w:pPr>
              <w:spacing w:after="0"/>
              <w:rPr>
                <w:sz w:val="20"/>
                <w:szCs w:val="20"/>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Issuance of common stock</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195,474</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221,695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4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Repurchase of common shares for withholding taxes</w:t>
            </w:r>
          </w:p>
        </w:tc>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89,600</w:t>
            </w:r>
          </w:p>
        </w:tc>
        <w:tc>
          <w:tcPr>
            <w:tcW w:w="100" w:type="dxa"/>
            <w:vAlign w:val="bottom"/>
          </w:tcPr>
          <w:p>
            <w:pPr>
              <w:spacing w:after="0"/>
              <w:rPr>
                <w:sz w:val="20"/>
                <w:szCs w:val="20"/>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27,641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Treasury stock reissued for PIPE investment</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INTRODUCTION AND BASIS OF PRESENTATION</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CDI is the sole managing member of Cipher Mining Technologies Inc. (“CMTI”), which, through its indirect subsidiary, Cipher Compute, issued the 2030 Senior Secured Notes. CDI is limited in its ability to receive distributions (including for the purposes of paying general corporate expenses) from Cipher Compute. The accompanying financial statements (the “Parent Company Only Financial Statements”) should be read in conjunction with the consolidated financial statements and notes thereto of Cipher Digital Inc. For purposes of these condensed financial statements, the Company’s wholly-owned subsidiaries are accounted for using the equity method of accounting.</w:t>
      </w:r>
    </w:p>
    <w:p>
      <w:pPr>
        <w:spacing w:after="0" w:line="200" w:lineRule="exact"/>
        <w:rPr>
          <w:sz w:val="20"/>
          <w:szCs w:val="20"/>
          <w:color w:val="auto"/>
        </w:rPr>
      </w:pPr>
    </w:p>
    <w:p>
      <w:pPr>
        <w:spacing w:after="0" w:line="36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1211" w:right="459" w:bottom="1440" w:gutter="0" w:footer="0" w:header="0"/>
        </w:sectPr>
      </w:pPr>
    </w:p>
    <w:bookmarkStart w:id="127" w:name="page128"/>
    <w:bookmarkEnd w:id="127"/>
    <w:p>
      <w:pPr>
        <w:ind w:left="9880"/>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77" w:lineRule="exact"/>
        <w:rPr>
          <w:sz w:val="20"/>
          <w:szCs w:val="20"/>
          <w:color w:val="auto"/>
        </w:rPr>
      </w:pPr>
    </w:p>
    <w:p>
      <w:pPr>
        <w:ind w:left="2620" w:right="300" w:hanging="2135"/>
        <w:spacing w:after="0" w:line="271" w:lineRule="auto"/>
        <w:rPr>
          <w:sz w:val="20"/>
          <w:szCs w:val="20"/>
          <w:color w:val="auto"/>
        </w:rPr>
      </w:pPr>
      <w:r>
        <w:rPr>
          <w:rFonts w:ascii="Times New Roman" w:cs="Times New Roman" w:eastAsia="Times New Roman" w:hAnsi="Times New Roman"/>
          <w:sz w:val="18"/>
          <w:szCs w:val="18"/>
          <w:b w:val="1"/>
          <w:bCs w:val="1"/>
          <w:color w:val="auto"/>
        </w:rPr>
        <w:t>DESCRIPTION OF THE REGISTRANT’S SECURITIES REGISTERED PURSUANT TO SECTION 12 OF THE SECURITIES EXCHANGE ACT OF 1934, AS AMENDED</w:t>
      </w:r>
    </w:p>
    <w:p>
      <w:pPr>
        <w:spacing w:after="0" w:line="29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following description of the capital stock of Cipher Digital Inc.(f/k/a Cipher Mining Inc.), a Delaware corporation (the “Company,” “we,” “us,” and “our”) and certain provisions of our amended and restated certificate of incorporation as filed with the Secretary of State of Delaware on February 20, 2026 (the “Amended and Restated Certificate of Incorporation”) and the amended and restated bylaws approved by the Board of Directors on February 20, 2026 (the “Bylaws”, together with the Amended and Restated Certificate, the “Governing Documents”) are summaries and are qualified in their entirety by reference to the full text of the Amended and Restated Certificate of Incorporation and Bylaws, copies of which have been filed with the Securities and Exchange Commission, and applicable provisions of the General Corporation Law of the State of Delaware (the “DGCL”).</w:t>
      </w:r>
    </w:p>
    <w:p>
      <w:pPr>
        <w:spacing w:after="0" w:line="81" w:lineRule="exact"/>
        <w:rPr>
          <w:sz w:val="20"/>
          <w:szCs w:val="20"/>
          <w:color w:val="auto"/>
        </w:rPr>
      </w:pPr>
    </w:p>
    <w:p>
      <w:pPr>
        <w:ind w:right="400"/>
        <w:spacing w:after="0" w:line="250" w:lineRule="auto"/>
        <w:rPr>
          <w:sz w:val="20"/>
          <w:szCs w:val="20"/>
          <w:color w:val="auto"/>
        </w:rPr>
      </w:pPr>
      <w:r>
        <w:rPr>
          <w:rFonts w:ascii="Times New Roman" w:cs="Times New Roman" w:eastAsia="Times New Roman" w:hAnsi="Times New Roman"/>
          <w:sz w:val="18"/>
          <w:szCs w:val="18"/>
          <w:color w:val="auto"/>
        </w:rPr>
        <w:t>As of December 31, 2025, we had one class of securities registered under Section 12 of the Securities Exchange Act of 1934, as amended (the “Exchange Act”): common stock, $0.001 par value per share (“common stock”). All shares of our common stock outstanding are fully paid and non-assessable. Defined terms used herein but not otherwise defined shall have the meaning ascribed to such terms in the Company’s Annual Report on Form 10-K for the year ended December 31, 2025 (the “Annual Report”).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31" w:lineRule="exact"/>
        <w:rPr>
          <w:sz w:val="20"/>
          <w:szCs w:val="20"/>
          <w:color w:val="auto"/>
        </w:rPr>
      </w:pPr>
    </w:p>
    <w:p>
      <w:pPr>
        <w:ind w:right="420"/>
        <w:spacing w:after="0" w:line="260" w:lineRule="auto"/>
        <w:rPr>
          <w:sz w:val="20"/>
          <w:szCs w:val="20"/>
          <w:color w:val="auto"/>
        </w:rPr>
      </w:pPr>
      <w:r>
        <w:rPr>
          <w:rFonts w:ascii="Times New Roman" w:cs="Times New Roman" w:eastAsia="Times New Roman" w:hAnsi="Times New Roman"/>
          <w:sz w:val="18"/>
          <w:szCs w:val="18"/>
          <w:color w:val="auto"/>
        </w:rPr>
        <w:t>We are authorized to issue 1,010,000,000 shares of capital stock, consisting of (i) 1,000,000,000 shares of common stock, par value $0.001 per share and (ii) 10,000,000 shares of undesignated preferred stock, par value $0.001 per share.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12"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Voting rights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outstanding share of our common stock entitles the holder thereof to one vote on each matter properly submitted to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for their vote. Except as otherwise required by law, holders of our common stock will not be entitled to vote on any amendment to the Certificate of Incorporation that relates solely to the terms of one or more outstanding series of our preferred stock if the holders of such affected series are entitled, either separately or together as a class with the holders of one or more other such series, to vote thereon pursuant to the Certificate of Incorporation.</w:t>
      </w:r>
    </w:p>
    <w:p>
      <w:pPr>
        <w:spacing w:after="0" w:line="217" w:lineRule="exact"/>
        <w:rPr>
          <w:sz w:val="20"/>
          <w:szCs w:val="20"/>
          <w:color w:val="auto"/>
        </w:rPr>
      </w:pPr>
    </w:p>
    <w:p>
      <w:pPr>
        <w:jc w:val="both"/>
        <w:ind w:right="18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Dividend rights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preferences that may apply to any shares of our preferred stock outstanding at the time, the holders of our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are entitled to receive dividends out of funds legally available if our Board of Directors (the “Board”), in its discretion, determines to issue dividends and then only at the times and in the amounts that the Board may determine.</w:t>
      </w:r>
    </w:p>
    <w:p>
      <w:pPr>
        <w:spacing w:after="0" w:line="164" w:lineRule="exact"/>
        <w:rPr>
          <w:sz w:val="20"/>
          <w:szCs w:val="20"/>
          <w:color w:val="auto"/>
        </w:rPr>
      </w:pPr>
    </w:p>
    <w:p>
      <w:pPr>
        <w:jc w:val="both"/>
        <w:ind w:right="28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Rights upon liquidation: </w:t>
      </w:r>
      <w:r>
        <w:rPr>
          <w:rFonts w:ascii="Times New Roman" w:cs="Times New Roman" w:eastAsia="Times New Roman" w:hAnsi="Times New Roman"/>
          <w:sz w:val="17"/>
          <w:szCs w:val="17"/>
          <w:color w:val="auto"/>
        </w:rPr>
        <w:t>Upon our liquidation, dissolution, or winding-up, the assets legally available for distribution to our shareholders would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be distributable ratably among the holders of our common stock outstanding at that time, subject to prior satisfaction of all outstanding debt and liabilities and the preferential rights of and the payment of liquidation preferences, if any, on any outstanding shares of our preferred stock.</w:t>
      </w:r>
    </w:p>
    <w:p>
      <w:pPr>
        <w:spacing w:after="0" w:line="180"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Other rights</w:t>
      </w:r>
      <w:r>
        <w:rPr>
          <w:rFonts w:ascii="Times New Roman" w:cs="Times New Roman" w:eastAsia="Times New Roman" w:hAnsi="Times New Roman"/>
          <w:sz w:val="18"/>
          <w:szCs w:val="18"/>
          <w:color w:val="auto"/>
        </w:rPr>
        <w:t>. No holder of shares of our common stock will be entitled to preemptive or subscription rights contained in the Certificate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Incorporation or in the Bylaws. There are no redemption or sinking fund provisions applicable to our common stock. The rights, preferences and privileges of holders of our common stock will be subject to those of the holders of any shares of our preferred stock that we may issue in the future.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70" w:lineRule="exact"/>
        <w:rPr>
          <w:sz w:val="20"/>
          <w:szCs w:val="20"/>
          <w:color w:val="auto"/>
        </w:rPr>
      </w:pPr>
    </w:p>
    <w:p>
      <w:pPr>
        <w:jc w:val="both"/>
        <w:ind w:right="40"/>
        <w:spacing w:after="0" w:line="242" w:lineRule="auto"/>
        <w:rPr>
          <w:sz w:val="20"/>
          <w:szCs w:val="20"/>
          <w:color w:val="auto"/>
        </w:rPr>
      </w:pPr>
      <w:r>
        <w:rPr>
          <w:rFonts w:ascii="Times New Roman" w:cs="Times New Roman" w:eastAsia="Times New Roman" w:hAnsi="Times New Roman"/>
          <w:sz w:val="18"/>
          <w:szCs w:val="18"/>
          <w:color w:val="auto"/>
        </w:rPr>
        <w:t>Our preferred stock may be issued from time to time in one or more series. The Board is expressly authorized, subject to any limitations prescribed by the laws of the State of Delaware, to provide, out of unissued shares of our preferred stock that have not been designated as to series, with respect to each series, to establish the number of shares to be included in each such series, to fix the designation, powers (including voting powers), preferences and relative, participating, optional or other special rights, if any, of each such series and any qualifications, limitations or restrictions thereof, and, subject to the rights of such series, to thereafter increase (but not above the total number of authorized shares of our preferred stock) or decrease (but not below the number of shares of such series then outstanding) the number of shares of any such series. The issuance of our preferred stock could have the effect of decreasing the trading price of our common stock, restricting dividends on the capital</w:t>
      </w:r>
    </w:p>
    <w:p>
      <w:pPr>
        <w:sectPr>
          <w:pgSz w:w="11900" w:h="16838" w:orient="portrait"/>
          <w:cols w:equalWidth="0" w:num="1">
            <w:col w:w="10700"/>
          </w:cols>
          <w:pgMar w:left="620" w:top="1008" w:right="579" w:bottom="1440" w:gutter="0" w:footer="0" w:header="0"/>
        </w:sectPr>
      </w:pPr>
    </w:p>
    <w:bookmarkStart w:id="128" w:name="page129"/>
    <w:bookmarkEnd w:id="128"/>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stock of the Company, diluting the voting power of our common stock, impairing the liquidation rights of the capital stock of the Company, or delaying or preventing a change in control of the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of Directors and Vacancies</w:t>
      </w:r>
    </w:p>
    <w:p>
      <w:pPr>
        <w:spacing w:after="0" w:line="2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Subject to the rights of any series of our preferred stock then outstanding to elect additional directors under specified circumstances, the number of directors that constitutes the Board shall be fixed exclusively from time to time by resolution of the Board. The Board shall be divided, with respect to the time for which they severally hold office, into three classes designated as Class I, Class II and Class III, respectively. At each annual meeting of shareholders, directors elected to succeed those directors of the class whose terms then expire shall be elected for a term of office expiring at the third succeeding annual meeting of our shareholders after their election.</w:t>
      </w:r>
    </w:p>
    <w:p>
      <w:pPr>
        <w:spacing w:after="0" w:line="24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Under the Bylaws, except as may be required in the Certificate of Incorporation, directors shall be elected by a plurality of the votes cast by the holders of the shares present in person or represented by proxy at the meeting and entitled to vote on the election of directors.</w:t>
      </w:r>
    </w:p>
    <w:p>
      <w:pPr>
        <w:spacing w:after="0" w:line="20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Each of our directors shall hold office until the annual meeting at which such director’s term expires and until such director’s successor is elected and qualified or until such director’s earlier death, resignation, or removal. Subject to the rights of holders of any series of our preferred stock to elect directors, directors may be removed only as provided by the Certificate of Incorporation and applicable law. All vacancies occurring in the Board and any newly created directorships resulting from any increase in the authorized number of directors shall be filled in the manner set forth below.</w:t>
      </w:r>
    </w:p>
    <w:p>
      <w:pPr>
        <w:spacing w:after="0" w:line="2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the rights of any series of our preferred stock then outstanding, any vacancy occurring in the Board for any cause, and any newly created directorship resulting from any increase in the authorized number of directors, shall be filled only by the affirmative vote of a majority of the directors then in office, even if less than a quorum, or by a sole remaining director, and shall not be filled by the shareholders.</w:t>
      </w:r>
    </w:p>
    <w:p>
      <w:pPr>
        <w:spacing w:after="0" w:line="2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Any director elected in accordance with the preceding sentence shall hold office for a term expiring at the annual meeting of shareholders at which the term of office for the class in which the vacancy was created or occurred or, in the case of newly created directorships, the class to which the director has been assigned expires and until such director’s successor shall have been duly elected and qualified, or until such director’s earlier death, resignation, or removal.</w:t>
      </w:r>
    </w:p>
    <w:p>
      <w:pPr>
        <w:spacing w:after="0" w:line="2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If and for so long as the holders of any series of our preferred stock have the special right to elect additional directors, the then otherwise total authorized number of directors of the Company shall automatically be increased by such specified number of directors, and the holders of such our preferred stock will be entitled to elect the additional directors so provided for or fixed pursuant to the terms of the series of our preferred stock. Each such additional director shall serve until such director’s successor shall have been duly elected and qualified, or until such director’s right to hold such office terminates pursuant to said provisions, whichever occurs earlier, subject to his or her earlier death, resignation, or removal.</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2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Except as otherwise provided by applicable law, the Certificate of Incorporation or the Bylaws, at each meeting of stockholders the holders of a majority of the voting power of the shares of stock issued and outstanding and entitled to vote at the meeting, present in person or represented by proxy, shall constitute a quorum for the transaction of business. If a quorum shall fail to attend any meeting, the chairperson of the meeting or, if directed to be voted on by the chairperson of the meeting, the holders of a majority of the voting power of the shares entitled to vote who are present in person or represented by proxy at the meeting may adjourn the meeting. If the adjournment is for more than thirty (30) days, or if after the adjournment a new record date is fixed for the adjourned meeting, then a notice of the adjourned meeting shall be given to each stockholder of record entitled to vote at the meeting. At the adjourned meeting, the Company may transact any business that might have been transacted at the original meeting. If a quorum is present at the original meeting, it shall also be deemed present at the adjourned meeting.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the Governing Documents</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Governing Documents contain provisions that may delay, defer or discourage another party from acquiring control of the Company. We expect that these provisions, which are summarized below, will discourage coercive takeover practices or inadequate takeover bids. These provisions are also designed to encourage persons seeking to acquire control of the Company to first negotiate with the Board, which we believe may result in an improvement of the terms of any such acquisition in favor of our stockholders. However, they also give the board of directors the power to discourage acquisitions that some stockholders may favor.</w:t>
      </w:r>
    </w:p>
    <w:p>
      <w:pPr>
        <w:sectPr>
          <w:pgSz w:w="11900" w:h="16838" w:orient="portrait"/>
          <w:cols w:equalWidth="0" w:num="1">
            <w:col w:w="10660"/>
          </w:cols>
          <w:pgMar w:left="620" w:top="769" w:right="61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color w:val="auto"/>
        </w:rPr>
        <w:t>Classified Board of Directors</w:t>
      </w:r>
    </w:p>
    <w:p>
      <w:pPr>
        <w:spacing w:after="0" w:line="28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indicated above, the Certificate of Incorporation provides that the Board will be divided into three classes of directors, with each class of directors being elected by the Company stockholders every three years. The classification of directors will have the effect of making it more difficult for stockholders to change the composition of the Board.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but Unissued Capital Stock</w:t>
      </w:r>
    </w:p>
    <w:p>
      <w:pPr>
        <w:spacing w:after="0" w:line="2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Delaware law does not require stockholder approval for any issuance of authorized shares. However, the listing requirements of Nasdaq, which would apply so long as our common stock remains listed on Nasdaq, require stockholder approval of certain issuances equal to or exceeding 20% of the then outstanding voting power or then outstanding number of shares of our common stock. Additional shares that may be issued in the future may be used for a variety of corporate purposes, including future public offerings, to raise additional capital or to facilitate acquisitions.</w:t>
      </w:r>
    </w:p>
    <w:p>
      <w:pPr>
        <w:spacing w:after="0" w:line="2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One of the effects of the existence of unissued and unreserved common stock may be to enable the Board to issue shares to persons friendly to current management, which issuance could render more difficult or discourage an attempt to obtain control of the Company by means of a merger, tender offer, proxy contest or otherwise and thereby protect the continuity of management and possibly deprive stockholders of opportunities to sell their shares of our common stock at prices higher than prevailing market prices.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Meeting, Action by Written Consent and Advance Notice Requirements for Stockholder Proposals</w:t>
      </w:r>
    </w:p>
    <w:p>
      <w:pPr>
        <w:spacing w:after="0" w:line="2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Unless otherwise required by law, and subject to the rights, if any, of the holders of any series of our preferred stock, Special Meetings of the stockholders of the Company, for any purpose or purposes, may be called only by or at the direction of (i) the Board, (ii) the chairperson of the board of directors, (iii) the chief executive officer or (iv) the President, and stockholders of the Company may not take action by written consent in lieu of a meeting. Notice of all meetings of stockholders shall be given in writing stating the date, time and place, if any, of the meeting, the means of remote communications, if any, by which stockholders and proxy holders may be deemed to be present in person and vote at such meeting and the record date for determining the stockholders entitled to vote at the meeting if such date is different from the record date for determining stockholders entitled to notice of the meeting. Such notice shall also set forth the purpose or purposes for which the meeting is called.</w:t>
      </w:r>
    </w:p>
    <w:p>
      <w:pPr>
        <w:spacing w:after="0" w:line="21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Unless otherwise required by applicable law or the Certificate of Incorporation, notice of any meeting of stockholders shall be given not less than ten (10), nor more than sixty (60), days before the date of the meeting to each stockholder of record entitled to vote at such meeting as of the record date for determining stockholders entitled to notice. The Bylaws also provide that any action required or permitted to be taken at any meeting of the Board, or of any committee thereof, may be taken without a meeting if all members of the Board or such committee, as the case may be, consent thereto in writing or by electronic transmission, and the writing or writings or electronic transmission or transmissions are filed with the minutes of proceedings of the Board or committee, as applicable. Such filing shall be in paper form if the minutes are maintained in paper form and shall be in electronic form if the minutes are maintained in electronic form.</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Bylaws provide advance notice procedures for stockholders seeking to bring business before the Company’s annual meeting of stockholders or to nominate candidates for election as directors at an annual meeting of stockholders. The Bylaws also specify certain requirements regarding the form and content of a stockholder’s notice, including disclosure of the proposing stockholders’ agreements, arrangements and understandings made in connection with such a proposal or nomination. These provisions may preclude stockholders from bringing matters before the Company’s annual meeting of stockholders or from making nominations for directors at the Company’s annual meeting of stockholders. We expect that these provisions might also discourage or deter a potential acquirer from conducting a solicitation of proxies to elect the acquirer’s own slate of directors or otherwise attempting to obtain control of the Company. These provisions could have the effect of delaying until the next stockholder meeting any stockholder actions, even if they are favored by the holders of a majority of our outstanding voting securities.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to Certificate of Incorporation and Bylaws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amend or repeal any provision contained in the Certificate of Incorporation in the manner prescribed by the laws of the State of Delaware, and all rights conferred upon stockholders are granted subject to this reservation. Notwithstanding any provision of the Certificate of Incorporation or any provision of law that might otherwise permit a lesser vote or no vote, subject to the rights of any outstanding series of our preferred stock, but in addition to any vote of the holders of any class or series of our stock required by law or by the Certificate of Incorporation, the affirmative vote of the holders of at least two-thirds of the voting power of all of the then-outstanding shares of our capital stock entitled to vote generally in the election of</w:t>
      </w:r>
    </w:p>
    <w:p>
      <w:pPr>
        <w:sectPr>
          <w:pgSz w:w="11900" w:h="16838" w:orient="portrait"/>
          <w:cols w:equalWidth="0" w:num="1">
            <w:col w:w="10660"/>
          </w:cols>
          <w:pgMar w:left="620" w:top="765" w:right="61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color w:val="auto"/>
        </w:rPr>
        <w:t>directors, voting together as a single class, will be required to amend or repeal certain provisions of the Certificate of Incorporation.</w:t>
      </w:r>
    </w:p>
    <w:p>
      <w:pPr>
        <w:spacing w:after="0" w:line="27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Board shall have the power to adopt, amend or repeal the Bylaws. Any adoption, amendment or repeal of the Bylaws by the Board shall require the approval of a majority of the Board. The stockholders shall also have power to adopt, amend or repeal the proposed Bylaws. Notwithstanding any other provision of the Certificate of Incorporation or any provision of law that might otherwise permit a lesser or no vote, but in addition to any vote of the holders of any class or series of stock of the Company required by applicable law or by the Certificate of Incorporation, the affirmative vote of the holders of at least two-thirds of the voting power of all of the then-outstanding shares of the capital stock of the Company entitled to vote generally in the election of directors, voting together as a single class, shall be required for the stockholders to adopt, amend or repeal any provision of the Bylaws.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Delaware Anti-Takeover Statute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Section 203 of the DGCL provides that if a person acquires 15% or more of the voting stock of a Delaware corporation, such person becomes an “interested stockholder” and may not engage in certain “business combinations” with the corporation for a period of three years from the time such person acquired 15% or more of the corporation’s voting stock, unless:</w:t>
      </w:r>
    </w:p>
    <w:p>
      <w:pPr>
        <w:spacing w:after="0" w:line="210" w:lineRule="exact"/>
        <w:rPr>
          <w:sz w:val="20"/>
          <w:szCs w:val="20"/>
          <w:color w:val="auto"/>
        </w:rPr>
      </w:pPr>
    </w:p>
    <w:p>
      <w:pPr>
        <w:ind w:left="660" w:right="340" w:hanging="330"/>
        <w:spacing w:after="0" w:line="261" w:lineRule="auto"/>
        <w:tabs>
          <w:tab w:leader="none" w:pos="65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approves the acquisition of stock or the merger transaction before the time that the person becomes an interested stockholder;</w:t>
      </w:r>
    </w:p>
    <w:p>
      <w:pPr>
        <w:ind w:left="660" w:right="80" w:hanging="330"/>
        <w:spacing w:after="0" w:line="242" w:lineRule="auto"/>
        <w:tabs>
          <w:tab w:leader="none" w:pos="65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interested stockholder owns at least 85% of the outstanding voting stock of the corporation at the time the merger transaction commences (excluding voting stock owned by directors who are also officers and certain employee stock plans);</w:t>
      </w:r>
    </w:p>
    <w:p>
      <w:pPr>
        <w:spacing w:after="0" w:line="1" w:lineRule="exact"/>
        <w:rPr>
          <w:rFonts w:ascii="Times New Roman" w:cs="Times New Roman" w:eastAsia="Times New Roman" w:hAnsi="Times New Roman"/>
          <w:sz w:val="18"/>
          <w:szCs w:val="18"/>
          <w:color w:val="auto"/>
        </w:rPr>
      </w:pPr>
    </w:p>
    <w:p>
      <w:pPr>
        <w:ind w:left="660"/>
        <w:spacing w:after="0" w:line="23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w:t>
      </w:r>
    </w:p>
    <w:p>
      <w:pPr>
        <w:ind w:left="660" w:right="220" w:hanging="330"/>
        <w:spacing w:after="0" w:line="243" w:lineRule="auto"/>
        <w:tabs>
          <w:tab w:leader="none" w:pos="65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transaction is approved by the board of directors and at a meeting of stockholders, not by written consent, by the affirmative vote of 2/3 of the outstanding voting stock which is not owned by the interested stockholder.</w:t>
      </w:r>
    </w:p>
    <w:p>
      <w:pPr>
        <w:spacing w:after="0" w:line="2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Delaware corporation may elect in its certificate of incorporation or bylaws not to be governed by this particular Delaware law. Under the Certificate of Incorporation, we do not opt out of Section 203 of the DGCL and therefore is subject to Section 203.</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Jurisdiction of Certain Actions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Certificate of Incorporation requires, to the fullest extent permitted by law, unless the Company consents in writing to the selection of an alternative forum, that the Court of Chancery of the State of Delaware will be the sole and exclusive forum for: (i) any derivative action or proceeding brought on behalf of the Company; (ii) any action asserting a claim of breach of a fiduciary duty owed by any current or former director, officer, stockholder, employee or agent of the Company to the Company or its stockholders; (iii) any action asserting a claim against the Company arising pursuant to any provision of the DGCL, the Governing Documents or as to which the DGCL confers jurisdiction on the Court of Chancery of the State of Delaware; (iv) any action to interpret, apply, enforce or determine the validity of the Governing Documents; or (v) any action governed by the internal affairs doctrine. In addition, the Bylaws require that, unless the Company consents in writing to the selection of an alternative forum, the federal district courts of United States shall be the sole and exclusive forum for resolving any action asserting a claim arising under the Securities 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for our common stock is Continental Stock Transfer &amp; Trust Company.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of Common Stock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Nasdaq under the trading symbols “CIFR”.</w:t>
      </w:r>
    </w:p>
    <w:p>
      <w:pPr>
        <w:sectPr>
          <w:pgSz w:w="11900" w:h="16838" w:orient="portrait"/>
          <w:cols w:equalWidth="0" w:num="1">
            <w:col w:w="10660"/>
          </w:cols>
          <w:pgMar w:left="620" w:top="769" w:right="61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10.23</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EMPLOYMENT AGREEMENT</w:t>
      </w:r>
    </w:p>
    <w:p>
      <w:pPr>
        <w:spacing w:after="0" w:line="229"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20"/>
          <w:szCs w:val="20"/>
          <w:color w:val="auto"/>
        </w:rPr>
        <w:t>THIS EMPLOYMENT AGREEMENT (this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effective as of October 3, 2025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is entered into by and between Cipher Mining Inc. (together with its subsidiaries and affiliates,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and Gregory Mumford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Executive</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ind w:right="440" w:firstLine="1296"/>
        <w:spacing w:after="0" w:line="283" w:lineRule="auto"/>
        <w:rPr>
          <w:sz w:val="20"/>
          <w:szCs w:val="20"/>
          <w:color w:val="auto"/>
        </w:rPr>
      </w:pPr>
      <w:r>
        <w:rPr>
          <w:rFonts w:ascii="Times New Roman" w:cs="Times New Roman" w:eastAsia="Times New Roman" w:hAnsi="Times New Roman"/>
          <w:sz w:val="20"/>
          <w:szCs w:val="20"/>
          <w:color w:val="auto"/>
        </w:rPr>
        <w:t>WHEREAS, the Company desires to employ the Executive and to enter into an agreement embodying the terms of such employment; and</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WHEREAS, the Executive desires to accept such employment with the Company, subject to the terms and conditions of this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NOW, THEREFORE, IT IS HEREBY AGREED AS FOLLOWS:</w:t>
      </w:r>
    </w:p>
    <w:p>
      <w:pPr>
        <w:spacing w:after="0" w:line="202" w:lineRule="exact"/>
        <w:rPr>
          <w:sz w:val="20"/>
          <w:szCs w:val="20"/>
          <w:color w:val="auto"/>
        </w:rPr>
      </w:pPr>
    </w:p>
    <w:p>
      <w:pPr>
        <w:ind w:firstLine="1304"/>
        <w:spacing w:after="0" w:line="215" w:lineRule="auto"/>
        <w:tabs>
          <w:tab w:leader="none" w:pos="1944"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Employment Period</w:t>
      </w:r>
      <w:r>
        <w:rPr>
          <w:rFonts w:ascii="Times New Roman" w:cs="Times New Roman" w:eastAsia="Times New Roman" w:hAnsi="Times New Roman"/>
          <w:sz w:val="20"/>
          <w:szCs w:val="20"/>
          <w:color w:val="auto"/>
        </w:rPr>
        <w:t>. Subject to the provisions for earlier termination hereinafter provided, the Executive’s employment hereunder shall be for a term (the “</w:t>
      </w:r>
      <w:r>
        <w:rPr>
          <w:rFonts w:ascii="Times New Roman" w:cs="Times New Roman" w:eastAsia="Times New Roman" w:hAnsi="Times New Roman"/>
          <w:sz w:val="20"/>
          <w:szCs w:val="20"/>
          <w:b w:val="1"/>
          <w:bCs w:val="1"/>
          <w:i w:val="1"/>
          <w:iCs w:val="1"/>
          <w:color w:val="auto"/>
        </w:rPr>
        <w:t>Employment Period</w:t>
      </w:r>
      <w:r>
        <w:rPr>
          <w:rFonts w:ascii="Times New Roman" w:cs="Times New Roman" w:eastAsia="Times New Roman" w:hAnsi="Times New Roman"/>
          <w:sz w:val="20"/>
          <w:szCs w:val="20"/>
          <w:color w:val="auto"/>
        </w:rPr>
        <w:t>”) commencing on October 14, 2025 (the “</w:t>
      </w:r>
      <w:r>
        <w:rPr>
          <w:rFonts w:ascii="Times New Roman" w:cs="Times New Roman" w:eastAsia="Times New Roman" w:hAnsi="Times New Roman"/>
          <w:sz w:val="20"/>
          <w:szCs w:val="20"/>
          <w:b w:val="1"/>
          <w:bCs w:val="1"/>
          <w:i w:val="1"/>
          <w:iCs w:val="1"/>
          <w:color w:val="auto"/>
        </w:rPr>
        <w:t>Employment Start Date</w:t>
      </w:r>
      <w:r>
        <w:rPr>
          <w:rFonts w:ascii="Times New Roman" w:cs="Times New Roman" w:eastAsia="Times New Roman" w:hAnsi="Times New Roman"/>
          <w:sz w:val="20"/>
          <w:szCs w:val="20"/>
          <w:color w:val="auto"/>
        </w:rPr>
        <w:t>”) and ending on May 11, 2026. The Employment Period shall automatically renew for additional twelve (12) month periods unless no later than thirty (30) days prior to the end of the applicable Employment Period either party gives written notice of non-renewal (“</w:t>
      </w:r>
      <w:r>
        <w:rPr>
          <w:rFonts w:ascii="Times New Roman" w:cs="Times New Roman" w:eastAsia="Times New Roman" w:hAnsi="Times New Roman"/>
          <w:sz w:val="20"/>
          <w:szCs w:val="20"/>
          <w:b w:val="1"/>
          <w:bCs w:val="1"/>
          <w:i w:val="1"/>
          <w:iCs w:val="1"/>
          <w:color w:val="auto"/>
        </w:rPr>
        <w:t>Notice of Non-Renewal</w:t>
      </w:r>
      <w:r>
        <w:rPr>
          <w:rFonts w:ascii="Times New Roman" w:cs="Times New Roman" w:eastAsia="Times New Roman" w:hAnsi="Times New Roman"/>
          <w:sz w:val="20"/>
          <w:szCs w:val="20"/>
          <w:color w:val="auto"/>
        </w:rPr>
        <w:t>”) to the other, in which case Executive’s employment will terminate at the end of the then-applicable Employment Period, subject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to earlier termination as provided in Section 3 hereof. The Executive’s employment hereunder is terminable at will by the Company or by the Executive at any time (for any reason or for no reason), subject to the provisions of Section 4 hereof.</w:t>
      </w:r>
    </w:p>
    <w:p>
      <w:pPr>
        <w:spacing w:after="0" w:line="164"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Terms of Employment</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1940" w:hanging="636"/>
        <w:spacing w:after="0"/>
        <w:tabs>
          <w:tab w:leader="none" w:pos="194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Position and Duties</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ind w:left="660" w:right="20" w:firstLine="1292"/>
        <w:spacing w:after="0" w:line="214" w:lineRule="auto"/>
        <w:tabs>
          <w:tab w:leader="none" w:pos="2602"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Role and Responsibilities</w:t>
      </w:r>
      <w:r>
        <w:rPr>
          <w:rFonts w:ascii="Times New Roman" w:cs="Times New Roman" w:eastAsia="Times New Roman" w:hAnsi="Times New Roman"/>
          <w:sz w:val="20"/>
          <w:szCs w:val="20"/>
          <w:color w:val="auto"/>
        </w:rPr>
        <w:t>. During the Employment Period, the Executive shall serve as Chief Financial Officer of the Company, and shall perform such employment duties as are usual and customary for such positions. The Executive shall report directly to the Chief Executive Officer of the Company. At the Company’s request, the Executive shall serve the Company and/or its subsidiaries and affiliates in other capacities in addition to the foregoing, consistent with the Executive’s position as Chief Financial Officer of the Company. In the event that the Executive, during the Employment Period, serves in any one or more of such additional capacities, the Executive’s compensation shall not be increased beyond that specified in Section 2(b) hereof. In addition, in the event the Executive’s service in one or more of such additional capacities is terminated, the Executive’s compensation, as specified in Section 2(b) hereof, shall not be diminished or reduced in any manner as a result of such termination provided that the Executive otherwise remains employed under the terms of this Agreement.</w:t>
      </w:r>
    </w:p>
    <w:p>
      <w:pPr>
        <w:spacing w:after="0" w:line="152" w:lineRule="exact"/>
        <w:rPr>
          <w:rFonts w:ascii="Times New Roman" w:cs="Times New Roman" w:eastAsia="Times New Roman" w:hAnsi="Times New Roman"/>
          <w:sz w:val="20"/>
          <w:szCs w:val="20"/>
          <w:color w:val="auto"/>
        </w:rPr>
      </w:pPr>
    </w:p>
    <w:p>
      <w:pPr>
        <w:ind w:left="660" w:right="40" w:firstLine="1292"/>
        <w:spacing w:after="0" w:line="215" w:lineRule="auto"/>
        <w:tabs>
          <w:tab w:leader="none" w:pos="2603"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Exclusivity</w:t>
      </w:r>
      <w:r>
        <w:rPr>
          <w:rFonts w:ascii="Times New Roman" w:cs="Times New Roman" w:eastAsia="Times New Roman" w:hAnsi="Times New Roman"/>
          <w:sz w:val="20"/>
          <w:szCs w:val="20"/>
          <w:color w:val="auto"/>
        </w:rPr>
        <w:t xml:space="preserve">. During the Employment Period, and excluding any periods of vacation and sick leave to which the Executive may be entitled, the Executive agrees to devote his full business time and attention to the business and affairs of the Company. Notwithstanding the foregoing, during the Employment Period, it shall not be a violation of this Agreement for the Executive to: (A) serve on boards, committees or similar bodies of charitable or nonprofit organizations, (B) fulfill limited teaching, speaking and writing engagements, (C) manage his personal investments and (D) continue to serve on the board of directors or advisory board of the companies and organizations set forth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attached hereto, in each case, so long as such activities do not individually or in the aggregate materially interfere or conflict with the performance of the Executive’s duties and responsibilities under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w:t>
      </w:r>
    </w:p>
    <w:p>
      <w:pPr>
        <w:sectPr>
          <w:pgSz w:w="11900" w:h="16838" w:orient="portrait"/>
          <w:cols w:equalWidth="0" w:num="1">
            <w:col w:w="11240"/>
          </w:cols>
          <w:pgMar w:left="320" w:top="1413" w:right="339" w:bottom="1440" w:gutter="0" w:footer="0" w:header="0"/>
        </w:sectPr>
      </w:pPr>
    </w:p>
    <w:bookmarkStart w:id="132" w:name="page133"/>
    <w:bookmarkEnd w:id="132"/>
    <w:p>
      <w:pPr>
        <w:ind w:left="4" w:right="140"/>
        <w:spacing w:after="0"/>
        <w:rPr>
          <w:sz w:val="20"/>
          <w:szCs w:val="20"/>
          <w:color w:val="auto"/>
        </w:rPr>
      </w:pPr>
      <w:r>
        <w:rPr>
          <w:rFonts w:ascii="Times New Roman" w:cs="Times New Roman" w:eastAsia="Times New Roman" w:hAnsi="Times New Roman"/>
          <w:sz w:val="20"/>
          <w:szCs w:val="20"/>
          <w:color w:val="auto"/>
        </w:rPr>
        <w:t>with respect to the activities in subclauses (A) and/or (B), the Executive receives prior written approval from the Board of Directors of the Company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ind w:left="4" w:firstLine="1292"/>
        <w:spacing w:after="0" w:line="222" w:lineRule="auto"/>
        <w:tabs>
          <w:tab w:leader="none" w:pos="1948"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Principal Location</w:t>
      </w:r>
      <w:r>
        <w:rPr>
          <w:rFonts w:ascii="Times New Roman" w:cs="Times New Roman" w:eastAsia="Times New Roman" w:hAnsi="Times New Roman"/>
          <w:sz w:val="20"/>
          <w:szCs w:val="20"/>
          <w:color w:val="auto"/>
        </w:rPr>
        <w:t xml:space="preserve">. During the Employment Period, the Executive shall perform the services required by this Agreement from the Company’s principal executive offices (currently located at One Vanderbilt Avenue, Floor 54, New York, New York 10017),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Executive may be required to travel to other locations as may be necessary to fulfill the Executive’s duties and responsibilities hereunder.</w:t>
      </w:r>
    </w:p>
    <w:p>
      <w:pPr>
        <w:spacing w:after="0" w:line="161" w:lineRule="exact"/>
        <w:rPr>
          <w:rFonts w:ascii="Times New Roman" w:cs="Times New Roman" w:eastAsia="Times New Roman" w:hAnsi="Times New Roman"/>
          <w:sz w:val="20"/>
          <w:szCs w:val="20"/>
          <w:color w:val="auto"/>
        </w:rPr>
      </w:pPr>
    </w:p>
    <w:p>
      <w:pPr>
        <w:ind w:left="1284" w:hanging="636"/>
        <w:spacing w:after="0"/>
        <w:tabs>
          <w:tab w:leader="none" w:pos="1284"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Compensation and Benefits</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ind w:left="4" w:right="160" w:firstLine="1292"/>
        <w:spacing w:after="0" w:line="217" w:lineRule="auto"/>
        <w:tabs>
          <w:tab w:leader="none" w:pos="1946"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Base Salary</w:t>
      </w:r>
      <w:r>
        <w:rPr>
          <w:rFonts w:ascii="Times New Roman" w:cs="Times New Roman" w:eastAsia="Times New Roman" w:hAnsi="Times New Roman"/>
          <w:sz w:val="20"/>
          <w:szCs w:val="20"/>
          <w:color w:val="auto"/>
        </w:rPr>
        <w:t>. During the Employment Period, the Executive shall receive a base salary (the “</w:t>
      </w:r>
      <w:r>
        <w:rPr>
          <w:rFonts w:ascii="Times New Roman" w:cs="Times New Roman" w:eastAsia="Times New Roman" w:hAnsi="Times New Roman"/>
          <w:sz w:val="20"/>
          <w:szCs w:val="20"/>
          <w:b w:val="1"/>
          <w:bCs w:val="1"/>
          <w:i w:val="1"/>
          <w:iCs w:val="1"/>
          <w:color w:val="auto"/>
        </w:rPr>
        <w:t>Base Salary</w:t>
      </w:r>
      <w:r>
        <w:rPr>
          <w:rFonts w:ascii="Times New Roman" w:cs="Times New Roman" w:eastAsia="Times New Roman" w:hAnsi="Times New Roman"/>
          <w:sz w:val="20"/>
          <w:szCs w:val="20"/>
          <w:color w:val="auto"/>
        </w:rPr>
        <w:t>”) of $500,000 per annum. The Base Salary shall be reviewed annually by the Compensation Committee (the “</w:t>
      </w:r>
      <w:r>
        <w:rPr>
          <w:rFonts w:ascii="Times New Roman" w:cs="Times New Roman" w:eastAsia="Times New Roman" w:hAnsi="Times New Roman"/>
          <w:sz w:val="20"/>
          <w:szCs w:val="20"/>
          <w:b w:val="1"/>
          <w:bCs w:val="1"/>
          <w:i w:val="1"/>
          <w:iCs w:val="1"/>
          <w:color w:val="auto"/>
        </w:rPr>
        <w:t>Compensation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Committee</w:t>
      </w:r>
      <w:r>
        <w:rPr>
          <w:rFonts w:ascii="Times New Roman" w:cs="Times New Roman" w:eastAsia="Times New Roman" w:hAnsi="Times New Roman"/>
          <w:sz w:val="20"/>
          <w:szCs w:val="20"/>
          <w:color w:val="auto"/>
        </w:rPr>
        <w:t>”) of the Board and may be increased from time to time by the Compensation Committee in its sole discretion. The Base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Salary shall be paid in accordance with the Company’s normal payroll practices for executive salaries generally, but no less often than monthly. The Base Salary may be increased in the Compensation Committee’s discretion, but not reduced, and the term “Base Salary” as utilized in this Agreement shall refer to the Base Salary as so increased.</w:t>
      </w:r>
    </w:p>
    <w:p>
      <w:pPr>
        <w:spacing w:after="0" w:line="160" w:lineRule="exact"/>
        <w:rPr>
          <w:sz w:val="20"/>
          <w:szCs w:val="20"/>
          <w:color w:val="auto"/>
        </w:rPr>
      </w:pPr>
    </w:p>
    <w:p>
      <w:pPr>
        <w:ind w:left="4" w:firstLine="1292"/>
        <w:spacing w:after="0" w:line="213" w:lineRule="auto"/>
        <w:tabs>
          <w:tab w:leader="none" w:pos="1947"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Sign-on Equity Award</w:t>
      </w:r>
      <w:r>
        <w:rPr>
          <w:rFonts w:ascii="Times New Roman" w:cs="Times New Roman" w:eastAsia="Times New Roman" w:hAnsi="Times New Roman"/>
          <w:sz w:val="20"/>
          <w:szCs w:val="20"/>
          <w:color w:val="auto"/>
        </w:rPr>
        <w:t>. Following the Employment Start Date, and subject to approval by the Board or the Compensation Committee, the Executive will receive an award of 375,000 restricted stock units (the “</w:t>
      </w:r>
      <w:r>
        <w:rPr>
          <w:rFonts w:ascii="Times New Roman" w:cs="Times New Roman" w:eastAsia="Times New Roman" w:hAnsi="Times New Roman"/>
          <w:sz w:val="20"/>
          <w:szCs w:val="20"/>
          <w:b w:val="1"/>
          <w:bCs w:val="1"/>
          <w:i w:val="1"/>
          <w:iCs w:val="1"/>
          <w:color w:val="auto"/>
        </w:rPr>
        <w:t>Sign-on Equity Award</w:t>
      </w:r>
      <w:r>
        <w:rPr>
          <w:rFonts w:ascii="Times New Roman" w:cs="Times New Roman" w:eastAsia="Times New Roman" w:hAnsi="Times New Roman"/>
          <w:sz w:val="20"/>
          <w:szCs w:val="20"/>
          <w:color w:val="auto"/>
        </w:rPr>
        <w:t>”). The Sign-on Equity Award will be granted pursuant to the Cipher Mining Inc. 2021 Incentive Award Plan (as amended from time to time, the “</w:t>
      </w:r>
      <w:r>
        <w:rPr>
          <w:rFonts w:ascii="Times New Roman" w:cs="Times New Roman" w:eastAsia="Times New Roman" w:hAnsi="Times New Roman"/>
          <w:sz w:val="20"/>
          <w:szCs w:val="20"/>
          <w:b w:val="1"/>
          <w:bCs w:val="1"/>
          <w:i w:val="1"/>
          <w:iCs w:val="1"/>
          <w:color w:val="auto"/>
        </w:rPr>
        <w:t>Incentive Award Plan</w:t>
      </w:r>
      <w:r>
        <w:rPr>
          <w:rFonts w:ascii="Times New Roman" w:cs="Times New Roman" w:eastAsia="Times New Roman" w:hAnsi="Times New Roman"/>
          <w:sz w:val="20"/>
          <w:szCs w:val="20"/>
          <w:color w:val="auto"/>
        </w:rPr>
        <w:t>”) and subject to the terms and conditions (including any vesting and forfeiture conditions) thereunder and any applicable award agreement. The Sign-on Equity Award will vest in substantially equal annual installments over a three-year period commencing on the Employment Start Date, subject to the Executive’s continued employment or service through each applicable vesting date as set forth in the applicable award agreement.</w:t>
      </w:r>
    </w:p>
    <w:p>
      <w:pPr>
        <w:spacing w:after="0" w:line="164" w:lineRule="exact"/>
        <w:rPr>
          <w:rFonts w:ascii="Times New Roman" w:cs="Times New Roman" w:eastAsia="Times New Roman" w:hAnsi="Times New Roman"/>
          <w:sz w:val="20"/>
          <w:szCs w:val="20"/>
          <w:color w:val="auto"/>
        </w:rPr>
      </w:pPr>
    </w:p>
    <w:p>
      <w:pPr>
        <w:ind w:left="4" w:firstLine="1292"/>
        <w:spacing w:after="0" w:line="215" w:lineRule="auto"/>
        <w:tabs>
          <w:tab w:leader="none" w:pos="1948"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Cash Bonus</w:t>
      </w:r>
      <w:r>
        <w:rPr>
          <w:rFonts w:ascii="Times New Roman" w:cs="Times New Roman" w:eastAsia="Times New Roman" w:hAnsi="Times New Roman"/>
          <w:sz w:val="20"/>
          <w:szCs w:val="20"/>
          <w:color w:val="auto"/>
        </w:rPr>
        <w:t>. In addition to the Base Salary, the Executive shall be eligible to earn, for each fiscal year of the Company ending during the Employment Period, a discretionary cash performance bonus (an “</w:t>
      </w:r>
      <w:r>
        <w:rPr>
          <w:rFonts w:ascii="Times New Roman" w:cs="Times New Roman" w:eastAsia="Times New Roman" w:hAnsi="Times New Roman"/>
          <w:sz w:val="20"/>
          <w:szCs w:val="20"/>
          <w:b w:val="1"/>
          <w:bCs w:val="1"/>
          <w:i w:val="1"/>
          <w:iCs w:val="1"/>
          <w:color w:val="auto"/>
        </w:rPr>
        <w:t>Annual Bonus</w:t>
      </w:r>
      <w:r>
        <w:rPr>
          <w:rFonts w:ascii="Times New Roman" w:cs="Times New Roman" w:eastAsia="Times New Roman" w:hAnsi="Times New Roman"/>
          <w:sz w:val="20"/>
          <w:szCs w:val="20"/>
          <w:color w:val="auto"/>
        </w:rPr>
        <w:t xml:space="preserve">”) under the Company’s bonus plan, program or arrangement applicable to similarly situated senior executives from time to time. Subject to Section 4(a)(i) hereof, payment of any Annual Bonus(es), to the extent any Annual Bonus(es) become payable, will be contingent upon the Executive’s continued employment through the applicable payment date, which shall occur on the date on which annual bonuses are paid generally to the Company’s senior executives. The Annual Bonus payable with respect to the 2025 fiscal year shall be prorated based on the number of days the Executive is employed during the 2025 fiscal year </w:t>
      </w:r>
      <w:r>
        <w:rPr>
          <w:rFonts w:ascii="Times New Roman" w:cs="Times New Roman" w:eastAsia="Times New Roman" w:hAnsi="Times New Roman"/>
          <w:sz w:val="20"/>
          <w:szCs w:val="20"/>
          <w:i w:val="1"/>
          <w:iCs w:val="1"/>
          <w:color w:val="auto"/>
        </w:rPr>
        <w:t>divided</w:t>
      </w:r>
      <w:r>
        <w:rPr>
          <w:rFonts w:ascii="Times New Roman" w:cs="Times New Roman" w:eastAsia="Times New Roman" w:hAnsi="Times New Roman"/>
          <w:sz w:val="20"/>
          <w:szCs w:val="20"/>
          <w:color w:val="auto"/>
        </w:rPr>
        <w:t xml:space="preserve"> by 365.</w:t>
      </w:r>
    </w:p>
    <w:p>
      <w:pPr>
        <w:spacing w:after="0" w:line="164" w:lineRule="exact"/>
        <w:rPr>
          <w:rFonts w:ascii="Times New Roman" w:cs="Times New Roman" w:eastAsia="Times New Roman" w:hAnsi="Times New Roman"/>
          <w:sz w:val="20"/>
          <w:szCs w:val="20"/>
          <w:color w:val="auto"/>
        </w:rPr>
      </w:pPr>
    </w:p>
    <w:p>
      <w:pPr>
        <w:ind w:left="4" w:right="120" w:firstLine="1292"/>
        <w:spacing w:after="0" w:line="219" w:lineRule="auto"/>
        <w:tabs>
          <w:tab w:leader="none" w:pos="1937" w:val="left"/>
        </w:tabs>
        <w:numPr>
          <w:ilvl w:val="1"/>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Benefits</w:t>
      </w:r>
      <w:r>
        <w:rPr>
          <w:rFonts w:ascii="Times New Roman" w:cs="Times New Roman" w:eastAsia="Times New Roman" w:hAnsi="Times New Roman"/>
          <w:sz w:val="19"/>
          <w:szCs w:val="19"/>
          <w:color w:val="auto"/>
        </w:rPr>
        <w:t>. During the Employment Period, the Executive (and the Executive’s spouse and/or eligible dependents to the extent provided in the applicable plans and programs) shall be eligible to participate in and be covered under the health and welfare benefit plans and programs maintained by the Company for the benefit of its employees from time to time, pursuant to the terms of such plans and programs including any medical, life, hospitalization, dental, disability, accidental death and dismemberment and travel accident insurance plans and programs. During the Employment Period, the Company shall provide the Executive and the Executive’s eligible dependents with coverage under its group health plans. In addition, during the Employment Period, Executive shall be eligible to participate in any retirement, savings and other employee benefit plans and programs maintained from time to time by the Company for the benefit of its senior executive officers. Nothing contained in this Section 2(b)</w:t>
      </w:r>
    </w:p>
    <w:p>
      <w:pPr>
        <w:spacing w:after="0" w:line="6" w:lineRule="exact"/>
        <w:rPr>
          <w:rFonts w:ascii="Times New Roman" w:cs="Times New Roman" w:eastAsia="Times New Roman" w:hAnsi="Times New Roman"/>
          <w:sz w:val="19"/>
          <w:szCs w:val="19"/>
          <w:color w:val="auto"/>
        </w:rPr>
      </w:pPr>
    </w:p>
    <w:p>
      <w:pPr>
        <w:ind w:left="4" w:right="260" w:hanging="4"/>
        <w:spacing w:after="0" w:line="218" w:lineRule="auto"/>
        <w:tabs>
          <w:tab w:leader="none" w:pos="35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create or be deemed to create any obligation on the part of the Company to adopt or maintain any health, welfare, retirement or other benefit plan or program at any time or to create any limitation on the Company’s ability to modify or terminate any such plan or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0564"/>
          </w:cols>
          <w:pgMar w:left="976" w:top="1399" w:right="359" w:bottom="1440" w:gutter="0" w:footer="0" w:header="0"/>
        </w:sectPr>
      </w:pPr>
    </w:p>
    <w:bookmarkStart w:id="133" w:name="page134"/>
    <w:bookmarkEnd w:id="133"/>
    <w:p>
      <w:pPr>
        <w:jc w:val="both"/>
        <w:ind w:left="620" w:right="280" w:firstLine="1292"/>
        <w:spacing w:after="0" w:line="222" w:lineRule="auto"/>
        <w:tabs>
          <w:tab w:leader="none" w:pos="2552"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Incentive Award Plan</w:t>
      </w:r>
      <w:r>
        <w:rPr>
          <w:rFonts w:ascii="Times New Roman" w:cs="Times New Roman" w:eastAsia="Times New Roman" w:hAnsi="Times New Roman"/>
          <w:sz w:val="20"/>
          <w:szCs w:val="20"/>
          <w:color w:val="auto"/>
        </w:rPr>
        <w:t>. During the Employment Period, the Executive shall be eligible to participate in the Incentive Award Plan pursuant to the terms and conditions of the Incentive Award Plan and any award agreement thereunder. Any grant made to the Executive pursuant to the Incentive Award Plan shall be subject to approval by the Board or the Compensation Committee.</w:t>
      </w:r>
    </w:p>
    <w:p>
      <w:pPr>
        <w:spacing w:after="0" w:line="161" w:lineRule="exact"/>
        <w:rPr>
          <w:rFonts w:ascii="Times New Roman" w:cs="Times New Roman" w:eastAsia="Times New Roman" w:hAnsi="Times New Roman"/>
          <w:sz w:val="20"/>
          <w:szCs w:val="20"/>
          <w:color w:val="auto"/>
        </w:rPr>
      </w:pPr>
    </w:p>
    <w:p>
      <w:pPr>
        <w:ind w:left="620" w:right="140" w:firstLine="1292"/>
        <w:spacing w:after="0" w:line="226" w:lineRule="auto"/>
        <w:tabs>
          <w:tab w:leader="none" w:pos="2553"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Expenses</w:t>
      </w:r>
      <w:r>
        <w:rPr>
          <w:rFonts w:ascii="Times New Roman" w:cs="Times New Roman" w:eastAsia="Times New Roman" w:hAnsi="Times New Roman"/>
          <w:sz w:val="20"/>
          <w:szCs w:val="20"/>
          <w:color w:val="auto"/>
        </w:rPr>
        <w:t>. During the Employment Period, the Executive shall be entitled to receive prompt reimbursement for all reasonable business expenses incurred by the Executive in accordance with the policies, practices and procedures of the Company provided to employees of the Company.</w:t>
      </w:r>
    </w:p>
    <w:p>
      <w:pPr>
        <w:spacing w:after="0" w:line="160" w:lineRule="exact"/>
        <w:rPr>
          <w:rFonts w:ascii="Times New Roman" w:cs="Times New Roman" w:eastAsia="Times New Roman" w:hAnsi="Times New Roman"/>
          <w:sz w:val="20"/>
          <w:szCs w:val="20"/>
          <w:color w:val="auto"/>
        </w:rPr>
      </w:pPr>
    </w:p>
    <w:p>
      <w:pPr>
        <w:ind w:left="620" w:right="140" w:firstLine="1292"/>
        <w:spacing w:after="0" w:line="222" w:lineRule="auto"/>
        <w:tabs>
          <w:tab w:leader="none" w:pos="2553"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Fringe Benefits</w:t>
      </w:r>
      <w:r>
        <w:rPr>
          <w:rFonts w:ascii="Times New Roman" w:cs="Times New Roman" w:eastAsia="Times New Roman" w:hAnsi="Times New Roman"/>
          <w:sz w:val="20"/>
          <w:szCs w:val="20"/>
          <w:color w:val="auto"/>
        </w:rPr>
        <w:t>. During the Employment Period, the Executive shall be eligible to receive such fringe benefits and perquisites as are provided by the Company to similarly situated employees from time to time, in accordance with the policies, practices and procedures of the Company, and shall receive such additional fringe benefits and perquisites as the Company may, in its discretion, from time-to-time provide.</w:t>
      </w:r>
    </w:p>
    <w:p>
      <w:pPr>
        <w:spacing w:after="0" w:line="148" w:lineRule="exact"/>
        <w:rPr>
          <w:rFonts w:ascii="Times New Roman" w:cs="Times New Roman" w:eastAsia="Times New Roman" w:hAnsi="Times New Roman"/>
          <w:sz w:val="20"/>
          <w:szCs w:val="20"/>
          <w:color w:val="auto"/>
        </w:rPr>
      </w:pPr>
    </w:p>
    <w:p>
      <w:pPr>
        <w:ind w:left="620" w:firstLine="1292"/>
        <w:spacing w:after="0" w:line="218" w:lineRule="auto"/>
        <w:tabs>
          <w:tab w:leader="none" w:pos="2555"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Vacation</w:t>
      </w:r>
      <w:r>
        <w:rPr>
          <w:rFonts w:ascii="Times New Roman" w:cs="Times New Roman" w:eastAsia="Times New Roman" w:hAnsi="Times New Roman"/>
          <w:sz w:val="20"/>
          <w:szCs w:val="20"/>
          <w:color w:val="auto"/>
        </w:rPr>
        <w:t xml:space="preserve">. During the Employment Period, the Executive shall be entitled to paid vacation in accordance with the plans, policies, programs and practices of the Company applicable to its senior executives, but in no event shall the Executive accrue less than four (4) weeks of vacation per calendar year (pro-rated for any partial year of service);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Executive shall not accrue any vacation time in excess of four (4) weeks (twenty (20) days) (the “</w:t>
      </w:r>
      <w:r>
        <w:rPr>
          <w:rFonts w:ascii="Times New Roman" w:cs="Times New Roman" w:eastAsia="Times New Roman" w:hAnsi="Times New Roman"/>
          <w:sz w:val="20"/>
          <w:szCs w:val="20"/>
          <w:b w:val="1"/>
          <w:bCs w:val="1"/>
          <w:i w:val="1"/>
          <w:iCs w:val="1"/>
          <w:color w:val="auto"/>
        </w:rPr>
        <w:t>Accrual Limit</w:t>
      </w:r>
      <w:r>
        <w:rPr>
          <w:rFonts w:ascii="Times New Roman" w:cs="Times New Roman" w:eastAsia="Times New Roman" w:hAnsi="Times New Roman"/>
          <w:sz w:val="20"/>
          <w:szCs w:val="20"/>
          <w:color w:val="auto"/>
        </w:rPr>
        <w:t>”), and shall cease accruing vacation time if the Executive’s accrued vacation reaches the Accrual Limit until such time as the Executive’s accrued vacation time drops below the Accrual Limit.</w:t>
      </w:r>
    </w:p>
    <w:p>
      <w:pPr>
        <w:spacing w:after="0" w:line="150" w:lineRule="exact"/>
        <w:rPr>
          <w:rFonts w:ascii="Times New Roman" w:cs="Times New Roman" w:eastAsia="Times New Roman" w:hAnsi="Times New Roman"/>
          <w:sz w:val="20"/>
          <w:szCs w:val="20"/>
          <w:color w:val="auto"/>
        </w:rPr>
      </w:pPr>
    </w:p>
    <w:p>
      <w:pPr>
        <w:ind w:left="1920" w:hanging="656"/>
        <w:spacing w:after="0"/>
        <w:tabs>
          <w:tab w:leader="none" w:pos="19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Employment</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40" w:right="80" w:firstLine="1304"/>
        <w:spacing w:after="0" w:line="217" w:lineRule="auto"/>
        <w:tabs>
          <w:tab w:leader="none" w:pos="1894"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Death or Disability</w:t>
      </w:r>
      <w:r>
        <w:rPr>
          <w:rFonts w:ascii="Times New Roman" w:cs="Times New Roman" w:eastAsia="Times New Roman" w:hAnsi="Times New Roman"/>
          <w:sz w:val="20"/>
          <w:szCs w:val="20"/>
          <w:color w:val="auto"/>
        </w:rPr>
        <w:t>. The Executive’s employment shall terminate automatically upon the Executive’s death during the Employment Period. Either the Company or the Executive may terminate the Executive’s employment in the event of the Executive’s Disability during the Employment Period. For purposes of this Agreement, “</w:t>
      </w:r>
      <w:r>
        <w:rPr>
          <w:rFonts w:ascii="Times New Roman" w:cs="Times New Roman" w:eastAsia="Times New Roman" w:hAnsi="Times New Roman"/>
          <w:sz w:val="20"/>
          <w:szCs w:val="20"/>
          <w:b w:val="1"/>
          <w:bCs w:val="1"/>
          <w:i w:val="1"/>
          <w:iCs w:val="1"/>
          <w:color w:val="auto"/>
        </w:rPr>
        <w:t>Disability</w:t>
      </w:r>
      <w:r>
        <w:rPr>
          <w:rFonts w:ascii="Times New Roman" w:cs="Times New Roman" w:eastAsia="Times New Roman" w:hAnsi="Times New Roman"/>
          <w:sz w:val="20"/>
          <w:szCs w:val="20"/>
          <w:color w:val="auto"/>
        </w:rPr>
        <w:t>” shall mean that the Executive has become entitled to receive benefits under an applicable Company long-term disability plan or, if no such plan covers the Executive, as determined in the reasonable discretion of the Board.</w:t>
      </w:r>
    </w:p>
    <w:p>
      <w:pPr>
        <w:spacing w:after="0" w:line="161" w:lineRule="exact"/>
        <w:rPr>
          <w:rFonts w:ascii="Times New Roman" w:cs="Times New Roman" w:eastAsia="Times New Roman" w:hAnsi="Times New Roman"/>
          <w:sz w:val="20"/>
          <w:szCs w:val="20"/>
          <w:color w:val="auto"/>
        </w:rPr>
      </w:pPr>
    </w:p>
    <w:p>
      <w:pPr>
        <w:ind w:left="-40" w:right="100" w:firstLine="1304"/>
        <w:spacing w:after="0" w:line="222" w:lineRule="auto"/>
        <w:tabs>
          <w:tab w:leader="none" w:pos="1892"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by the Company</w:t>
      </w:r>
      <w:r>
        <w:rPr>
          <w:rFonts w:ascii="Times New Roman" w:cs="Times New Roman" w:eastAsia="Times New Roman" w:hAnsi="Times New Roman"/>
          <w:sz w:val="20"/>
          <w:szCs w:val="20"/>
          <w:color w:val="auto"/>
        </w:rPr>
        <w:t>. The Company may terminate the Executive’s employment during the Employment Period for Cause or without Cause. For purposes of this Agreement, “</w:t>
      </w:r>
      <w:r>
        <w:rPr>
          <w:rFonts w:ascii="Times New Roman" w:cs="Times New Roman" w:eastAsia="Times New Roman" w:hAnsi="Times New Roman"/>
          <w:sz w:val="20"/>
          <w:szCs w:val="20"/>
          <w:b w:val="1"/>
          <w:bCs w:val="1"/>
          <w:i w:val="1"/>
          <w:iCs w:val="1"/>
          <w:color w:val="auto"/>
        </w:rPr>
        <w:t>Cause</w:t>
      </w:r>
      <w:r>
        <w:rPr>
          <w:rFonts w:ascii="Times New Roman" w:cs="Times New Roman" w:eastAsia="Times New Roman" w:hAnsi="Times New Roman"/>
          <w:sz w:val="20"/>
          <w:szCs w:val="20"/>
          <w:color w:val="auto"/>
        </w:rPr>
        <w:t>” shall mean the occurrence of any one or more of the following events unless, to the extent capable of correction, the Executive fully corrects the circumstances constituting Cause within fifteen (15) days after receipt of the Notice of Termination (as defined below):</w:t>
      </w:r>
    </w:p>
    <w:p>
      <w:pPr>
        <w:spacing w:after="0" w:line="161" w:lineRule="exact"/>
        <w:rPr>
          <w:rFonts w:ascii="Times New Roman" w:cs="Times New Roman" w:eastAsia="Times New Roman" w:hAnsi="Times New Roman"/>
          <w:sz w:val="20"/>
          <w:szCs w:val="20"/>
          <w:color w:val="auto"/>
        </w:rPr>
      </w:pPr>
    </w:p>
    <w:p>
      <w:pPr>
        <w:ind w:left="620" w:right="220" w:firstLine="1292"/>
        <w:spacing w:after="0" w:line="217" w:lineRule="auto"/>
        <w:tabs>
          <w:tab w:leader="none" w:pos="2562"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Executive’s willful failure to substantially perform his duties with the Company (other than any such failure resulting from the Executive’s incapacity due to physical or mental illness or any such actual or anticipated failure after his issuance of a Notice of Termination for Good Reason), after a written demand for performance is delivered to the Executive by the Board or the Chief Executive Officer, which demand specifically identifies the manner in which the Board or the Chief Executive Officer believes that the Executive has not performed his duties;</w:t>
      </w:r>
    </w:p>
    <w:p>
      <w:pPr>
        <w:spacing w:after="0" w:line="161" w:lineRule="exact"/>
        <w:rPr>
          <w:rFonts w:ascii="Times New Roman" w:cs="Times New Roman" w:eastAsia="Times New Roman" w:hAnsi="Times New Roman"/>
          <w:sz w:val="20"/>
          <w:szCs w:val="20"/>
          <w:color w:val="auto"/>
        </w:rPr>
      </w:pPr>
    </w:p>
    <w:p>
      <w:pPr>
        <w:ind w:left="620" w:right="500" w:firstLine="1292"/>
        <w:spacing w:after="0"/>
        <w:tabs>
          <w:tab w:leader="none" w:pos="2563"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Executive’s commission of an act of fraud or material dishonesty resulting in material reputational, economic or financial injury to the Company;</w:t>
      </w:r>
    </w:p>
    <w:p>
      <w:pPr>
        <w:spacing w:after="0" w:line="147" w:lineRule="exact"/>
        <w:rPr>
          <w:rFonts w:ascii="Times New Roman" w:cs="Times New Roman" w:eastAsia="Times New Roman" w:hAnsi="Times New Roman"/>
          <w:sz w:val="20"/>
          <w:szCs w:val="20"/>
          <w:color w:val="auto"/>
        </w:rPr>
      </w:pPr>
    </w:p>
    <w:p>
      <w:pPr>
        <w:ind w:left="620" w:right="460" w:firstLine="1292"/>
        <w:spacing w:after="0"/>
        <w:tabs>
          <w:tab w:leader="none" w:pos="2564"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Executive’s commission of, including any entry by the Executive of a guilty or no contest plea to, a felony or other crime involving moral turpitude;</w:t>
      </w:r>
    </w:p>
    <w:p>
      <w:pPr>
        <w:spacing w:after="0" w:line="161" w:lineRule="exact"/>
        <w:rPr>
          <w:rFonts w:ascii="Times New Roman" w:cs="Times New Roman" w:eastAsia="Times New Roman" w:hAnsi="Times New Roman"/>
          <w:sz w:val="20"/>
          <w:szCs w:val="20"/>
          <w:color w:val="auto"/>
        </w:rPr>
      </w:pPr>
    </w:p>
    <w:p>
      <w:pPr>
        <w:ind w:left="620" w:right="580" w:firstLine="1292"/>
        <w:spacing w:after="0" w:line="233" w:lineRule="auto"/>
        <w:tabs>
          <w:tab w:leader="none" w:pos="2553"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breach by the Executive of his fiduciary duty to the Company which results in reputational, economic or other injury to the Company;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180"/>
          </w:cols>
          <w:pgMar w:left="360" w:top="1399" w:right="359" w:bottom="1440" w:gutter="0" w:footer="0" w:header="0"/>
        </w:sectPr>
      </w:pPr>
    </w:p>
    <w:bookmarkStart w:id="134" w:name="page135"/>
    <w:bookmarkEnd w:id="134"/>
    <w:p>
      <w:pPr>
        <w:ind w:left="660" w:right="620" w:firstLine="1292"/>
        <w:spacing w:after="0"/>
        <w:tabs>
          <w:tab w:leader="none" w:pos="2592"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Executive’s material breach of the Executive’s obligations under a written agreement between the Company and the Executive, including without limitation, such a breach of this Agreement.</w:t>
      </w:r>
    </w:p>
    <w:p>
      <w:pPr>
        <w:spacing w:after="0" w:line="147" w:lineRule="exact"/>
        <w:rPr>
          <w:rFonts w:ascii="Times New Roman" w:cs="Times New Roman" w:eastAsia="Times New Roman" w:hAnsi="Times New Roman"/>
          <w:sz w:val="20"/>
          <w:szCs w:val="20"/>
          <w:color w:val="auto"/>
        </w:rPr>
      </w:pPr>
    </w:p>
    <w:p>
      <w:pPr>
        <w:jc w:val="both"/>
        <w:ind w:right="200" w:firstLine="1304"/>
        <w:spacing w:after="0" w:line="222" w:lineRule="auto"/>
        <w:tabs>
          <w:tab w:leader="none" w:pos="1934"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by the Executive</w:t>
      </w:r>
      <w:r>
        <w:rPr>
          <w:rFonts w:ascii="Times New Roman" w:cs="Times New Roman" w:eastAsia="Times New Roman" w:hAnsi="Times New Roman"/>
          <w:sz w:val="20"/>
          <w:szCs w:val="20"/>
          <w:color w:val="auto"/>
        </w:rPr>
        <w:t>. The Executive’s employment may be terminated by the Executive for any reason, including with Good Reason or by the Executive without Good Reason. For purposes of this Agreement, “</w:t>
      </w:r>
      <w:r>
        <w:rPr>
          <w:rFonts w:ascii="Times New Roman" w:cs="Times New Roman" w:eastAsia="Times New Roman" w:hAnsi="Times New Roman"/>
          <w:sz w:val="20"/>
          <w:szCs w:val="20"/>
          <w:b w:val="1"/>
          <w:bCs w:val="1"/>
          <w:i w:val="1"/>
          <w:iCs w:val="1"/>
          <w:color w:val="auto"/>
        </w:rPr>
        <w:t>Good Reason</w:t>
      </w:r>
      <w:r>
        <w:rPr>
          <w:rFonts w:ascii="Times New Roman" w:cs="Times New Roman" w:eastAsia="Times New Roman" w:hAnsi="Times New Roman"/>
          <w:sz w:val="20"/>
          <w:szCs w:val="20"/>
          <w:color w:val="auto"/>
        </w:rPr>
        <w:t>” shall mean the occurrence of any one or more of the following events without the Executive’s prior written consent, unless the Company fully corrects the circumstances constituting Good Reason (provided such circumstances are capable of correction) as provided below:</w:t>
      </w:r>
    </w:p>
    <w:p>
      <w:pPr>
        <w:spacing w:after="0" w:line="161" w:lineRule="exact"/>
        <w:rPr>
          <w:rFonts w:ascii="Times New Roman" w:cs="Times New Roman" w:eastAsia="Times New Roman" w:hAnsi="Times New Roman"/>
          <w:sz w:val="20"/>
          <w:szCs w:val="20"/>
          <w:color w:val="auto"/>
        </w:rPr>
      </w:pPr>
    </w:p>
    <w:p>
      <w:pPr>
        <w:ind w:left="660" w:right="240" w:firstLine="1292"/>
        <w:spacing w:after="0" w:line="222" w:lineRule="auto"/>
        <w:tabs>
          <w:tab w:leader="none" w:pos="2602"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diminution in the Executive’s position (including status, offices, titles and reporting requirements), authority, duties or responsibilities as contemplated by Section 2(a) hereof, excluding for this purpose any isolated, insubstantial or inadvertent actions not taken in bad faith and which are remedied by the Company promptly after receipt of notice thereof given by the Executive;</w:t>
      </w:r>
    </w:p>
    <w:p>
      <w:pPr>
        <w:spacing w:after="0" w:line="154" w:lineRule="exact"/>
        <w:rPr>
          <w:sz w:val="20"/>
          <w:szCs w:val="20"/>
          <w:color w:val="auto"/>
        </w:rPr>
      </w:pPr>
    </w:p>
    <w:p>
      <w:pPr>
        <w:ind w:left="2600" w:hanging="648"/>
        <w:spacing w:after="0"/>
        <w:tabs>
          <w:tab w:leader="none" w:pos="2600"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Company’s material reduction of the Executive’s Base Salary, as the same may be increased from time to</w:t>
      </w:r>
    </w:p>
    <w:p>
      <w:pPr>
        <w:ind w:left="660"/>
        <w:spacing w:after="0"/>
        <w:rPr>
          <w:sz w:val="20"/>
          <w:szCs w:val="20"/>
          <w:color w:val="auto"/>
        </w:rPr>
      </w:pPr>
      <w:r>
        <w:rPr>
          <w:rFonts w:ascii="Times New Roman" w:cs="Times New Roman" w:eastAsia="Times New Roman" w:hAnsi="Times New Roman"/>
          <w:sz w:val="20"/>
          <w:szCs w:val="20"/>
          <w:color w:val="auto"/>
        </w:rPr>
        <w:t>time; or</w:t>
      </w:r>
    </w:p>
    <w:p>
      <w:pPr>
        <w:spacing w:after="0" w:line="167" w:lineRule="exact"/>
        <w:rPr>
          <w:sz w:val="20"/>
          <w:szCs w:val="20"/>
          <w:color w:val="auto"/>
        </w:rPr>
      </w:pPr>
    </w:p>
    <w:p>
      <w:pPr>
        <w:ind w:left="2600" w:hanging="648"/>
        <w:spacing w:after="0"/>
        <w:tabs>
          <w:tab w:leader="none" w:pos="260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material breach of this Agreement.</w:t>
      </w:r>
    </w:p>
    <w:p>
      <w:pPr>
        <w:spacing w:after="0" w:line="202"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9"/>
          <w:szCs w:val="19"/>
          <w:color w:val="auto"/>
        </w:rPr>
        <w:t>Notwithstanding the foregoing, the Executive will not be deemed to have resigned for Good Reason unless (1) the Executive provides the Company with written notice setting forth in reasonable detail the facts and circumstances claimed by the Executive to constitute Good Reason within sixty (60) days after the date of the occurrence of any event that the Executive knows or should reasonably have known to constitute Good Reason, (2) the Company fails to cure such acts or omissions within thirty (30) days following its receipt of such notice, and</w:t>
      </w:r>
    </w:p>
    <w:p>
      <w:pPr>
        <w:spacing w:after="0" w:line="3" w:lineRule="exact"/>
        <w:rPr>
          <w:sz w:val="20"/>
          <w:szCs w:val="20"/>
          <w:color w:val="auto"/>
        </w:rPr>
      </w:pPr>
    </w:p>
    <w:p>
      <w:pPr>
        <w:ind w:right="840" w:firstLine="8"/>
        <w:spacing w:after="0" w:line="267" w:lineRule="auto"/>
        <w:tabs>
          <w:tab w:leader="none" w:pos="28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 date of the Executive’s termination for Good Reason occurs no later than sixty (60) days after the expiration of the Company’s cure period.</w:t>
      </w:r>
    </w:p>
    <w:p>
      <w:pPr>
        <w:spacing w:after="0" w:line="147" w:lineRule="exact"/>
        <w:rPr>
          <w:rFonts w:ascii="Times New Roman" w:cs="Times New Roman" w:eastAsia="Times New Roman" w:hAnsi="Times New Roman"/>
          <w:sz w:val="20"/>
          <w:szCs w:val="20"/>
          <w:color w:val="auto"/>
        </w:rPr>
      </w:pPr>
    </w:p>
    <w:p>
      <w:pPr>
        <w:ind w:firstLine="1304"/>
        <w:spacing w:after="0" w:line="213" w:lineRule="auto"/>
        <w:tabs>
          <w:tab w:leader="none" w:pos="1932"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Termination</w:t>
      </w:r>
      <w:r>
        <w:rPr>
          <w:rFonts w:ascii="Times New Roman" w:cs="Times New Roman" w:eastAsia="Times New Roman" w:hAnsi="Times New Roman"/>
          <w:sz w:val="20"/>
          <w:szCs w:val="20"/>
          <w:color w:val="auto"/>
        </w:rPr>
        <w:t>. Any termination by the Company for Cause, or by the Executive for Good Reason, shall be communicated by a Notice of Termination to the other parties hereto given in accordance with Section 10(b) hereof. For purposes of this Agreement, a “</w:t>
      </w:r>
      <w:r>
        <w:rPr>
          <w:rFonts w:ascii="Times New Roman" w:cs="Times New Roman" w:eastAsia="Times New Roman" w:hAnsi="Times New Roman"/>
          <w:sz w:val="20"/>
          <w:szCs w:val="20"/>
          <w:b w:val="1"/>
          <w:bCs w:val="1"/>
          <w:i w:val="1"/>
          <w:iCs w:val="1"/>
          <w:color w:val="auto"/>
        </w:rPr>
        <w:t>Notice of Termination</w:t>
      </w:r>
      <w:r>
        <w:rPr>
          <w:rFonts w:ascii="Times New Roman" w:cs="Times New Roman" w:eastAsia="Times New Roman" w:hAnsi="Times New Roman"/>
          <w:sz w:val="20"/>
          <w:szCs w:val="20"/>
          <w:color w:val="auto"/>
        </w:rPr>
        <w:t>” means a written notice which (i) indicates the specific termination provision in this Agreement relied upon, (ii) sets forth in reasonable detail the facts and circumstances claimed to provide a basis for termination of the Executive’s employment under the provision so indicated and (iii) if the Date of Termination (as defined below) is other than the date of receipt of such notice, specifies the termination date (which date shall be not more than thirty (30) days after the giving of such notice). The failure by the Executive or the Company to set forth in the Notice of Termination any fact or circumstance which contributes to a showing of Good Reason or Cause shall not waive any right of the Executive or the Company, respectively, hereunder or preclude the Executive or the Company, respectively, from asserting such fact or circumstance in enforcing the Executive’s or the Company’s rights hereunder.</w:t>
      </w:r>
    </w:p>
    <w:p>
      <w:pPr>
        <w:spacing w:after="0" w:line="161" w:lineRule="exact"/>
        <w:rPr>
          <w:rFonts w:ascii="Times New Roman" w:cs="Times New Roman" w:eastAsia="Times New Roman" w:hAnsi="Times New Roman"/>
          <w:sz w:val="20"/>
          <w:szCs w:val="20"/>
          <w:color w:val="auto"/>
        </w:rPr>
      </w:pPr>
    </w:p>
    <w:p>
      <w:pPr>
        <w:ind w:right="140" w:firstLine="1304"/>
        <w:spacing w:after="0" w:line="224" w:lineRule="auto"/>
        <w:tabs>
          <w:tab w:leader="none" w:pos="1934" w:val="left"/>
        </w:tabs>
        <w:numPr>
          <w:ilvl w:val="1"/>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Termination of Offices and Directorships; Return of Property</w:t>
      </w:r>
      <w:r>
        <w:rPr>
          <w:rFonts w:ascii="Times New Roman" w:cs="Times New Roman" w:eastAsia="Times New Roman" w:hAnsi="Times New Roman"/>
          <w:sz w:val="19"/>
          <w:szCs w:val="19"/>
          <w:color w:val="auto"/>
        </w:rPr>
        <w:t>. Upon termination of the Executive’s employment for any reason, unless otherwise specified in a written agreement between the Executive and the Company, the Executive shall be deemed to have resigned from all offices, directorships, and other employment positions if any, then held with the Company, and shall take all actions reasonably requested by the Company to effectuate the foregoing. In addition, upon the termination of the Executive’s employment for any reason, the Executive agrees to return to the Company all documents of the Company and its affiliates (and all copies thereof) and all other Company or Company affiliate property that the Executive has in his possession, custody or control. Such property includes, without limitation: (i) any materials of any kind that the Executive knows contain or embody any proprietary or confidential information of the Company or an affiliate of the Company (and all reproductions thereof), (ii) computers (including, but not limited to, laptop computers, desktop computers and similar devices) and other portable electronic devices (including, but not limited to, tablet computers),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20"/>
          </w:cols>
          <w:pgMar w:left="320" w:top="1399" w:right="3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20"/>
          <w:szCs w:val="20"/>
          <w:color w:val="auto"/>
        </w:rPr>
        <w:t>cellular phones/smartphones, credit cards, phone cards, entry cards, identification badges and keys, and (iii) any correspondence, drawings,</w:t>
      </w:r>
    </w:p>
    <w:p>
      <w:pPr>
        <w:ind w:right="640"/>
        <w:spacing w:after="0" w:line="215" w:lineRule="auto"/>
        <w:rPr>
          <w:sz w:val="20"/>
          <w:szCs w:val="20"/>
          <w:color w:val="auto"/>
        </w:rPr>
      </w:pPr>
      <w:r>
        <w:rPr>
          <w:rFonts w:ascii="Times New Roman" w:cs="Times New Roman" w:eastAsia="Times New Roman" w:hAnsi="Times New Roman"/>
          <w:sz w:val="19"/>
          <w:szCs w:val="19"/>
          <w:color w:val="auto"/>
        </w:rPr>
        <w:t>manuals, letters, notes, notebooks, reports, programs, plans, proposals, financial documents, or any other documents concerning the customers, business plans, marketing strategies, products and/or processes of the Company or any of its affiliates and any information</w:t>
      </w:r>
    </w:p>
    <w:p>
      <w:pPr>
        <w:spacing w:after="0"/>
        <w:rPr>
          <w:sz w:val="20"/>
          <w:szCs w:val="20"/>
          <w:color w:val="auto"/>
        </w:rPr>
      </w:pPr>
      <w:r>
        <w:rPr>
          <w:rFonts w:ascii="Times New Roman" w:cs="Times New Roman" w:eastAsia="Times New Roman" w:hAnsi="Times New Roman"/>
          <w:sz w:val="20"/>
          <w:szCs w:val="20"/>
          <w:color w:val="auto"/>
        </w:rPr>
        <w:t>received from the Company or any of its affiliates regarding third parties.</w:t>
      </w:r>
    </w:p>
    <w:p>
      <w:pPr>
        <w:spacing w:after="0" w:line="167" w:lineRule="exact"/>
        <w:rPr>
          <w:sz w:val="20"/>
          <w:szCs w:val="20"/>
          <w:color w:val="auto"/>
        </w:rPr>
      </w:pPr>
    </w:p>
    <w:p>
      <w:pPr>
        <w:ind w:right="100" w:firstLine="1304"/>
        <w:spacing w:after="0" w:line="222" w:lineRule="auto"/>
        <w:tabs>
          <w:tab w:leader="none" w:pos="1944"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Obligations of the Company upon Termination</w:t>
      </w:r>
      <w:r>
        <w:rPr>
          <w:rFonts w:ascii="Times New Roman" w:cs="Times New Roman" w:eastAsia="Times New Roman" w:hAnsi="Times New Roman"/>
          <w:sz w:val="20"/>
          <w:szCs w:val="20"/>
          <w:color w:val="auto"/>
        </w:rPr>
        <w:t>. Upon a termination of the Executive’s employment for any reason, the Executive shall be paid, in a single lump-sum payment within thirty (30) days after the Date of Termination (or by such earlier date as may be required by applicable law), the aggregate amount of the Executive’s earned but unpaid Base Salary and accrued but unpaid vacation pay through the date of such termination (the “</w:t>
      </w:r>
      <w:r>
        <w:rPr>
          <w:rFonts w:ascii="Times New Roman" w:cs="Times New Roman" w:eastAsia="Times New Roman" w:hAnsi="Times New Roman"/>
          <w:sz w:val="20"/>
          <w:szCs w:val="20"/>
          <w:b w:val="1"/>
          <w:bCs w:val="1"/>
          <w:i w:val="1"/>
          <w:iCs w:val="1"/>
          <w:color w:val="auto"/>
        </w:rPr>
        <w:t>Accrued Obligations</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ind w:right="120" w:firstLine="1304"/>
        <w:spacing w:after="0" w:line="222" w:lineRule="auto"/>
        <w:tabs>
          <w:tab w:leader="none" w:pos="1934"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Without Cause or For Good Reason</w:t>
      </w:r>
      <w:r>
        <w:rPr>
          <w:rFonts w:ascii="Times New Roman" w:cs="Times New Roman" w:eastAsia="Times New Roman" w:hAnsi="Times New Roman"/>
          <w:sz w:val="20"/>
          <w:szCs w:val="20"/>
          <w:color w:val="auto"/>
        </w:rPr>
        <w:t>. If the Executive’s employment with the Company is terminated during the Employment Period (x) by the Company without Cause (other than by reason of the Executive’s Disability or due to the expiration of the Employment Period), (y) by the Company delivering to the Executive a Notice of Non-Renewal or (z) by the Executive for Good Reason, in each case, subject to and conditioned upon compliance with Sections 4(c) and 7 hereof, in addition to the Accrued Obligations:</w:t>
      </w:r>
    </w:p>
    <w:p>
      <w:pPr>
        <w:spacing w:after="0" w:line="157" w:lineRule="exact"/>
        <w:rPr>
          <w:rFonts w:ascii="Times New Roman" w:cs="Times New Roman" w:eastAsia="Times New Roman" w:hAnsi="Times New Roman"/>
          <w:sz w:val="20"/>
          <w:szCs w:val="20"/>
          <w:color w:val="auto"/>
        </w:rPr>
      </w:pPr>
    </w:p>
    <w:p>
      <w:pPr>
        <w:ind w:left="660" w:firstLine="1292"/>
        <w:spacing w:after="0" w:line="203" w:lineRule="auto"/>
        <w:tabs>
          <w:tab w:leader="none" w:pos="2602"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Cash Severance</w:t>
      </w:r>
      <w:r>
        <w:rPr>
          <w:rFonts w:ascii="Times New Roman" w:cs="Times New Roman" w:eastAsia="Times New Roman" w:hAnsi="Times New Roman"/>
          <w:sz w:val="20"/>
          <w:szCs w:val="20"/>
          <w:color w:val="auto"/>
        </w:rPr>
        <w:t>. The Company shall continue to pay to the Executive the Executive’s Base Salary in effect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on the Date of Termination during the period beginning on the Date of Termination and ending on the 12-month anniversary of the Date of Termination in installments in accordance with the Company’s regular payroll practices as of the Date of Termination, subject to Section 10(d)(ii);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the foregoing, if such termination of employment occurs within the 12-month period following a Change in Control, as defined in the Incentive Award Plan (and such Change in Control constitutes a “change in control event” as defined in Treasury Regulations Section 1.409A-3(i)(5)), then in lieu of the foregoing payments set forth in this Section 4(a)(i), the Company shall pay to the Executive a single lump-sum amount equal to 12-months of Executive’s Base Salary in effect on the Date of Termination on the sixtieth (60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day after the Date of Termination. In addition, the Executive shall be paid a pro-rata Annual Bonus to which the Executive would have become entitled (if any) for the fiscal year of the Company during which the Date of Termination occurs, had the Executive remained employed through the payment date and based on the achievement of any applicable performance goals or objectives, pro-rated based on the number of days during such fiscal year that the Executive was employed by the Company (the “</w:t>
      </w:r>
      <w:r>
        <w:rPr>
          <w:rFonts w:ascii="Times New Roman" w:cs="Times New Roman" w:eastAsia="Times New Roman" w:hAnsi="Times New Roman"/>
          <w:sz w:val="20"/>
          <w:szCs w:val="20"/>
          <w:b w:val="1"/>
          <w:bCs w:val="1"/>
          <w:i w:val="1"/>
          <w:iCs w:val="1"/>
          <w:color w:val="auto"/>
        </w:rPr>
        <w:t>Bonus Severance</w:t>
      </w:r>
      <w:r>
        <w:rPr>
          <w:rFonts w:ascii="Times New Roman" w:cs="Times New Roman" w:eastAsia="Times New Roman" w:hAnsi="Times New Roman"/>
          <w:sz w:val="20"/>
          <w:szCs w:val="20"/>
          <w:color w:val="auto"/>
        </w:rPr>
        <w:t>”). The Bonus Severance shall be payable in a single lump-sum payment on the date on which annual bonuses are paid to the Company’s senior executives generally for such year, but in no event later than March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of the calendar year immediately following the calendar year in which the Date of Termination occurs, with the actual date within such period determined by the Company in its sole discretion.</w:t>
      </w:r>
    </w:p>
    <w:p>
      <w:pPr>
        <w:spacing w:after="0" w:line="170" w:lineRule="exact"/>
        <w:rPr>
          <w:rFonts w:ascii="Times New Roman" w:cs="Times New Roman" w:eastAsia="Times New Roman" w:hAnsi="Times New Roman"/>
          <w:sz w:val="20"/>
          <w:szCs w:val="20"/>
          <w:color w:val="auto"/>
        </w:rPr>
      </w:pPr>
    </w:p>
    <w:p>
      <w:pPr>
        <w:ind w:left="660" w:right="80" w:firstLine="1292"/>
        <w:spacing w:after="0" w:line="211" w:lineRule="auto"/>
        <w:tabs>
          <w:tab w:leader="none" w:pos="2603"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COBRA</w:t>
      </w:r>
      <w:r>
        <w:rPr>
          <w:rFonts w:ascii="Times New Roman" w:cs="Times New Roman" w:eastAsia="Times New Roman" w:hAnsi="Times New Roman"/>
          <w:sz w:val="20"/>
          <w:szCs w:val="20"/>
          <w:color w:val="auto"/>
        </w:rPr>
        <w:t>. During the period commencing on the Date of Termination and ending on the 12-month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anniversary of the Date of Termination (the “</w:t>
      </w:r>
      <w:r>
        <w:rPr>
          <w:rFonts w:ascii="Times New Roman" w:cs="Times New Roman" w:eastAsia="Times New Roman" w:hAnsi="Times New Roman"/>
          <w:sz w:val="20"/>
          <w:szCs w:val="20"/>
          <w:b w:val="1"/>
          <w:bCs w:val="1"/>
          <w:i w:val="1"/>
          <w:iCs w:val="1"/>
          <w:color w:val="auto"/>
        </w:rPr>
        <w:t>COBRA Period</w:t>
      </w:r>
      <w:r>
        <w:rPr>
          <w:rFonts w:ascii="Times New Roman" w:cs="Times New Roman" w:eastAsia="Times New Roman" w:hAnsi="Times New Roman"/>
          <w:sz w:val="20"/>
          <w:szCs w:val="20"/>
          <w:color w:val="auto"/>
        </w:rPr>
        <w:t>”), subject to the Executive’s valid election to continue healthcare coverage under Section 4980B of the Internal Revenue Code and the regulations thereunder (together, the “</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xml:space="preserve">”), the Company shall continue to provide the Executive and the Executive’s eligible dependents with coverage under its group health plans at the same levels and the same cost to the Executive as would have applied if the Executive’s employment had not been terminated based on the Executive’s elections in effect on the Date of Termination,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 if any plan pursuant to which such benefits are provided is not, or ceases prior to the expiration of the period of continuation coverage to be, exempt from the application of Section 409A (as defined below) under Treasury Regulation Section 1.409A-1(a)(5), or (B) the Company is otherwise unable to continue to cover the Executive under its group health plans without incurring penalties (including without limitation, pursuant to Section 2716 of the Public Health Service Act or the Patient Protection and Affordable Care Act), then, in either case, an amount equal to each remaining Company subsidy shall thereafter be paid to the Executive in substantially equal monthly installments over the continuation coverage period (or the remaining portion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394"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9"/>
          <w:szCs w:val="19"/>
          <w:color w:val="auto"/>
        </w:rPr>
        <w:t>Notwithstanding the foregoing, it shall be a condition to the Executive’s right to receive the amounts provided for in Sections 4(a)(i) and 4(a)</w:t>
      </w:r>
    </w:p>
    <w:p>
      <w:pPr>
        <w:spacing w:after="0" w:line="40" w:lineRule="exact"/>
        <w:rPr>
          <w:sz w:val="20"/>
          <w:szCs w:val="20"/>
          <w:color w:val="auto"/>
        </w:rPr>
      </w:pPr>
    </w:p>
    <w:p>
      <w:pPr>
        <w:ind w:right="260" w:firstLine="8"/>
        <w:spacing w:after="0" w:line="253" w:lineRule="auto"/>
        <w:tabs>
          <w:tab w:leader="none" w:pos="291"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hereof that the Executive execute and deliver to the Company an effective release of claims in substantially the form attached hereto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i w:val="1"/>
          <w:iCs w:val="1"/>
          <w:color w:val="auto"/>
        </w:rPr>
        <w:t>Release</w:t>
      </w:r>
      <w:r>
        <w:rPr>
          <w:rFonts w:ascii="Times New Roman" w:cs="Times New Roman" w:eastAsia="Times New Roman" w:hAnsi="Times New Roman"/>
          <w:sz w:val="20"/>
          <w:szCs w:val="20"/>
          <w:color w:val="auto"/>
        </w:rPr>
        <w:t>”) within twenty-one (21) days (or, to the extent required by law, forty-five (45) days) following the Date of Termination and that the Executive not revoke such Release during any applicable revocation period.</w:t>
      </w:r>
    </w:p>
    <w:p>
      <w:pPr>
        <w:spacing w:after="0" w:line="161" w:lineRule="exact"/>
        <w:rPr>
          <w:rFonts w:ascii="Times New Roman" w:cs="Times New Roman" w:eastAsia="Times New Roman" w:hAnsi="Times New Roman"/>
          <w:sz w:val="20"/>
          <w:szCs w:val="20"/>
          <w:color w:val="auto"/>
        </w:rPr>
      </w:pPr>
    </w:p>
    <w:p>
      <w:pPr>
        <w:ind w:right="40" w:firstLine="1304"/>
        <w:spacing w:after="0" w:line="218" w:lineRule="auto"/>
        <w:tabs>
          <w:tab w:leader="none" w:pos="1932"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 Cause, Without Good Reason or Other Terminations</w:t>
      </w:r>
      <w:r>
        <w:rPr>
          <w:rFonts w:ascii="Times New Roman" w:cs="Times New Roman" w:eastAsia="Times New Roman" w:hAnsi="Times New Roman"/>
          <w:sz w:val="20"/>
          <w:szCs w:val="20"/>
          <w:color w:val="auto"/>
        </w:rPr>
        <w:t>. If the Company terminates the Executive’s employment for Cause, the Executive terminates the Executive’s employment without Good Reason, the Executive delivers to the Company a Notice of Non-Renewal or the Executive’s employment terminates due to the Executive’s death or Disability or for any other reason not enumerated in Section 4(a) hereof, then, in either case, the Company shall pay to the Executive the Accrued Obligations in cash within thirty (30) days after the Date of Termination (or by such earlier date as may be required by applicable law), and the Executive shall have no further rights hereunder.</w:t>
      </w:r>
    </w:p>
    <w:p>
      <w:pPr>
        <w:spacing w:after="0" w:line="150" w:lineRule="exact"/>
        <w:rPr>
          <w:rFonts w:ascii="Times New Roman" w:cs="Times New Roman" w:eastAsia="Times New Roman" w:hAnsi="Times New Roman"/>
          <w:sz w:val="20"/>
          <w:szCs w:val="20"/>
          <w:color w:val="auto"/>
        </w:rPr>
      </w:pPr>
    </w:p>
    <w:p>
      <w:pPr>
        <w:ind w:right="60" w:firstLine="1304"/>
        <w:spacing w:after="0" w:line="234" w:lineRule="auto"/>
        <w:tabs>
          <w:tab w:leader="none" w:pos="1934" w:val="left"/>
        </w:tabs>
        <w:numPr>
          <w:ilvl w:val="1"/>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Six-Month Delay</w:t>
      </w:r>
      <w:r>
        <w:rPr>
          <w:rFonts w:ascii="Times New Roman" w:cs="Times New Roman" w:eastAsia="Times New Roman" w:hAnsi="Times New Roman"/>
          <w:sz w:val="19"/>
          <w:szCs w:val="19"/>
          <w:color w:val="auto"/>
        </w:rPr>
        <w:t>. Notwithstanding anything to the contrary in this Agreement, no compensation or benefits, including without limitation any severance payments or benefits payable under Section 4 hereof, shall be paid to the Executive during the six</w:t>
      </w:r>
    </w:p>
    <w:p>
      <w:pPr>
        <w:spacing w:after="0" w:line="197"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(6)-month period following the Executive’s “separation from service” from the Company (within the meaning of Section 409A, a</w:t>
      </w:r>
    </w:p>
    <w:p>
      <w:pPr>
        <w:ind w:right="20"/>
        <w:spacing w:after="0" w:line="214"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Separation from Service</w:t>
      </w:r>
      <w:r>
        <w:rPr>
          <w:rFonts w:ascii="Times New Roman" w:cs="Times New Roman" w:eastAsia="Times New Roman" w:hAnsi="Times New Roman"/>
          <w:sz w:val="20"/>
          <w:szCs w:val="20"/>
          <w:color w:val="auto"/>
        </w:rPr>
        <w:t>”) if the Company determines that paying such amounts at the time or times indicated in this Agreement would be a prohibited distribution under Section 409A(a)(2)(B)(i) of the Code. If the payment of any such amounts is delayed as a result of the previous sentence, then on the first day of the seventh month following the date of Separation from Service (or such earlier date upon which such amount can be paid under Section 409A without resulting in a prohibited distribution, including as a result of the Executive’s death), the Company shall pay the Executive a lump-sum amount equal to the cumulative amount that would have otherwise been payable to the Executive during such period.</w:t>
      </w:r>
    </w:p>
    <w:p>
      <w:pPr>
        <w:spacing w:after="0" w:line="151" w:lineRule="exact"/>
        <w:rPr>
          <w:rFonts w:ascii="Times New Roman" w:cs="Times New Roman" w:eastAsia="Times New Roman" w:hAnsi="Times New Roman"/>
          <w:sz w:val="19"/>
          <w:szCs w:val="19"/>
          <w:color w:val="auto"/>
        </w:rPr>
      </w:pPr>
    </w:p>
    <w:p>
      <w:pPr>
        <w:ind w:right="200" w:firstLine="1304"/>
        <w:spacing w:after="0" w:line="230" w:lineRule="auto"/>
        <w:tabs>
          <w:tab w:leader="none" w:pos="1932"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Exclusive Benefits</w:t>
      </w:r>
      <w:r>
        <w:rPr>
          <w:rFonts w:ascii="Times New Roman" w:cs="Times New Roman" w:eastAsia="Times New Roman" w:hAnsi="Times New Roman"/>
          <w:sz w:val="20"/>
          <w:szCs w:val="20"/>
          <w:color w:val="auto"/>
        </w:rPr>
        <w:t>. Except as expressly provided in this Section 4 or any equity award agreement between the Executive and the Company and subject to Section 5 hereof, the Executive shall not be entitled to any additional payments or benefits upon or in connection with the Executive’s termination of employment.</w:t>
      </w:r>
    </w:p>
    <w:p>
      <w:pPr>
        <w:spacing w:after="0" w:line="149" w:lineRule="exact"/>
        <w:rPr>
          <w:sz w:val="20"/>
          <w:szCs w:val="20"/>
          <w:color w:val="auto"/>
        </w:rPr>
      </w:pPr>
    </w:p>
    <w:p>
      <w:pPr>
        <w:ind w:right="20" w:firstLine="1304"/>
        <w:spacing w:after="0" w:line="222" w:lineRule="auto"/>
        <w:tabs>
          <w:tab w:leader="none" w:pos="1944"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Non-Exclusivity of Rights</w:t>
      </w:r>
      <w:r>
        <w:rPr>
          <w:rFonts w:ascii="Times New Roman" w:cs="Times New Roman" w:eastAsia="Times New Roman" w:hAnsi="Times New Roman"/>
          <w:sz w:val="20"/>
          <w:szCs w:val="20"/>
          <w:color w:val="auto"/>
        </w:rPr>
        <w:t>. Amounts which are vested benefits or which the Executive is otherwise entitled to receive under any plan, policy, practice or program of or any contract or agreement with the Company at or subsequent to the Date of Termination shall be payable in accordance with such plan, policy, practice or program or contract or agreement except as explicitly modified by this Agreement.</w:t>
      </w:r>
    </w:p>
    <w:p>
      <w:pPr>
        <w:spacing w:after="0" w:line="161"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Excess Parachute Payments, Limitation on Payments</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firstLine="1304"/>
        <w:spacing w:after="0" w:line="220" w:lineRule="auto"/>
        <w:tabs>
          <w:tab w:leader="none" w:pos="1934" w:val="left"/>
        </w:tabs>
        <w:numPr>
          <w:ilvl w:val="1"/>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Best Pay Cap</w:t>
      </w:r>
      <w:r>
        <w:rPr>
          <w:rFonts w:ascii="Times New Roman" w:cs="Times New Roman" w:eastAsia="Times New Roman" w:hAnsi="Times New Roman"/>
          <w:sz w:val="19"/>
          <w:szCs w:val="19"/>
          <w:color w:val="auto"/>
        </w:rPr>
        <w:t>. Notwithstanding any other provision of this Agreement, in the event that any payment or benefit received or to be received by the Executive (including any payment or benefit received in connection with a termination of the Executive’s employment, whether pursuant to the terms of this Agreement or any other plan, arrangement or agreement) (all such payments and benefits, including the payments and benefits under Section 4 hereof, being hereinafter referred to as the “</w:t>
      </w:r>
      <w:r>
        <w:rPr>
          <w:rFonts w:ascii="Times New Roman" w:cs="Times New Roman" w:eastAsia="Times New Roman" w:hAnsi="Times New Roman"/>
          <w:sz w:val="19"/>
          <w:szCs w:val="19"/>
          <w:b w:val="1"/>
          <w:bCs w:val="1"/>
          <w:i w:val="1"/>
          <w:iCs w:val="1"/>
          <w:color w:val="auto"/>
        </w:rPr>
        <w:t>Total Payments</w:t>
      </w:r>
      <w:r>
        <w:rPr>
          <w:rFonts w:ascii="Times New Roman" w:cs="Times New Roman" w:eastAsia="Times New Roman" w:hAnsi="Times New Roman"/>
          <w:sz w:val="19"/>
          <w:szCs w:val="19"/>
          <w:color w:val="auto"/>
        </w:rPr>
        <w:t>”) would be subject (in whole or part), to the excise tax imposed under Section 4999 of the Code (the “</w:t>
      </w:r>
      <w:r>
        <w:rPr>
          <w:rFonts w:ascii="Times New Roman" w:cs="Times New Roman" w:eastAsia="Times New Roman" w:hAnsi="Times New Roman"/>
          <w:sz w:val="19"/>
          <w:szCs w:val="19"/>
          <w:b w:val="1"/>
          <w:bCs w:val="1"/>
          <w:i w:val="1"/>
          <w:iCs w:val="1"/>
          <w:color w:val="auto"/>
        </w:rPr>
        <w:t>Excise Tax</w:t>
      </w:r>
      <w:r>
        <w:rPr>
          <w:rFonts w:ascii="Times New Roman" w:cs="Times New Roman" w:eastAsia="Times New Roman" w:hAnsi="Times New Roman"/>
          <w:sz w:val="19"/>
          <w:szCs w:val="19"/>
          <w:color w:val="auto"/>
        </w:rPr>
        <w:t>”), then, after taking into account any reduction in the Total Payments provided by reason of Section 280G of the Code in such other plan, arrangement or agreement, the cash severance payments under this Agreement shall first be reduced, and the noncash severance payments hereunder shall thereafter be reduced, to the extent necessary so that no portion of the Total Payments is subject to the Excise Tax but only if (i) the net amount of such Total Payments, as so reduced (and after subtracting the net amount of federal, state and local income taxes on such reduced Total Payments and after taking into account the phase out of itemized deductions and personal exemptions attributable to such reduced Total Payments) is greater than or equal to</w:t>
      </w:r>
    </w:p>
    <w:p>
      <w:pPr>
        <w:spacing w:after="0" w:line="3" w:lineRule="exact"/>
        <w:rPr>
          <w:rFonts w:ascii="Times New Roman" w:cs="Times New Roman" w:eastAsia="Times New Roman" w:hAnsi="Times New Roman"/>
          <w:sz w:val="19"/>
          <w:szCs w:val="19"/>
          <w:color w:val="auto"/>
        </w:rPr>
      </w:pPr>
    </w:p>
    <w:p>
      <w:pPr>
        <w:ind w:right="300" w:firstLine="8"/>
        <w:spacing w:after="0" w:line="216" w:lineRule="auto"/>
        <w:tabs>
          <w:tab w:leader="none" w:pos="291"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net amount of such Total Payments without such reduction (but after subtracting the net amount of federal, state and local income taxes on such Total Payments and the amount of Excise Tax to which the Executive would be subject in respect of such unreduced Total Payments and after taking into account the phase out of itemized deductions and personal exemptions attributable to such unreduced Total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13" w:right="339" w:bottom="1440" w:gutter="0" w:footer="0" w:header="0"/>
        </w:sectPr>
      </w:pPr>
    </w:p>
    <w:bookmarkStart w:id="137" w:name="page138"/>
    <w:bookmarkEnd w:id="137"/>
    <w:p>
      <w:pPr>
        <w:ind w:left="-20" w:right="60" w:firstLine="1304"/>
        <w:spacing w:after="0" w:line="212" w:lineRule="auto"/>
        <w:tabs>
          <w:tab w:leader="none" w:pos="1912"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Exclusions</w:t>
      </w:r>
      <w:r>
        <w:rPr>
          <w:rFonts w:ascii="Times New Roman" w:cs="Times New Roman" w:eastAsia="Times New Roman" w:hAnsi="Times New Roman"/>
          <w:sz w:val="20"/>
          <w:szCs w:val="20"/>
          <w:color w:val="auto"/>
        </w:rPr>
        <w:t>. For purposes of determining whether and the extent to which the Total Payments will be subject to the Excise Tax, (i) no portion of the Total Payments the receipt or enjoyment of which the Executive shall have waived at such time and in such manner as not to constitute a “payment” within the meaning of Section 280G(b) of the Code shall be taken into account; (ii) no portion of the Total Payments shall be taken into account which, in the written opinion of an independent, nationally recognized accounting or consulting firm (the “</w:t>
      </w:r>
      <w:r>
        <w:rPr>
          <w:rFonts w:ascii="Times New Roman" w:cs="Times New Roman" w:eastAsia="Times New Roman" w:hAnsi="Times New Roman"/>
          <w:sz w:val="20"/>
          <w:szCs w:val="20"/>
          <w:b w:val="1"/>
          <w:bCs w:val="1"/>
          <w:i w:val="1"/>
          <w:iCs w:val="1"/>
          <w:color w:val="auto"/>
        </w:rPr>
        <w:t>Independent Advisors</w:t>
      </w:r>
      <w:r>
        <w:rPr>
          <w:rFonts w:ascii="Times New Roman" w:cs="Times New Roman" w:eastAsia="Times New Roman" w:hAnsi="Times New Roman"/>
          <w:sz w:val="20"/>
          <w:szCs w:val="20"/>
          <w:color w:val="auto"/>
        </w:rPr>
        <w:t>”) selected by the Company, does not constitute a “parachute payment” within the meaning of Section 280G(b)(2) of the Code (including by reason of Section 280G(b)(4)(A) of the Code) and, in calculating the Excise Tax, no portion of such Total Payments shall be taken into account which, in the opinion of the Independent Advisors, constitutes reasonable compensation for services actually rendered, within the meaning of Section 280G(b)(4)(B) of the Code, in excess of the “base amount” (as defined in Section 280G(b)(3) of the Code) allocable to such reasonable compensation; and (iii) the value of any non-cash benefit or any deferred payment or benefit included in the Total Payments shall be determined by the Independent Advisors in accordance with the principles of Sections 280G(d)(3) and (4) of the Code.</w:t>
      </w:r>
    </w:p>
    <w:p>
      <w:pPr>
        <w:spacing w:after="0" w:line="155" w:lineRule="exact"/>
        <w:rPr>
          <w:sz w:val="20"/>
          <w:szCs w:val="20"/>
          <w:color w:val="auto"/>
        </w:rPr>
      </w:pPr>
    </w:p>
    <w:p>
      <w:pPr>
        <w:ind w:left="1940" w:hanging="656"/>
        <w:spacing w:after="0"/>
        <w:tabs>
          <w:tab w:leader="none" w:pos="194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Confidential Information, Non-Competition and Non-Solicitation</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20" w:right="20" w:firstLine="1304"/>
        <w:spacing w:after="0" w:line="213" w:lineRule="auto"/>
        <w:tabs>
          <w:tab w:leader="none" w:pos="1914"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Executive shall hold in a fiduciary capacity for the benefit of the Company all secret or confidential information, knowledge or data relating to the Company and its subsidiaries and affiliates, which shall have been obtained by the Executive in connection with the Executive’s employment by the Company and which shall not be or become public knowledge (other than by acts by the Executive or representatives of the Executive in violation of this Agreement). After termination of the Executive’s employment with the Company, the Executive shall not, without the prior written consent of the Company or as may otherwise be required by law or legal process, communicate or divulge any such information, knowledge or data, to anyone other than the Company and those designated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the Executive receives actual notice that the Executive is or may be required by law or legal process to communicate or divulge any such information, knowledge or data, the Executive shall promptly so notify the Company.</w:t>
      </w:r>
    </w:p>
    <w:p>
      <w:pPr>
        <w:spacing w:after="0" w:line="162" w:lineRule="exact"/>
        <w:rPr>
          <w:rFonts w:ascii="Times New Roman" w:cs="Times New Roman" w:eastAsia="Times New Roman" w:hAnsi="Times New Roman"/>
          <w:sz w:val="20"/>
          <w:szCs w:val="20"/>
          <w:color w:val="auto"/>
        </w:rPr>
      </w:pPr>
    </w:p>
    <w:p>
      <w:pPr>
        <w:ind w:left="-20" w:firstLine="1304"/>
        <w:spacing w:after="0" w:line="211" w:lineRule="auto"/>
        <w:tabs>
          <w:tab w:leader="none" w:pos="1912"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While employed by the Company and, for a period of 12 months after the Date of Termination, the Executive shall not, at any time, directly or indirectly engage in, have any interest in (including, without limitation, through the investment of capital or lending of money or property), or manage, operate or otherwise render any services to, any person or entity (whether on his own or in association with others, as a principal, director, officer, employee, agent, representative, partner, member, security holder, consultant, advisor, independent contractor, owner, investor, participant or in any other capacity) that engages in (either directly or through any subsidiary or affiliate thereof) in the business of Bitcoin mining or any other business which competes with the products or services sold by or engaged in by the Company as of the Date of Termination (including, without limitation, through the investment of capital or lending of money or property), or that manages, operates or otherwise renders any services in connection with, such business (whether on his own or in association with others, as a principal, director, officer, employee, agent, representative, partner, member, security holder, consultant, advisor, independent contractor, owner, investor, participant or in any other capacity). Notwithstanding the foregoing, the Executive shall be permitted to acquire a passive stock or equity interest in such a person or entity; provided that such stock or other equity interest acquired is less than five percent (5%) of the outstanding interest in such person or entity.</w:t>
      </w:r>
    </w:p>
    <w:p>
      <w:pPr>
        <w:spacing w:after="0" w:line="165" w:lineRule="exact"/>
        <w:rPr>
          <w:rFonts w:ascii="Times New Roman" w:cs="Times New Roman" w:eastAsia="Times New Roman" w:hAnsi="Times New Roman"/>
          <w:sz w:val="20"/>
          <w:szCs w:val="20"/>
          <w:color w:val="auto"/>
        </w:rPr>
      </w:pPr>
    </w:p>
    <w:p>
      <w:pPr>
        <w:ind w:left="-20" w:right="20" w:firstLine="1304"/>
        <w:spacing w:after="0" w:line="213" w:lineRule="auto"/>
        <w:tabs>
          <w:tab w:leader="none" w:pos="1914"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While employed by the Company and, for a period of 12 months after the Date of Termination, the Executive shall not directly or indirectly solicit, induce, or encourage any employee or consultant of any member of the Company and its subsidiaries and affiliates to terminate their employment or other relationship with the Company and its subsidiaries and affiliates or to cease to render services to any member of the Company and its subsidiaries and affiliates and the Executive shall not initiate discussion with any such person for any such purpose or authorize or knowingly cooperate with the taking of any such actions by any other individual or entity. During his employment with the Company and for a period of 12 months after the Date of Termination, the Executive shall not solicit, induce, or encourage any customer, client, vendor, or other party doing business with any member of the Company and its subsidiaries and affiliates to terminate its relationship therewith or transfer its business from any member of the Company and its subsidiaries and affiliates and the Executive shall not initiate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20"/>
          </w:cols>
          <w:pgMar w:left="340" w:top="1399" w:right="339" w:bottom="1440" w:gutter="0" w:footer="0" w:header="0"/>
        </w:sectPr>
      </w:pPr>
    </w:p>
    <w:bookmarkStart w:id="138" w:name="page139"/>
    <w:bookmarkEnd w:id="138"/>
    <w:p>
      <w:pPr>
        <w:ind w:right="200"/>
        <w:spacing w:after="0"/>
        <w:rPr>
          <w:sz w:val="20"/>
          <w:szCs w:val="20"/>
          <w:color w:val="auto"/>
        </w:rPr>
      </w:pPr>
      <w:r>
        <w:rPr>
          <w:rFonts w:ascii="Times New Roman" w:cs="Times New Roman" w:eastAsia="Times New Roman" w:hAnsi="Times New Roman"/>
          <w:sz w:val="20"/>
          <w:szCs w:val="20"/>
          <w:color w:val="auto"/>
        </w:rPr>
        <w:t>discussion with any such person for any such purpose or authorize or knowingly cooperate with the taking of any such actions by any other individual or entity.</w:t>
      </w:r>
    </w:p>
    <w:p>
      <w:pPr>
        <w:spacing w:after="0" w:line="148" w:lineRule="exact"/>
        <w:rPr>
          <w:sz w:val="20"/>
          <w:szCs w:val="20"/>
          <w:color w:val="auto"/>
        </w:rPr>
      </w:pPr>
    </w:p>
    <w:p>
      <w:pPr>
        <w:ind w:right="20" w:firstLine="1304"/>
        <w:spacing w:after="0" w:line="218" w:lineRule="auto"/>
        <w:tabs>
          <w:tab w:leader="none" w:pos="1932"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recognition of the facts that irreparable injury will result to the Company in the event of a breach by the Executive of his obligations under Sections 7(a), (b) and (c) hereof, that monetary damages for such breach would not be readily calculable, and that the Company would not have an adequate remedy at law therefor, the Executive acknowledges, consents and agrees that in the event of such breach, or the threat thereof, the Company shall be entitled, in addition to any other legal remedies and damages available, to specific performance thereof and to temporary and permanent injunctive relief (without the necessity of posting a bond) to restrain the violation or threatened violation of such obligations by the Executive.</w:t>
      </w:r>
    </w:p>
    <w:p>
      <w:pPr>
        <w:spacing w:after="0" w:line="151" w:lineRule="exact"/>
        <w:rPr>
          <w:sz w:val="20"/>
          <w:szCs w:val="20"/>
          <w:color w:val="auto"/>
        </w:rPr>
      </w:pPr>
    </w:p>
    <w:p>
      <w:pPr>
        <w:ind w:firstLine="1304"/>
        <w:spacing w:after="0" w:line="218" w:lineRule="auto"/>
        <w:tabs>
          <w:tab w:leader="none" w:pos="1944"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w:t>
      </w:r>
      <w:r>
        <w:rPr>
          <w:rFonts w:ascii="Times New Roman" w:cs="Times New Roman" w:eastAsia="Times New Roman" w:hAnsi="Times New Roman"/>
          <w:sz w:val="20"/>
          <w:szCs w:val="20"/>
          <w:color w:val="auto"/>
        </w:rPr>
        <w:t>. The Executive hereby represents and warrants to the Company that (a) the Executive is entering into this Agreement voluntarily and that the performance of the Executive’s obligations hereunder will not violate any agreement between the Executive and any other person, firm, organization or other entity, and (b) the Executive is not bound by the terms of any agreement with any previous employer or other party to refrain from competing, directly or indirectly, with the business of such previous employer or other party that would be violated by the Executive’s entering into this Agreement and/or providing services to the Company pursuant to the terms of this Agreement.</w:t>
      </w:r>
    </w:p>
    <w:p>
      <w:pPr>
        <w:spacing w:after="0" w:line="150"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firstLine="1304"/>
        <w:spacing w:after="0" w:line="226" w:lineRule="auto"/>
        <w:tabs>
          <w:tab w:leader="none" w:pos="1934"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is personal to the Executive and, without the prior written consent of the Company, shall not be assignable by the Executive otherwise than by will or the laws of descent and distribution. This Agreement shall inure to the benefit of and be enforceable by the Executive’s legal representatives.</w:t>
      </w:r>
    </w:p>
    <w:p>
      <w:pPr>
        <w:spacing w:after="0" w:line="160"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shall inure to the benefit of and be binding upon the Company and its successors and assigns.</w:t>
      </w:r>
    </w:p>
    <w:p>
      <w:pPr>
        <w:spacing w:after="0" w:line="175" w:lineRule="exact"/>
        <w:rPr>
          <w:rFonts w:ascii="Times New Roman" w:cs="Times New Roman" w:eastAsia="Times New Roman" w:hAnsi="Times New Roman"/>
          <w:sz w:val="20"/>
          <w:szCs w:val="20"/>
          <w:color w:val="auto"/>
        </w:rPr>
      </w:pPr>
    </w:p>
    <w:p>
      <w:pPr>
        <w:ind w:right="60" w:firstLine="1304"/>
        <w:spacing w:after="0" w:line="220" w:lineRule="auto"/>
        <w:tabs>
          <w:tab w:leader="none" w:pos="1934"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require any successor (whether direct or indirect, by purchase, merger, consolidation or otherwise) to all or substantially all of the business and/or assets of the Company to assume and agree to perform this Agreement in the same manner and to the same extent that the Company would be required to perform it if no such succession had taken place. As used in this Agreement, “Company” shall mean the Company as hereinbefore defined and any successor to its business and/or assets as aforesaid which assumes and agrees to perform this Agreement by operation of law, or otherwise.</w:t>
      </w:r>
    </w:p>
    <w:p>
      <w:pPr>
        <w:spacing w:after="0" w:line="161" w:lineRule="exact"/>
        <w:rPr>
          <w:sz w:val="20"/>
          <w:szCs w:val="20"/>
          <w:color w:val="auto"/>
        </w:rPr>
      </w:pPr>
    </w:p>
    <w:p>
      <w:pPr>
        <w:ind w:left="1940" w:hanging="636"/>
        <w:spacing w:after="0"/>
        <w:tabs>
          <w:tab w:leader="none" w:pos="194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right="160" w:firstLine="1304"/>
        <w:spacing w:after="0" w:line="230" w:lineRule="auto"/>
        <w:tabs>
          <w:tab w:leader="none" w:pos="1934"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governed by and construed in accordance with the laws of the State of New York, without reference to principles of conflict of laws. The captions of this Agreement are not part of the provisions hereof and shall have no force or effect.</w:t>
      </w:r>
    </w:p>
    <w:p>
      <w:pPr>
        <w:spacing w:after="0" w:line="148" w:lineRule="exact"/>
        <w:rPr>
          <w:rFonts w:ascii="Times New Roman" w:cs="Times New Roman" w:eastAsia="Times New Roman" w:hAnsi="Times New Roman"/>
          <w:sz w:val="20"/>
          <w:szCs w:val="20"/>
          <w:color w:val="auto"/>
        </w:rPr>
      </w:pPr>
    </w:p>
    <w:p>
      <w:pPr>
        <w:ind w:right="200" w:firstLine="1304"/>
        <w:spacing w:after="0"/>
        <w:tabs>
          <w:tab w:leader="none" w:pos="1932"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and other communications hereunder shall be in writing and shall be given by hand delivery to the other party or by registered or certified mail, return receipt requested, postage prepaid, addressed as follows:</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u w:val="single" w:color="auto"/>
          <w:color w:val="auto"/>
        </w:rPr>
        <w:t>If to the Executive</w:t>
      </w:r>
      <w:r>
        <w:rPr>
          <w:rFonts w:ascii="Times New Roman" w:cs="Times New Roman" w:eastAsia="Times New Roman" w:hAnsi="Times New Roman"/>
          <w:sz w:val="20"/>
          <w:szCs w:val="20"/>
          <w:color w:val="auto"/>
        </w:rPr>
        <w:t>: at the Executive’s most recent address on the records of the Company.</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u w:val="single" w:color="auto"/>
          <w:color w:val="auto"/>
        </w:rPr>
        <w:t>If to the Company</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Cipher Mining Inc.</w:t>
      </w:r>
    </w:p>
    <w:p>
      <w:pPr>
        <w:spacing w:after="0" w:line="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One Vanderbilt Avenue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399" w:right="339" w:bottom="1440" w:gutter="0" w:footer="0" w:header="0"/>
        </w:sectPr>
      </w:pPr>
    </w:p>
    <w:bookmarkStart w:id="139" w:name="page140"/>
    <w:bookmarkEnd w:id="139"/>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Floor 54</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New York, NY 10017</w:t>
      </w:r>
    </w:p>
    <w:p>
      <w:pPr>
        <w:spacing w:after="0" w:line="200"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20"/>
          <w:szCs w:val="20"/>
          <w:color w:val="auto"/>
        </w:rPr>
        <w:t>or to such other address as either party shall have furnished to the other in writing in accordance herewith. Notice and communications shall be effective when actually received by the addressee.</w:t>
      </w:r>
    </w:p>
    <w:p>
      <w:pPr>
        <w:spacing w:after="0" w:line="133" w:lineRule="exact"/>
        <w:rPr>
          <w:sz w:val="20"/>
          <w:szCs w:val="20"/>
          <w:color w:val="auto"/>
        </w:rPr>
      </w:pPr>
    </w:p>
    <w:p>
      <w:pPr>
        <w:ind w:firstLine="1304"/>
        <w:spacing w:after="0" w:line="220" w:lineRule="auto"/>
        <w:tabs>
          <w:tab w:leader="none" w:pos="1934"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Sarbanes-Oxley Act of 2002</w:t>
      </w:r>
      <w:r>
        <w:rPr>
          <w:rFonts w:ascii="Times New Roman" w:cs="Times New Roman" w:eastAsia="Times New Roman" w:hAnsi="Times New Roman"/>
          <w:sz w:val="20"/>
          <w:szCs w:val="20"/>
          <w:color w:val="auto"/>
        </w:rPr>
        <w:t>. Notwithstanding anything herein to the contrary, if the Company determines, in its good faith judgment, that any transfer or deemed transfer of funds hereunder is likely to be construed as a personal loan prohibited by Section 13(k) of the Securities Exchange Act of 1934, as amended, and the rules and regulations promulgated thereunder (the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then such transfer or deemed transfer shall not be made to the extent necessary or appropriate so as not to violate the Exchange Act and the rules and regulations promulgated thereunder.</w:t>
      </w:r>
    </w:p>
    <w:p>
      <w:pPr>
        <w:spacing w:after="0" w:line="160"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 of the Code</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ind w:left="660" w:right="40" w:firstLine="1292"/>
        <w:spacing w:after="0" w:line="212" w:lineRule="auto"/>
        <w:tabs>
          <w:tab w:leader="none" w:pos="2602"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applicable, this Agreement shall be interpreted in accordance with Section 409A of the Code and Department of Treasury regulations and other interpretive guidance issued thereunder (together, “</w:t>
      </w:r>
      <w:r>
        <w:rPr>
          <w:rFonts w:ascii="Times New Roman" w:cs="Times New Roman" w:eastAsia="Times New Roman" w:hAnsi="Times New Roman"/>
          <w:sz w:val="20"/>
          <w:szCs w:val="20"/>
          <w:b w:val="1"/>
          <w:bCs w:val="1"/>
          <w:i w:val="1"/>
          <w:iCs w:val="1"/>
          <w:color w:val="auto"/>
        </w:rPr>
        <w:t>Section 409A</w:t>
      </w:r>
      <w:r>
        <w:rPr>
          <w:rFonts w:ascii="Times New Roman" w:cs="Times New Roman" w:eastAsia="Times New Roman" w:hAnsi="Times New Roman"/>
          <w:sz w:val="20"/>
          <w:szCs w:val="20"/>
          <w:color w:val="auto"/>
        </w:rPr>
        <w:t xml:space="preserve">”). Notwithstanding any provision of this Agreement to the contrary, if the Company determines that any compensation or benefits payable under this Agreement may be subject to Section 409A, the Company shall work in good faith with the Executive to adopt such amendments to this Agreement or adopt other policies and procedures (including amendments, policies and procedures with retroactive effect), or take any other actions, that the Company determines are necessary or appropriate to avoid the imposition of taxes under Section 409A, including without limitation, actions intended to (A) exempt the compensation and benefits payable under this Agreement from Section 409A, and/or (B) comply with the requirements of Section 409A;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that this Section 10(d) shall not create an obligation on the part of the Company to adopt any such amendment, policy or procedure or take any such other action, nor shall the Company have any liability for failing to do so.</w:t>
      </w:r>
    </w:p>
    <w:p>
      <w:pPr>
        <w:spacing w:after="0" w:line="169" w:lineRule="exact"/>
        <w:rPr>
          <w:rFonts w:ascii="Times New Roman" w:cs="Times New Roman" w:eastAsia="Times New Roman" w:hAnsi="Times New Roman"/>
          <w:sz w:val="20"/>
          <w:szCs w:val="20"/>
          <w:color w:val="auto"/>
        </w:rPr>
      </w:pPr>
    </w:p>
    <w:p>
      <w:pPr>
        <w:ind w:left="660" w:right="40" w:firstLine="1292"/>
        <w:spacing w:after="0" w:line="212" w:lineRule="auto"/>
        <w:tabs>
          <w:tab w:leader="none" w:pos="2603"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right to a series of installment payments pursuant to this Agreement is to be treated as a right to a series of separate payments. To the extent permitted under Section 409A, any separate payment or benefit under this Agreement or otherwise shall not be deemed “nonqualified deferred compensation” subject to Section 409A to the extent provided in the exceptions in Treasury Regulation Section 1.409A-1(b)(4), Section 1.409A-1(b)(9) or any other applicable exception or provision of Section 409A. Any payments subject to Section 409A that are subject to execution of a waiver and release which may be executed and/or revoked in a calendar year following the calendar year in which the payment event (such as termination of employment) occurs shall commence payment only in the calendar year in which the consideration period or, if applicable, release revocation period ends, as necessary to comply with Section 409A. All payments of nonqualified deferred compensation subject to Section 409A to be made upon a termination of employment under this Agreement may only be made upon the Executive’s “separation from service” from the Company (within the meaning of Section 409A, a “Separation from Service”).</w:t>
      </w:r>
    </w:p>
    <w:p>
      <w:pPr>
        <w:spacing w:after="0" w:line="155" w:lineRule="exact"/>
        <w:rPr>
          <w:rFonts w:ascii="Times New Roman" w:cs="Times New Roman" w:eastAsia="Times New Roman" w:hAnsi="Times New Roman"/>
          <w:sz w:val="20"/>
          <w:szCs w:val="20"/>
          <w:color w:val="auto"/>
        </w:rPr>
      </w:pPr>
    </w:p>
    <w:p>
      <w:pPr>
        <w:ind w:left="660" w:right="40" w:firstLine="1292"/>
        <w:spacing w:after="0" w:line="218" w:lineRule="auto"/>
        <w:tabs>
          <w:tab w:leader="none" w:pos="2604"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any payments or reimbursements provided to the Executive under this Agreement are deemed to constitute compensation to the Executive to which Treasury Regulation Section 1.409A-3(i)(1)(iv) would apply, such amounts shall be paid or reimbursed reasonably promptly, but not later than December 31 of the year following the year in which the expense was incurred. The amount of any such payments eligible for reimbursement in one year shall not affect the payments or expenses that are eligible for payment or reimbursement in any other taxable year, and the Executive’s right to such payments or reimbursement of any such expenses shall not be subject to liquidation or exchange for any other benefit.</w:t>
      </w:r>
    </w:p>
    <w:p>
      <w:pPr>
        <w:spacing w:after="0" w:line="150" w:lineRule="exact"/>
        <w:rPr>
          <w:rFonts w:ascii="Times New Roman" w:cs="Times New Roman" w:eastAsia="Times New Roman" w:hAnsi="Times New Roman"/>
          <w:sz w:val="20"/>
          <w:szCs w:val="20"/>
          <w:color w:val="auto"/>
        </w:rPr>
      </w:pPr>
    </w:p>
    <w:p>
      <w:pPr>
        <w:ind w:right="340" w:firstLine="1304"/>
        <w:spacing w:after="0"/>
        <w:tabs>
          <w:tab w:leader="none" w:pos="1934"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invalidity or unenforceability of any provision of this Agreement shall not affect the validity or enforceability of any other provision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20"/>
          </w:cols>
          <w:pgMar w:left="320" w:top="1440" w:right="359" w:bottom="1440" w:gutter="0" w:footer="0" w:header="0"/>
        </w:sectPr>
      </w:pPr>
    </w:p>
    <w:bookmarkStart w:id="140" w:name="page141"/>
    <w:bookmarkEnd w:id="140"/>
    <w:p>
      <w:pPr>
        <w:ind w:left="-40" w:right="40" w:firstLine="1304"/>
        <w:spacing w:after="0"/>
        <w:tabs>
          <w:tab w:leader="none" w:pos="1899"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color w:val="auto"/>
        </w:rPr>
        <w:t>. The Company may withhold from any amounts payable under this Agreement such federal, state, local or foreign taxes as shall be required to be withheld pursuant to any applicable law or regulation.</w:t>
      </w:r>
    </w:p>
    <w:p>
      <w:pPr>
        <w:spacing w:after="0" w:line="147" w:lineRule="exact"/>
        <w:rPr>
          <w:rFonts w:ascii="Times New Roman" w:cs="Times New Roman" w:eastAsia="Times New Roman" w:hAnsi="Times New Roman"/>
          <w:sz w:val="20"/>
          <w:szCs w:val="20"/>
          <w:color w:val="auto"/>
        </w:rPr>
      </w:pPr>
    </w:p>
    <w:p>
      <w:pPr>
        <w:ind w:left="-40" w:firstLine="1304"/>
        <w:spacing w:after="0" w:line="222" w:lineRule="auto"/>
        <w:tabs>
          <w:tab w:leader="none" w:pos="1892"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Waiver</w:t>
      </w:r>
      <w:r>
        <w:rPr>
          <w:rFonts w:ascii="Times New Roman" w:cs="Times New Roman" w:eastAsia="Times New Roman" w:hAnsi="Times New Roman"/>
          <w:sz w:val="20"/>
          <w:szCs w:val="20"/>
          <w:color w:val="auto"/>
        </w:rPr>
        <w:t>. The Executive’s or the Company’s failure to insist upon strict compliance with any provision of this Agreement or the failure to assert any right the Executive or the Company may have hereunder, including, without limitation, the right of the Executive to terminate employment for Good Reason pursuant to Section 3(c) hereof, shall not be deemed to be a waiver of such provision or right or any other provision or right of this Agreement.</w:t>
      </w:r>
    </w:p>
    <w:p>
      <w:pPr>
        <w:spacing w:after="0" w:line="161" w:lineRule="exact"/>
        <w:rPr>
          <w:rFonts w:ascii="Times New Roman" w:cs="Times New Roman" w:eastAsia="Times New Roman" w:hAnsi="Times New Roman"/>
          <w:sz w:val="20"/>
          <w:szCs w:val="20"/>
          <w:color w:val="auto"/>
        </w:rPr>
      </w:pPr>
    </w:p>
    <w:p>
      <w:pPr>
        <w:jc w:val="both"/>
        <w:ind w:left="-40" w:right="100" w:firstLine="1304"/>
        <w:spacing w:after="0" w:line="237" w:lineRule="auto"/>
        <w:tabs>
          <w:tab w:leader="none" w:pos="1892"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 As of the Effective Date, this Agreement constitutes the final, complete and exclusive agreement between the Executive and the Company with respect to the subject matter hereof and replaces and supersedes any and all other agreements, offers or promises, whether oral or written, by any member of the Company and its subsidiaries or affiliates, or representative thereof.</w:t>
      </w:r>
    </w:p>
    <w:p>
      <w:pPr>
        <w:spacing w:after="0" w:line="162" w:lineRule="exact"/>
        <w:rPr>
          <w:rFonts w:ascii="Times New Roman" w:cs="Times New Roman" w:eastAsia="Times New Roman" w:hAnsi="Times New Roman"/>
          <w:sz w:val="19"/>
          <w:szCs w:val="19"/>
          <w:color w:val="auto"/>
        </w:rPr>
      </w:pPr>
    </w:p>
    <w:p>
      <w:pPr>
        <w:ind w:left="-40" w:right="200" w:firstLine="1304"/>
        <w:spacing w:after="0"/>
        <w:tabs>
          <w:tab w:leader="none" w:pos="1902"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No amendment or other modification of this Agreement shall be effective unless made in writing and signed by the parties hereto.</w:t>
      </w:r>
    </w:p>
    <w:p>
      <w:pPr>
        <w:spacing w:after="0" w:line="147" w:lineRule="exact"/>
        <w:rPr>
          <w:rFonts w:ascii="Times New Roman" w:cs="Times New Roman" w:eastAsia="Times New Roman" w:hAnsi="Times New Roman"/>
          <w:sz w:val="20"/>
          <w:szCs w:val="20"/>
          <w:color w:val="auto"/>
        </w:rPr>
      </w:pPr>
    </w:p>
    <w:p>
      <w:pPr>
        <w:ind w:left="-40" w:right="60" w:firstLine="1304"/>
        <w:spacing w:after="0"/>
        <w:tabs>
          <w:tab w:leader="none" w:pos="1902"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and any agreement referenced herein may be executed simultaneously in two or more counterparts, each of which shall be deemed an original but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 APPEAR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180"/>
          </w:cols>
          <w:pgMar w:left="360" w:top="1399" w:right="359" w:bottom="1440" w:gutter="0" w:footer="0" w:header="0"/>
        </w:sectPr>
      </w:pPr>
    </w:p>
    <w:bookmarkStart w:id="141" w:name="page142"/>
    <w:bookmarkEnd w:id="141"/>
    <w:p>
      <w:pPr>
        <w:ind w:firstLine="1296"/>
        <w:spacing w:after="0" w:line="283" w:lineRule="auto"/>
        <w:rPr>
          <w:sz w:val="20"/>
          <w:szCs w:val="20"/>
          <w:color w:val="auto"/>
        </w:rPr>
      </w:pPr>
      <w:r>
        <w:rPr>
          <w:rFonts w:ascii="Times New Roman" w:cs="Times New Roman" w:eastAsia="Times New Roman" w:hAnsi="Times New Roman"/>
          <w:sz w:val="20"/>
          <w:szCs w:val="20"/>
          <w:color w:val="auto"/>
        </w:rPr>
        <w:t>IN WITNESS WHEREOF, the Executive has hereunto set the Executive’s hand and, pursuant to the authorization from the Board, the Company has caused these presents to be executed in its name on its behalf, all as of the day and year first above written.</w:t>
      </w:r>
    </w:p>
    <w:p>
      <w:pPr>
        <w:spacing w:after="0" w:line="18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“COMPANY”</w:t>
      </w:r>
    </w:p>
    <w:p>
      <w:pPr>
        <w:spacing w:after="0" w:line="28" w:lineRule="exact"/>
        <w:rPr>
          <w:sz w:val="20"/>
          <w:szCs w:val="20"/>
          <w:color w:val="auto"/>
        </w:rPr>
      </w:pPr>
    </w:p>
    <w:p>
      <w:pPr>
        <w:ind w:left="3920"/>
        <w:spacing w:after="0"/>
        <w:tabs>
          <w:tab w:leader="none" w:pos="4400" w:val="left"/>
        </w:tabs>
        <w:rPr>
          <w:sz w:val="20"/>
          <w:szCs w:val="20"/>
          <w:color w:val="auto"/>
        </w:rPr>
      </w:pPr>
      <w:r>
        <w:rPr>
          <w:rFonts w:ascii="Times New Roman" w:cs="Times New Roman" w:eastAsia="Times New Roman" w:hAnsi="Times New Roman"/>
          <w:sz w:val="20"/>
          <w:szCs w:val="20"/>
          <w:color w:val="auto"/>
        </w:rPr>
        <w:t>By:</w:t>
        <w:tab/>
        <w:t>/s/ Tyler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21590</wp:posOffset>
            </wp:positionV>
            <wp:extent cx="194564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3">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1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Name: Tyler Page</w:t>
      </w:r>
    </w:p>
    <w:p>
      <w:pPr>
        <w:spacing w:after="0" w:line="2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“EXECUTIVE”</w:t>
      </w:r>
    </w:p>
    <w:p>
      <w:pPr>
        <w:spacing w:after="0" w:line="2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0"/>
          <w:szCs w:val="20"/>
          <w:color w:val="auto"/>
        </w:rPr>
        <w:t>/s/ Gregory Mumford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21590</wp:posOffset>
            </wp:positionV>
            <wp:extent cx="200596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4">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1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0"/>
          <w:szCs w:val="20"/>
          <w:color w:val="auto"/>
        </w:rPr>
        <w:t>Gregory Mumford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[Signature Page to Employment Agreement]</w:t>
      </w:r>
    </w:p>
    <w:p>
      <w:pPr>
        <w:sectPr>
          <w:pgSz w:w="11900" w:h="16838" w:orient="portrait"/>
          <w:cols w:equalWidth="0" w:num="1">
            <w:col w:w="11040"/>
          </w:cols>
          <w:pgMar w:left="320" w:top="1413" w:right="539" w:bottom="1440" w:gutter="0" w:footer="0" w:header="0"/>
        </w:sectPr>
      </w:pPr>
    </w:p>
    <w:bookmarkStart w:id="142" w:name="page143"/>
    <w:bookmarkEnd w:id="142"/>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BOARD OF DIRECTORS OR ADVISORY BOARDS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OF THE FOLLOWING COMPANIES AND ORGANIZATIONS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None.</w:t>
      </w:r>
    </w:p>
    <w:p>
      <w:pPr>
        <w:sectPr>
          <w:pgSz w:w="11900" w:h="16838" w:orient="portrait"/>
          <w:cols w:equalWidth="0" w:num="1">
            <w:col w:w="9019"/>
          </w:cols>
          <w:pgMar w:left="1440" w:top="1409" w:right="1440" w:bottom="1440" w:gutter="0" w:footer="0" w:header="0"/>
        </w:sectPr>
      </w:pPr>
    </w:p>
    <w:bookmarkStart w:id="143" w:name="page144"/>
    <w:bookmarkEnd w:id="143"/>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EXHIBIT B</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GENERAL RELEASE</w:t>
      </w:r>
    </w:p>
    <w:p>
      <w:pPr>
        <w:spacing w:after="0" w:line="220" w:lineRule="exact"/>
        <w:rPr>
          <w:sz w:val="20"/>
          <w:szCs w:val="20"/>
          <w:color w:val="auto"/>
        </w:rPr>
      </w:pPr>
    </w:p>
    <w:p>
      <w:pPr>
        <w:ind w:firstLine="1296"/>
        <w:spacing w:after="0" w:line="248" w:lineRule="auto"/>
        <w:rPr>
          <w:sz w:val="20"/>
          <w:szCs w:val="20"/>
          <w:color w:val="auto"/>
        </w:rPr>
      </w:pPr>
      <w:r>
        <w:rPr>
          <w:rFonts w:ascii="Times New Roman" w:cs="Times New Roman" w:eastAsia="Times New Roman" w:hAnsi="Times New Roman"/>
          <w:sz w:val="20"/>
          <w:szCs w:val="20"/>
          <w:color w:val="auto"/>
        </w:rPr>
        <w:t>For valuable consideration, the receipt and adequacy of which are hereby acknowledged, the undersigned does hereby release and forever discharge the “</w:t>
      </w:r>
      <w:r>
        <w:rPr>
          <w:rFonts w:ascii="Times New Roman" w:cs="Times New Roman" w:eastAsia="Times New Roman" w:hAnsi="Times New Roman"/>
          <w:sz w:val="20"/>
          <w:szCs w:val="20"/>
          <w:b w:val="1"/>
          <w:bCs w:val="1"/>
          <w:i w:val="1"/>
          <w:iCs w:val="1"/>
          <w:color w:val="auto"/>
        </w:rPr>
        <w:t>Releasees</w:t>
      </w:r>
      <w:r>
        <w:rPr>
          <w:rFonts w:ascii="Times New Roman" w:cs="Times New Roman" w:eastAsia="Times New Roman" w:hAnsi="Times New Roman"/>
          <w:sz w:val="20"/>
          <w:szCs w:val="20"/>
          <w:color w:val="auto"/>
        </w:rPr>
        <w:t>” hereunder, consisting of Cipher Mining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and its partners, subsidiaries, associates, affiliates, successors, heirs, assigns, agents, directors, officers, employees, representatives, lawyers, insurers, and all persons acting by, through, under or in concert with them, or any of them, of and from any and all manner of action or actions, cause or causes of action, in law or in equity, suits, debts, liens, contracts, agreements, promises, liability, claims, demands, damages, losses, costs, attorneys’ fees or expenses, of any nature whatsoever, known or unknown, fixed or contingent (hereinafter called “</w:t>
      </w:r>
      <w:r>
        <w:rPr>
          <w:rFonts w:ascii="Times New Roman" w:cs="Times New Roman" w:eastAsia="Times New Roman" w:hAnsi="Times New Roman"/>
          <w:sz w:val="20"/>
          <w:szCs w:val="20"/>
          <w:b w:val="1"/>
          <w:bCs w:val="1"/>
          <w:i w:val="1"/>
          <w:iCs w:val="1"/>
          <w:color w:val="auto"/>
        </w:rPr>
        <w:t>Claims</w:t>
      </w:r>
      <w:r>
        <w:rPr>
          <w:rFonts w:ascii="Times New Roman" w:cs="Times New Roman" w:eastAsia="Times New Roman" w:hAnsi="Times New Roman"/>
          <w:sz w:val="20"/>
          <w:szCs w:val="20"/>
          <w:color w:val="auto"/>
        </w:rPr>
        <w:t>”), which the undersigned now has or may hereafter have against the Releasees, or any of them, by reason of any matter, cause, or thing whatsoever from the beginning of time to the date hereof. The Claims released herein include, without limiting the generality of the foregoing, any Claims in any way arising out of, based upon, or related to the employment or termination of employment of the undersigned by the Releasees, or any of them; any alleged breach of any express or implied contract of employment; any alleged torts or other alleged legal restrictions on Releasees’ right to terminate the employment of the undersigned; and any alleged violation of any federal, state or local statute or ordinance including, without limitation, Title VII of the Civil Rights Act of 1964, the Age Discrimination In Employment Act, the Americans With Disabilities Act, the New York State Human Rights Law, the New York Labor Law (including but not limited to the Retaliatory Action by Employers Law, the New York State Worker Adjustment and Retraining Notification Act, all provisions prohibiting discrimination and retaliation, and all provisions regulating wage and hour law), the New York Civil Rights Law, Section 125 of the New York Workers’ Compensation Law, the New York City Human Rights Law. Notwithstanding the foregoing, this general release (the “</w:t>
      </w:r>
      <w:r>
        <w:rPr>
          <w:rFonts w:ascii="Times New Roman" w:cs="Times New Roman" w:eastAsia="Times New Roman" w:hAnsi="Times New Roman"/>
          <w:sz w:val="20"/>
          <w:szCs w:val="20"/>
          <w:b w:val="1"/>
          <w:bCs w:val="1"/>
          <w:i w:val="1"/>
          <w:iCs w:val="1"/>
          <w:color w:val="auto"/>
        </w:rPr>
        <w:t>Release</w:t>
      </w:r>
      <w:r>
        <w:rPr>
          <w:rFonts w:ascii="Times New Roman" w:cs="Times New Roman" w:eastAsia="Times New Roman" w:hAnsi="Times New Roman"/>
          <w:sz w:val="20"/>
          <w:szCs w:val="20"/>
          <w:color w:val="auto"/>
        </w:rPr>
        <w:t>”) shall not operate to release any rights or claims of the undersigned (i) to payments or benefits under Section 4(a) of that certain Employment Agreement, effective as of [ ], between the Company and the undersigned (the “</w:t>
      </w:r>
      <w:r>
        <w:rPr>
          <w:rFonts w:ascii="Times New Roman" w:cs="Times New Roman" w:eastAsia="Times New Roman" w:hAnsi="Times New Roman"/>
          <w:sz w:val="20"/>
          <w:szCs w:val="20"/>
          <w:b w:val="1"/>
          <w:bCs w:val="1"/>
          <w:i w:val="1"/>
          <w:iCs w:val="1"/>
          <w:color w:val="auto"/>
        </w:rPr>
        <w:t>Employment Agreement</w:t>
      </w:r>
      <w:r>
        <w:rPr>
          <w:rFonts w:ascii="Times New Roman" w:cs="Times New Roman" w:eastAsia="Times New Roman" w:hAnsi="Times New Roman"/>
          <w:sz w:val="20"/>
          <w:szCs w:val="20"/>
          <w:color w:val="auto"/>
        </w:rPr>
        <w:t>”), (ii) to payments or benefits under any equity award agreement between the undersigned and the Company, (iii) with respect to Section 2(b)(v) of the Employment Agreement, (iv) to accrued or vested benefits the undersigned may have, if any, as of the date hereof under any applicable plan, policy, practice, program, contract or agreement with the Company, (v) to any Claims, including claims for indemnification and/or advancement of expenses arising under any indemnification agreement between the undersigned and the Company or under the bylaws, certificate of incorporation or other similar governing document of the Company, (vi) to any Claims which cannot be waived by an employee under applicable law or (vii) with respect to the undersigned’s right to communicate directly with, cooperate with, or provide information to, any federal, state or local government regulator.</w:t>
      </w:r>
    </w:p>
    <w:p>
      <w:pPr>
        <w:spacing w:after="0" w:line="215" w:lineRule="exact"/>
        <w:rPr>
          <w:sz w:val="20"/>
          <w:szCs w:val="20"/>
          <w:color w:val="auto"/>
        </w:rPr>
      </w:pPr>
    </w:p>
    <w:p>
      <w:pPr>
        <w:ind w:firstLine="1296"/>
        <w:spacing w:after="0" w:line="283" w:lineRule="auto"/>
        <w:rPr>
          <w:sz w:val="20"/>
          <w:szCs w:val="20"/>
          <w:color w:val="auto"/>
        </w:rPr>
      </w:pPr>
      <w:r>
        <w:rPr>
          <w:rFonts w:ascii="Times New Roman" w:cs="Times New Roman" w:eastAsia="Times New Roman" w:hAnsi="Times New Roman"/>
          <w:sz w:val="20"/>
          <w:szCs w:val="20"/>
          <w:color w:val="auto"/>
        </w:rPr>
        <w:t>[IN ACCORDANCE WITH THE OLDER WORKERS BENEFIT PROTECTION ACT OF 1990, THE UNDERSIGNED IS HEREBY ADVISED AS FOLLOWS:</w:t>
      </w:r>
    </w:p>
    <w:p>
      <w:pPr>
        <w:spacing w:after="0" w:line="146" w:lineRule="exact"/>
        <w:rPr>
          <w:sz w:val="20"/>
          <w:szCs w:val="20"/>
          <w:color w:val="auto"/>
        </w:rPr>
      </w:pPr>
    </w:p>
    <w:p>
      <w:pPr>
        <w:ind w:left="1780" w:hanging="476"/>
        <w:spacing w:after="0"/>
        <w:tabs>
          <w:tab w:leader="none" w:pos="178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HAS THE RIGHT TO CONSULT WITH AN ATTORNEY BEFORE SIGNING THIS</w:t>
      </w:r>
    </w:p>
    <w:p>
      <w:pPr>
        <w:spacing w:after="0" w:line="28"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RELEASE;</w:t>
      </w:r>
    </w:p>
    <w:p>
      <w:pPr>
        <w:spacing w:after="0" w:line="200" w:lineRule="exact"/>
        <w:rPr>
          <w:rFonts w:ascii="Times New Roman" w:cs="Times New Roman" w:eastAsia="Times New Roman" w:hAnsi="Times New Roman"/>
          <w:sz w:val="20"/>
          <w:szCs w:val="20"/>
          <w:color w:val="auto"/>
        </w:rPr>
      </w:pPr>
    </w:p>
    <w:p>
      <w:pPr>
        <w:ind w:left="1760" w:hanging="456"/>
        <w:spacing w:after="0"/>
        <w:tabs>
          <w:tab w:leader="none" w:pos="176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HAS TWENTY-ONE (21) DAYS TO CONSIDER THIS RELEASE BEFORE SIGNING</w:t>
      </w:r>
    </w:p>
    <w:p>
      <w:pPr>
        <w:spacing w:after="0" w:line="28"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AND</w:t>
      </w:r>
    </w:p>
    <w:p>
      <w:pPr>
        <w:sectPr>
          <w:pgSz w:w="11900" w:h="16838" w:orient="portrait"/>
          <w:cols w:equalWidth="0" w:num="1">
            <w:col w:w="11220"/>
          </w:cols>
          <w:pgMar w:left="320" w:top="1440" w:right="359" w:bottom="1440" w:gutter="0" w:footer="0" w:header="0"/>
        </w:sectPr>
      </w:pPr>
    </w:p>
    <w:bookmarkStart w:id="144" w:name="page145"/>
    <w:bookmarkEnd w:id="144"/>
    <w:p>
      <w:pPr>
        <w:ind w:left="660" w:right="700" w:firstLine="644"/>
        <w:spacing w:after="0" w:line="261" w:lineRule="auto"/>
        <w:tabs>
          <w:tab w:leader="none" w:pos="1766"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HAS SEVEN (7) DAYS AFTER SIGNING THIS RELEASE TO REVOKE THIS RELEASE, AND THIS RELEASE WILL BECOME EFFECTIVE UPON THE EXPIRATION OF THAT REVOCATION PERIOD.]</w:t>
      </w:r>
    </w:p>
    <w:p>
      <w:pPr>
        <w:spacing w:after="0" w:line="181" w:lineRule="exact"/>
        <w:rPr>
          <w:sz w:val="20"/>
          <w:szCs w:val="20"/>
          <w:color w:val="auto"/>
        </w:rPr>
      </w:pPr>
    </w:p>
    <w:p>
      <w:pPr>
        <w:ind w:right="40" w:firstLine="1296"/>
        <w:spacing w:after="0" w:line="253" w:lineRule="auto"/>
        <w:rPr>
          <w:sz w:val="20"/>
          <w:szCs w:val="20"/>
          <w:color w:val="auto"/>
        </w:rPr>
      </w:pPr>
      <w:r>
        <w:rPr>
          <w:rFonts w:ascii="Times New Roman" w:cs="Times New Roman" w:eastAsia="Times New Roman" w:hAnsi="Times New Roman"/>
          <w:sz w:val="20"/>
          <w:szCs w:val="20"/>
          <w:color w:val="auto"/>
        </w:rPr>
        <w:t>The undersigned represents and warrants that there has been no assignment or other transfer of any interest in any Claim which the Executive may have against Releasees, or any of them, and the undersigned agrees to indemnify and hold Releasees, and each of them, harmless from any liability, Claims, demands, damages, costs, expenses and attorneys’ fees incurred by Releasees, or any of them, as the result of any such assignment or transfer or any rights or Claims under any such assignment or transfer. It is the intention of the parties that this indemnity does not require payment as a condition precedent to recovery by the Releasees against the undersigned under this indemnity.</w:t>
      </w:r>
    </w:p>
    <w:p>
      <w:pPr>
        <w:spacing w:after="0" w:line="179" w:lineRule="exact"/>
        <w:rPr>
          <w:sz w:val="20"/>
          <w:szCs w:val="20"/>
          <w:color w:val="auto"/>
        </w:rPr>
      </w:pPr>
    </w:p>
    <w:p>
      <w:pPr>
        <w:ind w:right="80" w:firstLine="1296"/>
        <w:spacing w:after="0" w:line="257" w:lineRule="auto"/>
        <w:rPr>
          <w:sz w:val="20"/>
          <w:szCs w:val="20"/>
          <w:color w:val="auto"/>
        </w:rPr>
      </w:pPr>
      <w:r>
        <w:rPr>
          <w:rFonts w:ascii="Times New Roman" w:cs="Times New Roman" w:eastAsia="Times New Roman" w:hAnsi="Times New Roman"/>
          <w:sz w:val="20"/>
          <w:szCs w:val="20"/>
          <w:color w:val="auto"/>
        </w:rPr>
        <w:t>Notwithstanding anything herein, the undersigned acknowledges and agrees that, pursuant to 18 USC Section 1833(b), the undersigned will not be held criminally or civilly liable under any federal or state trade secret law for the disclosure of a trade secret that is made: (i) in confidence to a federal, state, or local government official, either directly or indirectly, or to an attorney, and solely for the purpose of reporting or investigating a suspected violation of law; or (ii) in a complaint or other document filed in a lawsuit or other proceeding, if such filing is made under seal.</w:t>
      </w:r>
    </w:p>
    <w:p>
      <w:pPr>
        <w:spacing w:after="0" w:line="173" w:lineRule="exact"/>
        <w:rPr>
          <w:sz w:val="20"/>
          <w:szCs w:val="20"/>
          <w:color w:val="auto"/>
        </w:rPr>
      </w:pPr>
    </w:p>
    <w:p>
      <w:pPr>
        <w:ind w:right="80" w:firstLine="1296"/>
        <w:spacing w:after="0" w:line="258" w:lineRule="auto"/>
        <w:rPr>
          <w:sz w:val="20"/>
          <w:szCs w:val="20"/>
          <w:color w:val="auto"/>
        </w:rPr>
      </w:pPr>
      <w:r>
        <w:rPr>
          <w:rFonts w:ascii="Times New Roman" w:cs="Times New Roman" w:eastAsia="Times New Roman" w:hAnsi="Times New Roman"/>
          <w:sz w:val="20"/>
          <w:szCs w:val="20"/>
          <w:color w:val="auto"/>
        </w:rPr>
        <w:t>The undersigned agrees that if the Executive hereafter commences any suit arising out of, based upon, or relating to any of the Claims released hereunder or in any manner asserts against Releasees, or any of them, any of the Claims released hereunder, then the undersigned agrees to pay to Releasees, and each of them, in addition to any other damages caused to Releasees thereby, all attorneys’ fees incurred by Releasees in defending or otherwise responding to said suit or Claim.</w:t>
      </w:r>
    </w:p>
    <w:p>
      <w:pPr>
        <w:spacing w:after="0" w:line="186"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20"/>
          <w:szCs w:val="20"/>
          <w:color w:val="auto"/>
        </w:rPr>
        <w:t>The undersigned further understands and agrees that neither the payment of any sum of money nor the execution of this Release shall constitute or be construed as an admission of any liability whatsoever by the Releasees, or any of them, who have consistently taken the position that they have no liability whatsoever to the undersigned.</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IN WITNESS WHEREOF, the undersigned has executed this Release this ____ day of ____________, 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520065</wp:posOffset>
            </wp:positionV>
            <wp:extent cx="306006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5">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ectPr>
          <w:pgSz w:w="11900" w:h="16838" w:orient="portrait"/>
          <w:cols w:equalWidth="0" w:num="1">
            <w:col w:w="11080"/>
          </w:cols>
          <w:pgMar w:left="320" w:top="1413" w:right="49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10.24</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CONSULTING SERVICES AGREEMENT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6, 2025</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Mr. Edward Farrell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the address on file with the Company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Ed:</w:t>
      </w:r>
    </w:p>
    <w:p>
      <w:pPr>
        <w:spacing w:after="0" w:line="24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color w:val="auto"/>
        </w:rPr>
        <w:t>This letter (the “</w:t>
      </w:r>
      <w:r>
        <w:rPr>
          <w:rFonts w:ascii="Times New Roman" w:cs="Times New Roman" w:eastAsia="Times New Roman" w:hAnsi="Times New Roman"/>
          <w:sz w:val="22"/>
          <w:szCs w:val="22"/>
          <w:b w:val="1"/>
          <w:bCs w:val="1"/>
          <w:color w:val="auto"/>
        </w:rPr>
        <w:t>Letter Agreement</w:t>
      </w:r>
      <w:r>
        <w:rPr>
          <w:rFonts w:ascii="Times New Roman" w:cs="Times New Roman" w:eastAsia="Times New Roman" w:hAnsi="Times New Roman"/>
          <w:sz w:val="22"/>
          <w:szCs w:val="22"/>
          <w:color w:val="auto"/>
        </w:rPr>
        <w:t>”) confirms the agreement between you and Cipher Mining Inc. (together with its subsidiaries and affiliates,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describing the terms and conditions of your consulting services to the Company and the transition of your duties and responsibilities on behalf of the Company following your retirement from the Company.</w:t>
      </w:r>
    </w:p>
    <w:p>
      <w:pPr>
        <w:spacing w:after="0" w:line="207" w:lineRule="exact"/>
        <w:rPr>
          <w:sz w:val="20"/>
          <w:szCs w:val="20"/>
          <w:color w:val="auto"/>
        </w:rPr>
      </w:pPr>
    </w:p>
    <w:p>
      <w:pPr>
        <w:jc w:val="both"/>
        <w:ind w:firstLine="332"/>
        <w:spacing w:after="0" w:line="248" w:lineRule="auto"/>
        <w:tabs>
          <w:tab w:leader="none" w:pos="648"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Retirement and Transition Services</w:t>
      </w:r>
      <w:r>
        <w:rPr>
          <w:rFonts w:ascii="Times New Roman" w:cs="Times New Roman" w:eastAsia="Times New Roman" w:hAnsi="Times New Roman"/>
          <w:sz w:val="22"/>
          <w:szCs w:val="22"/>
          <w:color w:val="auto"/>
        </w:rPr>
        <w:t>. You will remain employed with the Company as the Chief Financial Officer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CFO</w:t>
      </w:r>
      <w:r>
        <w:rPr>
          <w:rFonts w:ascii="Times New Roman" w:cs="Times New Roman" w:eastAsia="Times New Roman" w:hAnsi="Times New Roman"/>
          <w:sz w:val="22"/>
          <w:szCs w:val="22"/>
          <w:color w:val="auto"/>
        </w:rPr>
        <w:t>”) pursuant to the terms of that certain employment agreement entered into by and between you and Cipher Mining Technologies Inc. dated as of May 11, 2021 (the “</w:t>
      </w:r>
      <w:r>
        <w:rPr>
          <w:rFonts w:ascii="Times New Roman" w:cs="Times New Roman" w:eastAsia="Times New Roman" w:hAnsi="Times New Roman"/>
          <w:sz w:val="22"/>
          <w:szCs w:val="22"/>
          <w:b w:val="1"/>
          <w:bCs w:val="1"/>
          <w:color w:val="auto"/>
        </w:rPr>
        <w:t>Employment Agreement</w:t>
      </w:r>
      <w:r>
        <w:rPr>
          <w:rFonts w:ascii="Times New Roman" w:cs="Times New Roman" w:eastAsia="Times New Roman" w:hAnsi="Times New Roman"/>
          <w:sz w:val="22"/>
          <w:szCs w:val="22"/>
          <w:color w:val="auto"/>
        </w:rPr>
        <w:t>”) through the date of your retirement, which such date shall be the earlier of October 14, 2025 or the date your successor assumes the role of CFO following appointment by the Board of Directors (the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of the Company (such date, the “</w:t>
      </w:r>
      <w:r>
        <w:rPr>
          <w:rFonts w:ascii="Times New Roman" w:cs="Times New Roman" w:eastAsia="Times New Roman" w:hAnsi="Times New Roman"/>
          <w:sz w:val="22"/>
          <w:szCs w:val="22"/>
          <w:b w:val="1"/>
          <w:bCs w:val="1"/>
          <w:color w:val="auto"/>
        </w:rPr>
        <w:t>Retirement Date</w:t>
      </w:r>
      <w:r>
        <w:rPr>
          <w:rFonts w:ascii="Times New Roman" w:cs="Times New Roman" w:eastAsia="Times New Roman" w:hAnsi="Times New Roman"/>
          <w:sz w:val="22"/>
          <w:szCs w:val="22"/>
          <w:color w:val="auto"/>
        </w:rPr>
        <w:t>” and such period, the “</w:t>
      </w:r>
      <w:r>
        <w:rPr>
          <w:rFonts w:ascii="Times New Roman" w:cs="Times New Roman" w:eastAsia="Times New Roman" w:hAnsi="Times New Roman"/>
          <w:sz w:val="22"/>
          <w:szCs w:val="22"/>
          <w:b w:val="1"/>
          <w:bCs w:val="1"/>
          <w:color w:val="auto"/>
        </w:rPr>
        <w:t>Pre-Retirement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Period</w:t>
      </w:r>
      <w:r>
        <w:rPr>
          <w:rFonts w:ascii="Times New Roman" w:cs="Times New Roman" w:eastAsia="Times New Roman" w:hAnsi="Times New Roman"/>
          <w:sz w:val="22"/>
          <w:szCs w:val="22"/>
          <w:color w:val="auto"/>
        </w:rPr>
        <w:t>”). Effective as of the Retirement Date, your employment with the Company and status as an employee, officer, director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board member and any other position with the Company shall terminate. You agree that, from the date of this Letter Agreement through and including the Retirement Date, you will continue to perform your duties and responsibilities as the CFO in a professional manner and perform any additional duties and responsibilities and follow all directions as may be reasonably requested by the Company’s Chief Executive Officer (the “</w:t>
      </w:r>
      <w:r>
        <w:rPr>
          <w:rFonts w:ascii="Times New Roman" w:cs="Times New Roman" w:eastAsia="Times New Roman" w:hAnsi="Times New Roman"/>
          <w:sz w:val="22"/>
          <w:szCs w:val="22"/>
          <w:b w:val="1"/>
          <w:bCs w:val="1"/>
          <w:color w:val="auto"/>
        </w:rPr>
        <w:t>CEO</w:t>
      </w:r>
      <w:r>
        <w:rPr>
          <w:rFonts w:ascii="Times New Roman" w:cs="Times New Roman" w:eastAsia="Times New Roman" w:hAnsi="Times New Roman"/>
          <w:sz w:val="22"/>
          <w:szCs w:val="22"/>
          <w:color w:val="auto"/>
        </w:rPr>
        <w:t>”) and/or the Board from time to time. You further acknowledge and agree that you will cooperate in effecting an orderly, smooth, and efficient transition of your duties and responsibilities to your successor as the Company may direct.</w:t>
      </w:r>
    </w:p>
    <w:p>
      <w:pPr>
        <w:spacing w:after="0" w:line="211" w:lineRule="exact"/>
        <w:rPr>
          <w:rFonts w:ascii="Times New Roman" w:cs="Times New Roman" w:eastAsia="Times New Roman" w:hAnsi="Times New Roman"/>
          <w:sz w:val="22"/>
          <w:szCs w:val="22"/>
          <w:color w:val="auto"/>
        </w:rPr>
      </w:pPr>
    </w:p>
    <w:p>
      <w:pPr>
        <w:jc w:val="both"/>
        <w:ind w:firstLine="332"/>
        <w:spacing w:after="0" w:line="250" w:lineRule="auto"/>
        <w:tabs>
          <w:tab w:leader="none" w:pos="648"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Consulting Services</w:t>
      </w:r>
      <w:r>
        <w:rPr>
          <w:rFonts w:ascii="Times New Roman" w:cs="Times New Roman" w:eastAsia="Times New Roman" w:hAnsi="Times New Roman"/>
          <w:sz w:val="22"/>
          <w:szCs w:val="22"/>
          <w:color w:val="auto"/>
        </w:rPr>
        <w:t>. During the period commencing immediately following the Retirement Date and ending on April 17,</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2026 (the “</w:t>
      </w:r>
      <w:r>
        <w:rPr>
          <w:rFonts w:ascii="Times New Roman" w:cs="Times New Roman" w:eastAsia="Times New Roman" w:hAnsi="Times New Roman"/>
          <w:sz w:val="22"/>
          <w:szCs w:val="22"/>
          <w:b w:val="1"/>
          <w:bCs w:val="1"/>
          <w:color w:val="auto"/>
        </w:rPr>
        <w:t>Consulting Period</w:t>
      </w:r>
      <w:r>
        <w:rPr>
          <w:rFonts w:ascii="Times New Roman" w:cs="Times New Roman" w:eastAsia="Times New Roman" w:hAnsi="Times New Roman"/>
          <w:sz w:val="22"/>
          <w:szCs w:val="22"/>
          <w:color w:val="auto"/>
        </w:rPr>
        <w:t>”), you agree to provide consulting services to the Company as a consultant (“</w:t>
      </w:r>
      <w:r>
        <w:rPr>
          <w:rFonts w:ascii="Times New Roman" w:cs="Times New Roman" w:eastAsia="Times New Roman" w:hAnsi="Times New Roman"/>
          <w:sz w:val="22"/>
          <w:szCs w:val="22"/>
          <w:b w:val="1"/>
          <w:bCs w:val="1"/>
          <w:color w:val="auto"/>
        </w:rPr>
        <w:t>Consultant</w:t>
      </w:r>
      <w:r>
        <w:rPr>
          <w:rFonts w:ascii="Times New Roman" w:cs="Times New Roman" w:eastAsia="Times New Roman" w:hAnsi="Times New Roman"/>
          <w:sz w:val="22"/>
          <w:szCs w:val="22"/>
          <w:color w:val="auto"/>
        </w:rPr>
        <w:t>”) with respect to the types of matters that were subject to your purview as the CFO prior to the Retirement Date, including, but not limited to, assisting with the transition of your duties and responsibilities, responding to inquiries regarding matters with which you were involved prior to the Retirement Date, and assisting with any other such matters as may be reasonably requested by the Company (the “</w:t>
      </w:r>
      <w:r>
        <w:rPr>
          <w:rFonts w:ascii="Times New Roman" w:cs="Times New Roman" w:eastAsia="Times New Roman" w:hAnsi="Times New Roman"/>
          <w:sz w:val="22"/>
          <w:szCs w:val="22"/>
          <w:b w:val="1"/>
          <w:bCs w:val="1"/>
          <w:color w:val="auto"/>
        </w:rPr>
        <w:t>Consulting Services</w:t>
      </w:r>
      <w:r>
        <w:rPr>
          <w:rFonts w:ascii="Times New Roman" w:cs="Times New Roman" w:eastAsia="Times New Roman" w:hAnsi="Times New Roman"/>
          <w:sz w:val="22"/>
          <w:szCs w:val="22"/>
          <w:color w:val="auto"/>
        </w:rPr>
        <w:t>”). You shall provide the Consulting Services remotely, or as requested by the Company, in person at the</w:t>
      </w:r>
    </w:p>
    <w:p>
      <w:pPr>
        <w:sectPr>
          <w:pgSz w:w="11900" w:h="16838" w:orient="portrait"/>
          <w:cols w:equalWidth="0" w:num="1">
            <w:col w:w="11240"/>
          </w:cols>
          <w:pgMar w:left="320" w:top="1413"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22"/>
          <w:szCs w:val="22"/>
          <w:color w:val="auto"/>
        </w:rPr>
        <w:t>Company’s offices located at One Vanderbilt Avenue, Floor 54, Suite C, New York, NY 10017.</w:t>
      </w:r>
    </w:p>
    <w:p>
      <w:pPr>
        <w:spacing w:after="0" w:line="243" w:lineRule="exact"/>
        <w:rPr>
          <w:sz w:val="20"/>
          <w:szCs w:val="20"/>
          <w:color w:val="auto"/>
        </w:rPr>
      </w:pPr>
    </w:p>
    <w:p>
      <w:pPr>
        <w:jc w:val="both"/>
        <w:ind w:firstLine="332"/>
        <w:spacing w:after="0" w:line="262" w:lineRule="auto"/>
        <w:tabs>
          <w:tab w:leader="none" w:pos="648"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Pre-Retirement Period Benefits</w:t>
      </w:r>
      <w:r>
        <w:rPr>
          <w:rFonts w:ascii="Times New Roman" w:cs="Times New Roman" w:eastAsia="Times New Roman" w:hAnsi="Times New Roman"/>
          <w:sz w:val="21"/>
          <w:szCs w:val="21"/>
          <w:color w:val="auto"/>
        </w:rPr>
        <w:t>. During the Pre-Retirement Period, contingent upon your continued employment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Company, you will continue to receive your current base salary and all employee benefits which you are currently entitled to pursuant to the terms of your Employment Agreement and will continue to be eligible to participate in the Cipher Mining Inc. 2021 Incentive Award Plan (the “</w:t>
      </w:r>
      <w:r>
        <w:rPr>
          <w:rFonts w:ascii="Times New Roman" w:cs="Times New Roman" w:eastAsia="Times New Roman" w:hAnsi="Times New Roman"/>
          <w:sz w:val="21"/>
          <w:szCs w:val="21"/>
          <w:b w:val="1"/>
          <w:bCs w:val="1"/>
          <w:color w:val="auto"/>
        </w:rPr>
        <w:t>Incentive Award Plan</w:t>
      </w:r>
      <w:r>
        <w:rPr>
          <w:rFonts w:ascii="Times New Roman" w:cs="Times New Roman" w:eastAsia="Times New Roman" w:hAnsi="Times New Roman"/>
          <w:sz w:val="21"/>
          <w:szCs w:val="21"/>
          <w:color w:val="auto"/>
        </w:rPr>
        <w:t>”). Your restricted stock units (“</w:t>
      </w:r>
      <w:r>
        <w:rPr>
          <w:rFonts w:ascii="Times New Roman" w:cs="Times New Roman" w:eastAsia="Times New Roman" w:hAnsi="Times New Roman"/>
          <w:sz w:val="21"/>
          <w:szCs w:val="21"/>
          <w:b w:val="1"/>
          <w:bCs w:val="1"/>
          <w:color w:val="auto"/>
        </w:rPr>
        <w:t>RSUs</w:t>
      </w:r>
      <w:r>
        <w:rPr>
          <w:rFonts w:ascii="Times New Roman" w:cs="Times New Roman" w:eastAsia="Times New Roman" w:hAnsi="Times New Roman"/>
          <w:sz w:val="21"/>
          <w:szCs w:val="21"/>
          <w:color w:val="auto"/>
        </w:rPr>
        <w:t>”) and performance stock units (“</w:t>
      </w:r>
      <w:r>
        <w:rPr>
          <w:rFonts w:ascii="Times New Roman" w:cs="Times New Roman" w:eastAsia="Times New Roman" w:hAnsi="Times New Roman"/>
          <w:sz w:val="21"/>
          <w:szCs w:val="21"/>
          <w:b w:val="1"/>
          <w:bCs w:val="1"/>
          <w:color w:val="auto"/>
        </w:rPr>
        <w:t>PSUs</w:t>
      </w:r>
      <w:r>
        <w:rPr>
          <w:rFonts w:ascii="Times New Roman" w:cs="Times New Roman" w:eastAsia="Times New Roman" w:hAnsi="Times New Roman"/>
          <w:sz w:val="21"/>
          <w:szCs w:val="21"/>
          <w:color w:val="auto"/>
        </w:rPr>
        <w:t>”) that were previously granted to you under the Incentive Award Plan will continue to vest in accordance with the terms and conditions of such Incentive Award Plan and the applicable award agreements thereunder. Except for the benefits provided pursuant to Section 3 hereof, you agree that you will not be entitled to any additional compensation from the Company, including any salary, bonus or incentive compensation, leave, severance or separation pay, or any other compensation or benefits of any kind, other than as set forth in this Letter Agreement in connection with the Pre-Retirement Period. For the avoidance of doubt, you will not be eligible to receive any additional grants of RSUs or PSUs on and after the date of this Letter Agreement.</w:t>
      </w:r>
    </w:p>
    <w:p>
      <w:pPr>
        <w:spacing w:after="0" w:line="198" w:lineRule="exact"/>
        <w:rPr>
          <w:rFonts w:ascii="Times New Roman" w:cs="Times New Roman" w:eastAsia="Times New Roman" w:hAnsi="Times New Roman"/>
          <w:sz w:val="21"/>
          <w:szCs w:val="21"/>
          <w:color w:val="auto"/>
        </w:rPr>
      </w:pPr>
    </w:p>
    <w:p>
      <w:pPr>
        <w:jc w:val="both"/>
        <w:ind w:firstLine="332"/>
        <w:spacing w:after="0" w:line="259" w:lineRule="auto"/>
        <w:tabs>
          <w:tab w:leader="none" w:pos="648"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Consulting Period Benefits</w:t>
      </w:r>
      <w:r>
        <w:rPr>
          <w:rFonts w:ascii="Times New Roman" w:cs="Times New Roman" w:eastAsia="Times New Roman" w:hAnsi="Times New Roman"/>
          <w:sz w:val="22"/>
          <w:szCs w:val="22"/>
          <w:color w:val="auto"/>
        </w:rPr>
        <w:t>. In exchange for you providing the Consulting Services during the Consulting Period,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for you signing the Supplemental Release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during the twenty-one (21) day period following the Retirement Date and not revoking the Supplemental Release, the Company will provide you with the following benefits:</w:t>
      </w:r>
    </w:p>
    <w:p>
      <w:pPr>
        <w:spacing w:after="0" w:line="206" w:lineRule="exact"/>
        <w:rPr>
          <w:rFonts w:ascii="Times New Roman" w:cs="Times New Roman" w:eastAsia="Times New Roman" w:hAnsi="Times New Roman"/>
          <w:sz w:val="22"/>
          <w:szCs w:val="22"/>
          <w:color w:val="auto"/>
        </w:rPr>
      </w:pPr>
    </w:p>
    <w:p>
      <w:pPr>
        <w:ind w:firstLine="980"/>
        <w:spacing w:after="0" w:line="275" w:lineRule="auto"/>
        <w:tabs>
          <w:tab w:leader="none" w:pos="1284"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Consulting Fee</w:t>
      </w:r>
      <w:r>
        <w:rPr>
          <w:rFonts w:ascii="Times New Roman" w:cs="Times New Roman" w:eastAsia="Times New Roman" w:hAnsi="Times New Roman"/>
          <w:sz w:val="22"/>
          <w:szCs w:val="22"/>
          <w:color w:val="auto"/>
        </w:rPr>
        <w:t>. During the Consulting Period, the Company will continue to pay you your base salary in effect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the Retirement Date, which will be payable on a gross basis in monthly installments (the “</w:t>
      </w:r>
      <w:r>
        <w:rPr>
          <w:rFonts w:ascii="Times New Roman" w:cs="Times New Roman" w:eastAsia="Times New Roman" w:hAnsi="Times New Roman"/>
          <w:sz w:val="22"/>
          <w:szCs w:val="22"/>
          <w:b w:val="1"/>
          <w:bCs w:val="1"/>
          <w:color w:val="auto"/>
        </w:rPr>
        <w:t>Consulting Fee</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firstLine="980"/>
        <w:spacing w:after="0" w:line="254" w:lineRule="auto"/>
        <w:tabs>
          <w:tab w:leader="none" w:pos="1296"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COBRA</w:t>
      </w:r>
      <w:r>
        <w:rPr>
          <w:rFonts w:ascii="Times New Roman" w:cs="Times New Roman" w:eastAsia="Times New Roman" w:hAnsi="Times New Roman"/>
          <w:sz w:val="22"/>
          <w:szCs w:val="22"/>
          <w:color w:val="auto"/>
        </w:rPr>
        <w:t>. During the Consulting Period, subject to your valid election to continue health coverage under Section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4980B of the Internal Revenue Code (the “</w:t>
      </w:r>
      <w:r>
        <w:rPr>
          <w:rFonts w:ascii="Times New Roman" w:cs="Times New Roman" w:eastAsia="Times New Roman" w:hAnsi="Times New Roman"/>
          <w:sz w:val="22"/>
          <w:szCs w:val="22"/>
          <w:b w:val="1"/>
          <w:bCs w:val="1"/>
          <w:color w:val="auto"/>
        </w:rPr>
        <w:t>COBRA Coverage</w:t>
      </w:r>
      <w:r>
        <w:rPr>
          <w:rFonts w:ascii="Times New Roman" w:cs="Times New Roman" w:eastAsia="Times New Roman" w:hAnsi="Times New Roman"/>
          <w:sz w:val="22"/>
          <w:szCs w:val="22"/>
          <w:color w:val="auto"/>
        </w:rPr>
        <w:t>”), the Company will cover the full costs of the COBRA Coverage for you and your eligible dependents. If you cease providing the Consulting Services prior to the end of the Consulting Period, the Company will have no obligation to cover the costs of the COBRA Coverage as of the date that you cease providing the Consulting Services.</w:t>
      </w:r>
    </w:p>
    <w:p>
      <w:pPr>
        <w:spacing w:after="0" w:line="200" w:lineRule="exact"/>
        <w:rPr>
          <w:rFonts w:ascii="Times New Roman" w:cs="Times New Roman" w:eastAsia="Times New Roman" w:hAnsi="Times New Roman"/>
          <w:sz w:val="22"/>
          <w:szCs w:val="22"/>
          <w:color w:val="auto"/>
        </w:rPr>
      </w:pPr>
    </w:p>
    <w:p>
      <w:pPr>
        <w:jc w:val="both"/>
        <w:ind w:firstLine="980"/>
        <w:spacing w:after="0" w:line="252" w:lineRule="auto"/>
        <w:tabs>
          <w:tab w:leader="none" w:pos="1284"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Equity Awards</w:t>
      </w:r>
      <w:r>
        <w:rPr>
          <w:rFonts w:ascii="Times New Roman" w:cs="Times New Roman" w:eastAsia="Times New Roman" w:hAnsi="Times New Roman"/>
          <w:sz w:val="22"/>
          <w:szCs w:val="22"/>
          <w:color w:val="auto"/>
        </w:rPr>
        <w:t>. During the Consulting Period, your outstanding RSUs and PSUs shall continue to vest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accordance with their existing terms based on your continued service during the Consulting Period. In addition, any unvested RSUs and PSUs that have been earned based on the Company’s actual performance during the applicable performance period as of the last day of the Consulting Period will accelerate and become fully vested on the last day of the Consulting Period. Notwithstanding the foregoing, if you terminate the Consulting Period or if the Company terminates the Consulting Period for Cause (as defined in the Employment Agreement), in each case,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1" w:right="339" w:bottom="1440" w:gutter="0" w:footer="0" w:header="0"/>
        </w:sectPr>
      </w:pPr>
    </w:p>
    <w:bookmarkStart w:id="147" w:name="page148"/>
    <w:bookmarkEnd w:id="147"/>
    <w:p>
      <w:pPr>
        <w:ind w:right="20"/>
        <w:spacing w:after="0" w:line="271" w:lineRule="auto"/>
        <w:rPr>
          <w:sz w:val="20"/>
          <w:szCs w:val="20"/>
          <w:color w:val="auto"/>
        </w:rPr>
      </w:pPr>
      <w:r>
        <w:rPr>
          <w:rFonts w:ascii="Times New Roman" w:cs="Times New Roman" w:eastAsia="Times New Roman" w:hAnsi="Times New Roman"/>
          <w:sz w:val="22"/>
          <w:szCs w:val="22"/>
          <w:color w:val="auto"/>
        </w:rPr>
        <w:t>prior to April 17, 2026, any unvested RSUs and PSUs as of the date of such termination shall be cancelled and forfeited for no consideration.</w:t>
      </w:r>
    </w:p>
    <w:p>
      <w:pPr>
        <w:spacing w:after="0" w:line="181" w:lineRule="exact"/>
        <w:rPr>
          <w:sz w:val="20"/>
          <w:szCs w:val="20"/>
          <w:color w:val="auto"/>
        </w:rPr>
      </w:pPr>
    </w:p>
    <w:p>
      <w:pPr>
        <w:jc w:val="both"/>
        <w:ind w:firstLine="980"/>
        <w:spacing w:after="0" w:line="258" w:lineRule="auto"/>
        <w:tabs>
          <w:tab w:leader="none" w:pos="1296" w:val="left"/>
        </w:tabs>
        <w:numPr>
          <w:ilvl w:val="2"/>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Reimbursement for Business Expenses</w:t>
      </w:r>
      <w:r>
        <w:rPr>
          <w:rFonts w:ascii="Times New Roman" w:cs="Times New Roman" w:eastAsia="Times New Roman" w:hAnsi="Times New Roman"/>
          <w:sz w:val="22"/>
          <w:szCs w:val="22"/>
          <w:color w:val="auto"/>
        </w:rPr>
        <w:t>. Any business expenses incurred in connection with your performance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Consulting Services must be approved in advance by the Company (such expenses, the “</w:t>
      </w:r>
      <w:r>
        <w:rPr>
          <w:rFonts w:ascii="Times New Roman" w:cs="Times New Roman" w:eastAsia="Times New Roman" w:hAnsi="Times New Roman"/>
          <w:sz w:val="22"/>
          <w:szCs w:val="22"/>
          <w:b w:val="1"/>
          <w:bCs w:val="1"/>
          <w:color w:val="auto"/>
        </w:rPr>
        <w:t>Approved Business Expenses</w:t>
      </w:r>
      <w:r>
        <w:rPr>
          <w:rFonts w:ascii="Times New Roman" w:cs="Times New Roman" w:eastAsia="Times New Roman" w:hAnsi="Times New Roman"/>
          <w:sz w:val="22"/>
          <w:szCs w:val="22"/>
          <w:color w:val="auto"/>
        </w:rPr>
        <w:t>”), and upon presentation of appropriate documentation, you shall be reimbursed, in accordance with the Company’s expense reimbursement policy for the Approved Business Expenses.</w:t>
      </w:r>
    </w:p>
    <w:p>
      <w:pPr>
        <w:spacing w:after="0" w:line="194" w:lineRule="exact"/>
        <w:rPr>
          <w:rFonts w:ascii="Times New Roman" w:cs="Times New Roman" w:eastAsia="Times New Roman" w:hAnsi="Times New Roman"/>
          <w:sz w:val="22"/>
          <w:szCs w:val="22"/>
          <w:color w:val="auto"/>
        </w:rPr>
      </w:pPr>
    </w:p>
    <w:p>
      <w:pPr>
        <w:jc w:val="both"/>
        <w:ind w:firstLine="332"/>
        <w:spacing w:after="0" w:line="259" w:lineRule="auto"/>
        <w:tabs>
          <w:tab w:leader="none" w:pos="648"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Release of All Claims</w:t>
      </w:r>
      <w:r>
        <w:rPr>
          <w:rFonts w:ascii="Times New Roman" w:cs="Times New Roman" w:eastAsia="Times New Roman" w:hAnsi="Times New Roman"/>
          <w:sz w:val="21"/>
          <w:szCs w:val="21"/>
          <w:color w:val="auto"/>
        </w:rPr>
        <w:t>. Subject to Section 13 of this Letter Agreement, in consideration for receiving the benefits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described in this Letter Agreement, and to the fullest extent permitted by applicable law, you hereby release and forever discharge the “</w:t>
      </w:r>
      <w:r>
        <w:rPr>
          <w:rFonts w:ascii="Times New Roman" w:cs="Times New Roman" w:eastAsia="Times New Roman" w:hAnsi="Times New Roman"/>
          <w:sz w:val="21"/>
          <w:szCs w:val="21"/>
          <w:b w:val="1"/>
          <w:bCs w:val="1"/>
          <w:color w:val="auto"/>
        </w:rPr>
        <w:t>Releasees</w:t>
      </w:r>
      <w:r>
        <w:rPr>
          <w:rFonts w:ascii="Times New Roman" w:cs="Times New Roman" w:eastAsia="Times New Roman" w:hAnsi="Times New Roman"/>
          <w:sz w:val="21"/>
          <w:szCs w:val="21"/>
          <w:color w:val="auto"/>
        </w:rPr>
        <w:t>” hereunder, the Company and its partners, subsidiaries, associates, affiliates, successors, heirs, assigns, agents, directors, officers, employees, representatives, lawyers, insurers, and all persons acting by, through, under or in concert with them, or any of them, of and from any and all manner of action or actions, cause or causes of action, in law or in equity, suits, debts, liens, contracts, agreements, promises, liability, claims, demands, damages, losses, costs, attorneys’ fees or expenses, of any nature whatsoever, known or unknown, fixed or contingent (hereinafter called “</w:t>
      </w:r>
      <w:r>
        <w:rPr>
          <w:rFonts w:ascii="Times New Roman" w:cs="Times New Roman" w:eastAsia="Times New Roman" w:hAnsi="Times New Roman"/>
          <w:sz w:val="21"/>
          <w:szCs w:val="21"/>
          <w:b w:val="1"/>
          <w:bCs w:val="1"/>
          <w:color w:val="auto"/>
        </w:rPr>
        <w:t>Claims</w:t>
      </w:r>
      <w:r>
        <w:rPr>
          <w:rFonts w:ascii="Times New Roman" w:cs="Times New Roman" w:eastAsia="Times New Roman" w:hAnsi="Times New Roman"/>
          <w:sz w:val="21"/>
          <w:szCs w:val="21"/>
          <w:color w:val="auto"/>
        </w:rPr>
        <w:t>”), which the you now have or may hereafter have against the Releasees, or any of them, by reason of any matter, cause, or thing whatsoever from the beginning of time to the date hereof. The Claims released herein include, without limiting the generality of the foregoing, any Claims in any way arising out of, based upon, or related to your employment or termination of your employment by the Releasees, or any of them; any alleged breach of any express or implied contract of employment; any alleged torts or other alleged legal restrictions on Releasees’ right to terminate your employment; and any alleged violation of any federal, state or local statute or ordinance including, without limitation, Title VII of the Civil Rights Act of 1964, the Age Discrimination In Employment Act, the Americans With Disabilities Act, the New York State Human Rights Law, the New York Labor Law (including but not limited to the Retaliatory Action by Employers Law, the New York State Worker Adjustment and Retraining Notification Act, all provisions prohibiting discrimination and retaliation, and all provisions regulating wage and hour law), the New York Civil Rights Law, Section 125 of the New York Workers’ Compensation Law, the New York City Human Rights Law. Notwithstanding the foregoing, this general release (the “</w:t>
      </w:r>
      <w:r>
        <w:rPr>
          <w:rFonts w:ascii="Times New Roman" w:cs="Times New Roman" w:eastAsia="Times New Roman" w:hAnsi="Times New Roman"/>
          <w:sz w:val="21"/>
          <w:szCs w:val="21"/>
          <w:b w:val="1"/>
          <w:bCs w:val="1"/>
          <w:color w:val="auto"/>
        </w:rPr>
        <w:t>Release</w:t>
      </w:r>
      <w:r>
        <w:rPr>
          <w:rFonts w:ascii="Times New Roman" w:cs="Times New Roman" w:eastAsia="Times New Roman" w:hAnsi="Times New Roman"/>
          <w:sz w:val="21"/>
          <w:szCs w:val="21"/>
          <w:color w:val="auto"/>
        </w:rPr>
        <w:t>”) shall not operate to release any rights or claims (i) to payments or benefits under any equity award agreement between you and the Company, (ii) with respect to Section 2(b)(v) of the Employment Agreement,</w:t>
      </w:r>
    </w:p>
    <w:p>
      <w:pPr>
        <w:spacing w:after="0" w:line="4" w:lineRule="exact"/>
        <w:rPr>
          <w:rFonts w:ascii="Times New Roman" w:cs="Times New Roman" w:eastAsia="Times New Roman" w:hAnsi="Times New Roman"/>
          <w:sz w:val="21"/>
          <w:szCs w:val="21"/>
          <w:color w:val="auto"/>
        </w:rPr>
      </w:pPr>
    </w:p>
    <w:p>
      <w:pPr>
        <w:jc w:val="both"/>
        <w:ind w:firstLine="8"/>
        <w:spacing w:after="0" w:line="246" w:lineRule="auto"/>
        <w:tabs>
          <w:tab w:leader="none" w:pos="381"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accrued or vested benefits you may have, if any, as of the date hereof under any applicable plan, policy, practice, program, contract or agreement with the Company, (iv) to any Claims, including claims for indemnification and/or advancement of expenses arising under any indemnification agreement between you and the Company or under the bylaws, certificate of incorporation or other similar governing document of the Company, (v) to any Claims which cannot be waived by an employee under applicable law or (vi) with respect to your right to communicate directly with, cooperate with, or provide information to, any federal, state or local government regulator.</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1" w:right="339" w:bottom="1440" w:gutter="0" w:footer="0" w:header="0"/>
        </w:sectPr>
      </w:pPr>
    </w:p>
    <w:bookmarkStart w:id="148" w:name="page149"/>
    <w:bookmarkEnd w:id="148"/>
    <w:p>
      <w:pPr>
        <w:spacing w:after="0" w:line="221" w:lineRule="exact"/>
        <w:rPr>
          <w:sz w:val="20"/>
          <w:szCs w:val="20"/>
          <w:color w:val="auto"/>
        </w:rPr>
      </w:pPr>
    </w:p>
    <w:p>
      <w:pPr>
        <w:jc w:val="both"/>
        <w:ind w:firstLine="332"/>
        <w:spacing w:after="0" w:line="248" w:lineRule="auto"/>
        <w:tabs>
          <w:tab w:leader="none" w:pos="648"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Independent Contractor Status</w:t>
      </w:r>
      <w:r>
        <w:rPr>
          <w:rFonts w:ascii="Times New Roman" w:cs="Times New Roman" w:eastAsia="Times New Roman" w:hAnsi="Times New Roman"/>
          <w:sz w:val="22"/>
          <w:szCs w:val="22"/>
          <w:color w:val="auto"/>
        </w:rPr>
        <w:t>. You acknowledge and agree that your status at all times with the Company during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Consulting Period shall be that of an independent contractor, and that you may not, at any time, act as a representative for or on behalf of the Company for any purpose or transaction, and may not bind or otherwise obligate the Company in any manner whatsoever without obtaining the prior written approval of the Company therefor. Although the Company may specify the results to be achieved by you and may control and direct you in that regard, the Company shall not control or direct you as to the details or means by which such results are accomplished. The parties hereby acknowledge and agree that all Consulting Fees paid pursuant to Section 4(a) of this Letter Agreement shall represent fees for services as an independent contractor and shall therefor be paid without any deductions or withholdings taken therefrom for taxes or for any other purpose. You shall be solely responsible for the payment of any federal, state or local income or payroll taxes owed by you solely due to the receipt of consideration for providing services as a Consultant under this Letter Agreement. Except with respect to participation in any employee benefits plans in connection with you being a former employee (including any rights relating to the Consolidated Omnibus Budget Reconciliation Act), you shall not be entitled to participate in any employee benefit plans or other benefits or conditions of employment available to employees of the Company during the Consulting Period.</w:t>
      </w:r>
    </w:p>
    <w:p>
      <w:pPr>
        <w:spacing w:after="0" w:line="206" w:lineRule="exact"/>
        <w:rPr>
          <w:rFonts w:ascii="Times New Roman" w:cs="Times New Roman" w:eastAsia="Times New Roman" w:hAnsi="Times New Roman"/>
          <w:sz w:val="22"/>
          <w:szCs w:val="22"/>
          <w:color w:val="auto"/>
        </w:rPr>
      </w:pPr>
    </w:p>
    <w:p>
      <w:pPr>
        <w:jc w:val="both"/>
        <w:ind w:firstLine="332"/>
        <w:spacing w:after="0" w:line="262" w:lineRule="auto"/>
        <w:tabs>
          <w:tab w:leader="none" w:pos="648"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Termination</w:t>
      </w:r>
      <w:r>
        <w:rPr>
          <w:rFonts w:ascii="Times New Roman" w:cs="Times New Roman" w:eastAsia="Times New Roman" w:hAnsi="Times New Roman"/>
          <w:sz w:val="21"/>
          <w:szCs w:val="21"/>
          <w:color w:val="auto"/>
        </w:rPr>
        <w:t>. During the Consulting Period, either party may terminate this Letter Agreement at any time and for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reason (or no reason) by providing the other party with at least fifteen (15) days’ advance written notice of such termination. Upon such termination by the Company other than for Cause, any unvested RSUs and PSUs shall accelerate and fully vest on the date of such termination, provided that, to the extent required by Section 409A of the Code, such RSUs and/or PSUs shall not be settled until the original settlement dates pursuant to their existing terms. At the termination of the Consulting Period, you shall provide or execute any other documentation the Company reasonably requests at the time to confirm or give effect to this Section</w:t>
      </w:r>
    </w:p>
    <w:p>
      <w:pPr>
        <w:jc w:val="both"/>
        <w:ind w:firstLine="8"/>
        <w:spacing w:after="0" w:line="251" w:lineRule="auto"/>
        <w:tabs>
          <w:tab w:leader="none" w:pos="235"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agree that other than the compensation set forth in Section 4 of this Letter Agreement, you will not be eligible for any severance payments or benefits or any other compensation and benefits with respect to the termination or expiration of the Consulting Period or otherwise with respect to the Consulting Services.</w:t>
      </w:r>
    </w:p>
    <w:p>
      <w:pPr>
        <w:spacing w:after="0" w:line="202" w:lineRule="exact"/>
        <w:rPr>
          <w:rFonts w:ascii="Times New Roman" w:cs="Times New Roman" w:eastAsia="Times New Roman" w:hAnsi="Times New Roman"/>
          <w:sz w:val="22"/>
          <w:szCs w:val="22"/>
          <w:color w:val="auto"/>
        </w:rPr>
      </w:pPr>
    </w:p>
    <w:p>
      <w:pPr>
        <w:ind w:firstLine="332"/>
        <w:spacing w:after="0" w:line="275" w:lineRule="auto"/>
        <w:tabs>
          <w:tab w:leader="none" w:pos="648"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Non-Admission</w:t>
      </w:r>
      <w:r>
        <w:rPr>
          <w:rFonts w:ascii="Times New Roman" w:cs="Times New Roman" w:eastAsia="Times New Roman" w:hAnsi="Times New Roman"/>
          <w:sz w:val="22"/>
          <w:szCs w:val="22"/>
          <w:color w:val="auto"/>
        </w:rPr>
        <w:t>. Nothing contained in this Letter Agreement will constitute or be treated as an admission by you 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of liability, any wrongdoing or any violation of law, with any such liability being expressly denied.</w:t>
      </w:r>
    </w:p>
    <w:p>
      <w:pPr>
        <w:spacing w:after="0" w:line="189" w:lineRule="exact"/>
        <w:rPr>
          <w:rFonts w:ascii="Times New Roman" w:cs="Times New Roman" w:eastAsia="Times New Roman" w:hAnsi="Times New Roman"/>
          <w:sz w:val="22"/>
          <w:szCs w:val="22"/>
          <w:color w:val="auto"/>
        </w:rPr>
      </w:pPr>
    </w:p>
    <w:p>
      <w:pPr>
        <w:jc w:val="both"/>
        <w:ind w:firstLine="332"/>
        <w:spacing w:after="0" w:line="251" w:lineRule="auto"/>
        <w:tabs>
          <w:tab w:leader="none" w:pos="648"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Other Agreements</w:t>
      </w:r>
      <w:r>
        <w:rPr>
          <w:rFonts w:ascii="Times New Roman" w:cs="Times New Roman" w:eastAsia="Times New Roman" w:hAnsi="Times New Roman"/>
          <w:sz w:val="22"/>
          <w:szCs w:val="22"/>
          <w:color w:val="auto"/>
        </w:rPr>
        <w:t>. You will remain bound by the restrictive covenants set forth in Section 7 of the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and any other agreements or arrangements entered into between you and the Company. Except as expressly provided in this Letter Agreement, this Letter Agreement renders null and void all prior agreements between you and the Company and constitutes the entire agreement between you and the Company regarding the subject matter of this Letter Agreement. If any term in this Letter</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295" w:lineRule="auto"/>
        <w:rPr>
          <w:sz w:val="20"/>
          <w:szCs w:val="20"/>
          <w:color w:val="auto"/>
        </w:rPr>
      </w:pPr>
      <w:r>
        <w:rPr>
          <w:rFonts w:ascii="Times New Roman" w:cs="Times New Roman" w:eastAsia="Times New Roman" w:hAnsi="Times New Roman"/>
          <w:sz w:val="21"/>
          <w:szCs w:val="21"/>
          <w:color w:val="auto"/>
        </w:rPr>
        <w:t>Agreement conflicts with terms in any other agreements between you and the Company, this Letter Agreement shall control. This Letter Agreement may be modified only in a written document signed by you and a duly authorized officer of the Company.</w:t>
      </w:r>
    </w:p>
    <w:p>
      <w:pPr>
        <w:spacing w:after="0" w:line="158" w:lineRule="exact"/>
        <w:rPr>
          <w:sz w:val="20"/>
          <w:szCs w:val="20"/>
          <w:color w:val="auto"/>
        </w:rPr>
      </w:pPr>
    </w:p>
    <w:p>
      <w:pPr>
        <w:jc w:val="both"/>
        <w:ind w:firstLine="332"/>
        <w:spacing w:after="0" w:line="265" w:lineRule="auto"/>
        <w:tabs>
          <w:tab w:leader="none" w:pos="648"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Company Property</w:t>
      </w:r>
      <w:r>
        <w:rPr>
          <w:rFonts w:ascii="Times New Roman" w:cs="Times New Roman" w:eastAsia="Times New Roman" w:hAnsi="Times New Roman"/>
          <w:sz w:val="22"/>
          <w:szCs w:val="22"/>
          <w:color w:val="auto"/>
        </w:rPr>
        <w:t>. You represent that at the end of the Consulting Period, you will return to the Company all property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belongs to the Company, including (without limitation) copies of documents that belong to the Company and files stored on your computer(s) that contain information belonging to the Company.</w:t>
      </w:r>
    </w:p>
    <w:p>
      <w:pPr>
        <w:spacing w:after="0" w:line="200" w:lineRule="exact"/>
        <w:rPr>
          <w:rFonts w:ascii="Times New Roman" w:cs="Times New Roman" w:eastAsia="Times New Roman" w:hAnsi="Times New Roman"/>
          <w:sz w:val="22"/>
          <w:szCs w:val="22"/>
          <w:color w:val="auto"/>
        </w:rPr>
      </w:pPr>
    </w:p>
    <w:p>
      <w:pPr>
        <w:spacing w:after="0" w:line="231" w:lineRule="exact"/>
        <w:rPr>
          <w:rFonts w:ascii="Times New Roman" w:cs="Times New Roman" w:eastAsia="Times New Roman" w:hAnsi="Times New Roman"/>
          <w:sz w:val="22"/>
          <w:szCs w:val="22"/>
          <w:color w:val="auto"/>
        </w:rPr>
      </w:pPr>
    </w:p>
    <w:p>
      <w:pPr>
        <w:jc w:val="both"/>
        <w:ind w:firstLine="332"/>
        <w:spacing w:after="0" w:line="252" w:lineRule="auto"/>
        <w:tabs>
          <w:tab w:leader="none" w:pos="64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Non-Disparagement</w:t>
      </w:r>
      <w:r>
        <w:rPr>
          <w:rFonts w:ascii="Times New Roman" w:cs="Times New Roman" w:eastAsia="Times New Roman" w:hAnsi="Times New Roman"/>
          <w:sz w:val="22"/>
          <w:szCs w:val="22"/>
          <w:color w:val="auto"/>
        </w:rPr>
        <w:t>. Subject to Section 13 below, you agree that you will not make any disparaging statements (orally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writing) about the Company or its products, services, strategy, legal or business practices, past venture capital investors, known institutional investors, or current or past (as of the date of this Letter Agreement) directors, officers, and known employees who served during your tenure at the Company. Nothing in this Letter Agreement prevents you from discussing or disclosing information about unlawful acts in the workplace, such as harassment or discrimination or any other conduct that you have reason to believe is unlawful.</w:t>
      </w:r>
    </w:p>
    <w:p>
      <w:pPr>
        <w:spacing w:after="0" w:line="201" w:lineRule="exact"/>
        <w:rPr>
          <w:rFonts w:ascii="Times New Roman" w:cs="Times New Roman" w:eastAsia="Times New Roman" w:hAnsi="Times New Roman"/>
          <w:sz w:val="22"/>
          <w:szCs w:val="22"/>
          <w:color w:val="auto"/>
        </w:rPr>
      </w:pPr>
    </w:p>
    <w:p>
      <w:pPr>
        <w:jc w:val="both"/>
        <w:ind w:firstLine="332"/>
        <w:spacing w:after="0" w:line="264" w:lineRule="auto"/>
        <w:tabs>
          <w:tab w:leader="none" w:pos="648"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Cooperation</w:t>
      </w:r>
      <w:r>
        <w:rPr>
          <w:rFonts w:ascii="Times New Roman" w:cs="Times New Roman" w:eastAsia="Times New Roman" w:hAnsi="Times New Roman"/>
          <w:sz w:val="21"/>
          <w:szCs w:val="21"/>
          <w:color w:val="auto"/>
        </w:rPr>
        <w:t>. Subject to Section 13 below, you agree to cooperate fully with the Company in connection with its actual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contemplated defense, prosecution, or investigation of any claims or demands by or against third parties, or other matters arising from events, acts, or failures to act that occurred during the period of your employment by the Company or otherwise. Such cooperation includes, without limitation, making yourself available to the Company upon reasonable notice, without subpoena, to provide complete, truthful and accurate information in witness interviews, depositions, and trial testimony. The Company will reimburse you for reasonable out-of-pocket expenses that you incur in connection with any such cooperation (excluding forgone wages, salary, or other compensation), and will make reasonable efforts to accommodate your scheduling needs.</w:t>
      </w:r>
    </w:p>
    <w:p>
      <w:pPr>
        <w:spacing w:after="0" w:line="192" w:lineRule="exact"/>
        <w:rPr>
          <w:rFonts w:ascii="Times New Roman" w:cs="Times New Roman" w:eastAsia="Times New Roman" w:hAnsi="Times New Roman"/>
          <w:sz w:val="21"/>
          <w:szCs w:val="21"/>
          <w:color w:val="auto"/>
        </w:rPr>
      </w:pPr>
    </w:p>
    <w:p>
      <w:pPr>
        <w:ind w:left="660" w:hanging="328"/>
        <w:spacing w:after="0"/>
        <w:tabs>
          <w:tab w:leader="none" w:pos="6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Preservation of Rights</w:t>
      </w:r>
      <w:r>
        <w:rPr>
          <w:rFonts w:ascii="Times New Roman" w:cs="Times New Roman" w:eastAsia="Times New Roman" w:hAnsi="Times New Roman"/>
          <w:sz w:val="22"/>
          <w:szCs w:val="22"/>
          <w:color w:val="auto"/>
        </w:rPr>
        <w:t>.</w:t>
      </w:r>
    </w:p>
    <w:p>
      <w:pPr>
        <w:spacing w:after="0" w:line="264" w:lineRule="exact"/>
        <w:rPr>
          <w:rFonts w:ascii="Times New Roman" w:cs="Times New Roman" w:eastAsia="Times New Roman" w:hAnsi="Times New Roman"/>
          <w:sz w:val="22"/>
          <w:szCs w:val="22"/>
          <w:color w:val="auto"/>
        </w:rPr>
      </w:pPr>
    </w:p>
    <w:p>
      <w:pPr>
        <w:jc w:val="both"/>
        <w:ind w:firstLine="980"/>
        <w:spacing w:after="0" w:line="257" w:lineRule="auto"/>
        <w:tabs>
          <w:tab w:leader="none" w:pos="1284"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Letter Agreement shall waive any right that is not subject to waiver by private agreement, including without limitation any claims arising under state unemployment insurance or workers’ compensation laws, or a challenge to the validity of this Letter Agreement.</w:t>
      </w:r>
    </w:p>
    <w:p>
      <w:pPr>
        <w:spacing w:after="0" w:line="172" w:lineRule="exact"/>
        <w:rPr>
          <w:rFonts w:ascii="Times New Roman" w:cs="Times New Roman" w:eastAsia="Times New Roman" w:hAnsi="Times New Roman"/>
          <w:sz w:val="22"/>
          <w:szCs w:val="22"/>
          <w:color w:val="auto"/>
        </w:rPr>
      </w:pPr>
    </w:p>
    <w:p>
      <w:pPr>
        <w:jc w:val="both"/>
        <w:ind w:firstLine="980"/>
        <w:spacing w:after="0" w:line="253" w:lineRule="auto"/>
        <w:tabs>
          <w:tab w:leader="none" w:pos="1296"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acknowledge and agree that nothing contained in this Letter Agreement shall be construed to prohibit you from filing a charge with or participating in any investigation or proceeding conducted by the federal Equal Employment Opportunity Commission or a comparable state or local agency; provided, however, that you hereby agree to waive your right to recover monetary damages or other individual relief in any such charge, investigation or proceeding or any related complaint or lawsuit filed by you or by anyone else on your behalf. You further understand that nothing contained in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1" w:right="339" w:bottom="1440" w:gutter="0" w:footer="0" w:header="0"/>
        </w:sectPr>
      </w:pPr>
    </w:p>
    <w:bookmarkStart w:id="150" w:name="page151"/>
    <w:bookmarkEnd w:id="150"/>
    <w:p>
      <w:pPr>
        <w:jc w:val="both"/>
        <w:spacing w:after="0" w:line="257" w:lineRule="auto"/>
        <w:rPr>
          <w:sz w:val="20"/>
          <w:szCs w:val="20"/>
          <w:color w:val="auto"/>
        </w:rPr>
      </w:pPr>
      <w:r>
        <w:rPr>
          <w:rFonts w:ascii="Times New Roman" w:cs="Times New Roman" w:eastAsia="Times New Roman" w:hAnsi="Times New Roman"/>
          <w:sz w:val="22"/>
          <w:szCs w:val="22"/>
          <w:color w:val="auto"/>
        </w:rPr>
        <w:t>Letter agreement shall be construed to limit, restrict or in any other way affect your communicating with any governmental agency or entity, or communicating with any official or staff person of a governmental agency or entity, concerning matters relevant to such governmental agency or entity.</w:t>
      </w:r>
    </w:p>
    <w:p>
      <w:pPr>
        <w:spacing w:after="0" w:line="186" w:lineRule="exact"/>
        <w:rPr>
          <w:sz w:val="20"/>
          <w:szCs w:val="20"/>
          <w:color w:val="auto"/>
        </w:rPr>
      </w:pPr>
    </w:p>
    <w:p>
      <w:pPr>
        <w:jc w:val="both"/>
        <w:ind w:firstLine="980"/>
        <w:spacing w:after="0" w:line="249" w:lineRule="auto"/>
        <w:tabs>
          <w:tab w:leader="none" w:pos="1284"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Letter Agreement or otherwise limits your ability to communicate directly with and provide information, including documents, not otherwise protected from disclosure by any applicable law or privilege to the SEC, any other federal, state or local governmental agency or commission (“</w:t>
      </w:r>
      <w:r>
        <w:rPr>
          <w:rFonts w:ascii="Times New Roman" w:cs="Times New Roman" w:eastAsia="Times New Roman" w:hAnsi="Times New Roman"/>
          <w:sz w:val="22"/>
          <w:szCs w:val="22"/>
          <w:b w:val="1"/>
          <w:bCs w:val="1"/>
          <w:color w:val="auto"/>
        </w:rPr>
        <w:t>Government Agency</w:t>
      </w:r>
      <w:r>
        <w:rPr>
          <w:rFonts w:ascii="Times New Roman" w:cs="Times New Roman" w:eastAsia="Times New Roman" w:hAnsi="Times New Roman"/>
          <w:sz w:val="22"/>
          <w:szCs w:val="22"/>
          <w:color w:val="auto"/>
        </w:rPr>
        <w:t>”) or self-regulatory organization regarding possible legal violations, without disclosure to the Company. The Company may not retaliate against you for any of these activities, and nothing in this Letter Agreement requires you to waive any monetary award or other payment that you might become entitled to from the SEC or any other Government Agency or self-regulatory organization. Moreover, nothing in this Letter Agreement or otherwise prohibits you from notifying the Company that you are going to make a report or disclosure to law enforcement.</w:t>
      </w:r>
    </w:p>
    <w:p>
      <w:pPr>
        <w:spacing w:after="0" w:line="181" w:lineRule="exact"/>
        <w:rPr>
          <w:rFonts w:ascii="Times New Roman" w:cs="Times New Roman" w:eastAsia="Times New Roman" w:hAnsi="Times New Roman"/>
          <w:sz w:val="22"/>
          <w:szCs w:val="22"/>
          <w:color w:val="auto"/>
        </w:rPr>
      </w:pPr>
    </w:p>
    <w:p>
      <w:pPr>
        <w:jc w:val="both"/>
        <w:ind w:firstLine="980"/>
        <w:spacing w:after="0" w:line="249" w:lineRule="auto"/>
        <w:tabs>
          <w:tab w:leader="none" w:pos="1296"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the Defend Trade Secrets Act of 2016, you and the Company acknowledge and agree that you will not have criminal or civil liability under any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filed in a lawsuit or other proceeding, if such filing is made under seal. In addition and without limiting the preceding sentence, if you file a lawsuit for retaliation by the Company for reporting a suspected violation of law, you may disclose the trade secret to your attorney and may use the trade secret information in the court proceeding, if you (x) file any document containing the trade secret under seal and (y) do not disclose the trade secret, except pursuant to court order.</w:t>
      </w:r>
    </w:p>
    <w:p>
      <w:pPr>
        <w:spacing w:after="0" w:line="191" w:lineRule="exact"/>
        <w:rPr>
          <w:rFonts w:ascii="Times New Roman" w:cs="Times New Roman" w:eastAsia="Times New Roman" w:hAnsi="Times New Roman"/>
          <w:sz w:val="22"/>
          <w:szCs w:val="22"/>
          <w:color w:val="auto"/>
        </w:rPr>
      </w:pPr>
    </w:p>
    <w:p>
      <w:pPr>
        <w:jc w:val="both"/>
        <w:ind w:firstLine="332"/>
        <w:spacing w:after="0" w:line="252" w:lineRule="auto"/>
        <w:tabs>
          <w:tab w:leader="none" w:pos="648"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Taxes</w:t>
      </w:r>
      <w:r>
        <w:rPr>
          <w:rFonts w:ascii="Times New Roman" w:cs="Times New Roman" w:eastAsia="Times New Roman" w:hAnsi="Times New Roman"/>
          <w:sz w:val="22"/>
          <w:szCs w:val="22"/>
          <w:color w:val="auto"/>
        </w:rPr>
        <w:t>. All payments under this Letter Agreement will be subject to all deductions required by law, including applicable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taxes and withholdings, other than with respect to the Consulting Fee. In accordance with its normal payroll practices, the Company will mail to your home address in the Company’s records any tax reporting forms it prepares in accordance with any payments made to you, at such time as those forms are prepared and/or filed. You will be solely responsible and liable for any taxes owed on any payments or benefits made or provided to you under this Letter Agreement, except for taxes the Company believes it has an obligation to withhold from any such payments or benefits.</w:t>
      </w:r>
    </w:p>
    <w:p>
      <w:pPr>
        <w:spacing w:after="0" w:line="174" w:lineRule="exact"/>
        <w:rPr>
          <w:rFonts w:ascii="Times New Roman" w:cs="Times New Roman" w:eastAsia="Times New Roman" w:hAnsi="Times New Roman"/>
          <w:sz w:val="22"/>
          <w:szCs w:val="22"/>
          <w:color w:val="auto"/>
        </w:rPr>
      </w:pPr>
    </w:p>
    <w:p>
      <w:pPr>
        <w:jc w:val="both"/>
        <w:ind w:firstLine="332"/>
        <w:spacing w:after="0" w:line="253" w:lineRule="auto"/>
        <w:tabs>
          <w:tab w:leader="none" w:pos="648"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Section 409A</w:t>
      </w:r>
      <w:r>
        <w:rPr>
          <w:rFonts w:ascii="Times New Roman" w:cs="Times New Roman" w:eastAsia="Times New Roman" w:hAnsi="Times New Roman"/>
          <w:sz w:val="22"/>
          <w:szCs w:val="22"/>
          <w:color w:val="auto"/>
        </w:rPr>
        <w:t>. The intent of the parties is that payments and benefits under this Letter Agreement comply with, or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exempt from, Internal Revenue Code Section 409A and the regulations and guidance promulgated thereunder (collectively, “</w:t>
      </w:r>
      <w:r>
        <w:rPr>
          <w:rFonts w:ascii="Times New Roman" w:cs="Times New Roman" w:eastAsia="Times New Roman" w:hAnsi="Times New Roman"/>
          <w:sz w:val="22"/>
          <w:szCs w:val="22"/>
          <w:b w:val="1"/>
          <w:bCs w:val="1"/>
          <w:color w:val="auto"/>
        </w:rPr>
        <w:t>Code Section 409A</w:t>
      </w:r>
      <w:r>
        <w:rPr>
          <w:rFonts w:ascii="Times New Roman" w:cs="Times New Roman" w:eastAsia="Times New Roman" w:hAnsi="Times New Roman"/>
          <w:sz w:val="22"/>
          <w:szCs w:val="22"/>
          <w:color w:val="auto"/>
        </w:rPr>
        <w:t>”) and, accordingly, to the maximum extent permitted, this Letter Agreement shall be interpreted to be in compliance with Code Section 409A; provided, that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1" w:right="339" w:bottom="1440" w:gutter="0" w:footer="0" w:header="0"/>
        </w:sectPr>
      </w:pPr>
    </w:p>
    <w:bookmarkStart w:id="151" w:name="page152"/>
    <w:bookmarkEnd w:id="151"/>
    <w:p>
      <w:pPr>
        <w:spacing w:after="0" w:line="198"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does not guarantee to you any particular tax treatment with respect to this Letter Agreement and any payments hereunder. Your right to each payment hereunder shall be treated as a separate payment and not as a right to a single payment.</w:t>
      </w:r>
    </w:p>
    <w:p>
      <w:pPr>
        <w:spacing w:after="0" w:line="154" w:lineRule="exact"/>
        <w:rPr>
          <w:sz w:val="20"/>
          <w:szCs w:val="20"/>
          <w:color w:val="auto"/>
        </w:rPr>
      </w:pPr>
    </w:p>
    <w:p>
      <w:pPr>
        <w:jc w:val="both"/>
        <w:ind w:firstLine="332"/>
        <w:spacing w:after="0" w:line="265" w:lineRule="auto"/>
        <w:tabs>
          <w:tab w:leader="none" w:pos="648"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Severability</w:t>
      </w:r>
      <w:r>
        <w:rPr>
          <w:rFonts w:ascii="Times New Roman" w:cs="Times New Roman" w:eastAsia="Times New Roman" w:hAnsi="Times New Roman"/>
          <w:sz w:val="22"/>
          <w:szCs w:val="22"/>
          <w:color w:val="auto"/>
        </w:rPr>
        <w:t>. If any term of this Letter Agreement is held to be invalid, void or unenforceable, the remainder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Letter Agreement will remain in full force and effect and will in no way be affected, and the parties will use their best efforts to find an alternate way to achieve the same result.</w:t>
      </w:r>
    </w:p>
    <w:p>
      <w:pPr>
        <w:spacing w:after="0" w:line="16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Choice of Law</w:t>
      </w:r>
      <w:r>
        <w:rPr>
          <w:rFonts w:ascii="Times New Roman" w:cs="Times New Roman" w:eastAsia="Times New Roman" w:hAnsi="Times New Roman"/>
          <w:sz w:val="21"/>
          <w:szCs w:val="21"/>
          <w:color w:val="auto"/>
        </w:rPr>
        <w:t>. This Letter Agreement will be construed and interpreted in accordance with the laws of the State of New</w:t>
      </w:r>
    </w:p>
    <w:p>
      <w:pPr>
        <w:spacing w:after="0" w:line="43"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York.</w:t>
      </w:r>
    </w:p>
    <w:p>
      <w:pPr>
        <w:spacing w:after="0" w:line="191" w:lineRule="exact"/>
        <w:rPr>
          <w:rFonts w:ascii="Times New Roman" w:cs="Times New Roman" w:eastAsia="Times New Roman" w:hAnsi="Times New Roman"/>
          <w:sz w:val="21"/>
          <w:szCs w:val="21"/>
          <w:color w:val="auto"/>
        </w:rPr>
      </w:pPr>
    </w:p>
    <w:p>
      <w:pPr>
        <w:jc w:val="both"/>
        <w:ind w:firstLine="332"/>
        <w:spacing w:after="0" w:line="265" w:lineRule="auto"/>
        <w:tabs>
          <w:tab w:leader="none" w:pos="648"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Execution</w:t>
      </w:r>
      <w:r>
        <w:rPr>
          <w:rFonts w:ascii="Times New Roman" w:cs="Times New Roman" w:eastAsia="Times New Roman" w:hAnsi="Times New Roman"/>
          <w:sz w:val="22"/>
          <w:szCs w:val="22"/>
          <w:color w:val="auto"/>
        </w:rPr>
        <w:t>. This Letter Agreement may be executed in counterparts, each of which will be considered an original, but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which together will constitute one agreement. Execution of a facsimile copy will have the same force and effect as execution of an original, and a facsimile signature will be deemed an original and valid signature.</w:t>
      </w:r>
    </w:p>
    <w:p>
      <w:pPr>
        <w:spacing w:after="0" w:line="161" w:lineRule="exact"/>
        <w:rPr>
          <w:rFonts w:ascii="Times New Roman" w:cs="Times New Roman" w:eastAsia="Times New Roman" w:hAnsi="Times New Roman"/>
          <w:sz w:val="22"/>
          <w:szCs w:val="22"/>
          <w:color w:val="auto"/>
        </w:rPr>
      </w:pPr>
    </w:p>
    <w:p>
      <w:pPr>
        <w:jc w:val="both"/>
        <w:ind w:firstLine="332"/>
        <w:spacing w:after="0" w:line="262" w:lineRule="auto"/>
        <w:tabs>
          <w:tab w:leader="none" w:pos="648"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Consideration and Revocation Periods</w:t>
      </w:r>
      <w:r>
        <w:rPr>
          <w:rFonts w:ascii="Times New Roman" w:cs="Times New Roman" w:eastAsia="Times New Roman" w:hAnsi="Times New Roman"/>
          <w:sz w:val="21"/>
          <w:szCs w:val="21"/>
          <w:color w:val="auto"/>
        </w:rPr>
        <w:t>. You agree by your signature below that you had, and that the Company gave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you, at least twenty-one (21) days to review and consider this Letter Agreement before signing it, and that such period was sufficient for you to fully and completely consider all of its terms. The Company hereby advises you to discuss this Letter Agreement with your own attorney (at your own expense) during this period if you wish to do so. You may accept this Letter Agreement by delivering a copy of the Letter Agreement signed by you to me within twenty-one (21) days from the day you receive the Letter Agreement. You may revoke your acceptance of the Letter Agreement for a period of seven (7) days after signing the Letter Agreement by delivering written notification to me within that seven-day period. If you do not revoke your acceptance of the Letter Agreement, it will be effective on the eighth (8th) day after you sign it. If you revoke your acceptance of this Letter Agreement, you will not be entitled to the benefits listed in Section 4, above. You agree that you have carefully read this Letter Agreement, fully understand what it means, and are entering into it voluntarily without duress, coercion, fraud, misrepresentation or threat to withdraw or alter the offer prior to the expiration of the twenty-one (21) day consideration period.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Please indicate your agreement with the above terms by signing below</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Very truly yours,</w:t>
      </w:r>
    </w:p>
    <w:p>
      <w:pPr>
        <w:spacing w:after="0" w:line="3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 Tyler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74586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6">
                      <a:extLst>
                        <a:ext uri="{28A0092B-C50C-407E-A947-70E740481C1C}"/>
                      </a:extLst>
                    </a:blip>
                    <a:srcRect/>
                    <a:stretch>
                      <a:fillRect/>
                    </a:stretch>
                  </pic:blipFill>
                  <pic:spPr bwMode="auto">
                    <a:xfrm>
                      <a:off x="0" y="0"/>
                      <a:ext cx="3745865" cy="8890"/>
                    </a:xfrm>
                    <a:prstGeom prst="rect">
                      <a:avLst/>
                    </a:prstGeom>
                    <a:noFill/>
                  </pic:spPr>
                </pic:pic>
              </a:graphicData>
            </a:graphic>
          </wp:anchor>
        </w:drawing>
      </w: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Tyler Page</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Cipher Mining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agree to the terms of this Letter Agreement.</w:t>
      </w:r>
    </w:p>
    <w:p>
      <w:pPr>
        <w:spacing w:after="0" w:line="30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/s/ Edward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74586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7">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Edward Farrell</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Dated: October 6, 2025__________________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0139"/>
          </w:cols>
          <w:pgMar w:left="320" w:top="1440" w:right="1440" w:bottom="1440" w:gutter="0" w:footer="0" w:header="0"/>
        </w:sectPr>
      </w:pPr>
    </w:p>
    <w:bookmarkStart w:id="153" w:name="page154"/>
    <w:bookmarkEnd w:id="153"/>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SUPPLEMENTAL RELEASE</w:t>
      </w:r>
    </w:p>
    <w:p>
      <w:pPr>
        <w:spacing w:after="0" w:line="247" w:lineRule="exact"/>
        <w:rPr>
          <w:sz w:val="20"/>
          <w:szCs w:val="20"/>
          <w:color w:val="auto"/>
        </w:rPr>
      </w:pPr>
    </w:p>
    <w:p>
      <w:pPr>
        <w:jc w:val="both"/>
        <w:ind w:firstLine="225"/>
        <w:spacing w:after="0" w:line="265" w:lineRule="auto"/>
        <w:rPr>
          <w:sz w:val="20"/>
          <w:szCs w:val="20"/>
          <w:color w:val="auto"/>
        </w:rPr>
      </w:pPr>
      <w:r>
        <w:rPr>
          <w:rFonts w:ascii="Times New Roman" w:cs="Times New Roman" w:eastAsia="Times New Roman" w:hAnsi="Times New Roman"/>
          <w:sz w:val="22"/>
          <w:szCs w:val="22"/>
          <w:color w:val="auto"/>
        </w:rPr>
        <w:t>You and Cipher Mining Inc. (together with its subsidiaries and affiliates,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hereby enter into this Supplemental Release (the “</w:t>
      </w:r>
      <w:r>
        <w:rPr>
          <w:rFonts w:ascii="Times New Roman" w:cs="Times New Roman" w:eastAsia="Times New Roman" w:hAnsi="Times New Roman"/>
          <w:sz w:val="22"/>
          <w:szCs w:val="22"/>
          <w:b w:val="1"/>
          <w:bCs w:val="1"/>
          <w:color w:val="auto"/>
        </w:rPr>
        <w:t>Supplemental Release</w:t>
      </w:r>
      <w:r>
        <w:rPr>
          <w:rFonts w:ascii="Times New Roman" w:cs="Times New Roman" w:eastAsia="Times New Roman" w:hAnsi="Times New Roman"/>
          <w:sz w:val="22"/>
          <w:szCs w:val="22"/>
          <w:color w:val="auto"/>
        </w:rPr>
        <w:t>”), which will become effective on the Supplemental Release Effective Date (as defined below).</w:t>
      </w:r>
    </w:p>
    <w:p>
      <w:pPr>
        <w:spacing w:after="0" w:line="188" w:lineRule="exact"/>
        <w:rPr>
          <w:sz w:val="20"/>
          <w:szCs w:val="20"/>
          <w:color w:val="auto"/>
        </w:rPr>
      </w:pPr>
    </w:p>
    <w:p>
      <w:pPr>
        <w:ind w:left="660" w:hanging="328"/>
        <w:spacing w:after="0"/>
        <w:tabs>
          <w:tab w:leader="none" w:pos="660"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Last Date of Employment</w:t>
      </w:r>
      <w:r>
        <w:rPr>
          <w:rFonts w:ascii="Times New Roman" w:cs="Times New Roman" w:eastAsia="Times New Roman" w:hAnsi="Times New Roman"/>
          <w:sz w:val="21"/>
          <w:szCs w:val="21"/>
          <w:color w:val="auto"/>
        </w:rPr>
        <w:t>. Your last day of employment with the Company was October 14, 2025 (“</w:t>
      </w:r>
      <w:r>
        <w:rPr>
          <w:rFonts w:ascii="Times New Roman" w:cs="Times New Roman" w:eastAsia="Times New Roman" w:hAnsi="Times New Roman"/>
          <w:sz w:val="21"/>
          <w:szCs w:val="21"/>
          <w:b w:val="1"/>
          <w:bCs w:val="1"/>
          <w:color w:val="auto"/>
        </w:rPr>
        <w:t>Retirement Date</w:t>
      </w:r>
      <w:r>
        <w:rPr>
          <w:rFonts w:ascii="Times New Roman" w:cs="Times New Roman" w:eastAsia="Times New Roman" w:hAnsi="Times New Roman"/>
          <w:sz w:val="21"/>
          <w:szCs w:val="21"/>
          <w:color w:val="auto"/>
        </w:rPr>
        <w:t>”).</w:t>
      </w:r>
    </w:p>
    <w:p>
      <w:pPr>
        <w:spacing w:after="0" w:line="231" w:lineRule="exact"/>
        <w:rPr>
          <w:rFonts w:ascii="Times New Roman" w:cs="Times New Roman" w:eastAsia="Times New Roman" w:hAnsi="Times New Roman"/>
          <w:sz w:val="21"/>
          <w:szCs w:val="21"/>
          <w:color w:val="auto"/>
        </w:rPr>
      </w:pPr>
    </w:p>
    <w:p>
      <w:pPr>
        <w:jc w:val="both"/>
        <w:ind w:firstLine="332"/>
        <w:spacing w:after="0" w:line="259" w:lineRule="auto"/>
        <w:tabs>
          <w:tab w:leader="none" w:pos="648"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Release of All Claims</w:t>
      </w:r>
      <w:r>
        <w:rPr>
          <w:rFonts w:ascii="Times New Roman" w:cs="Times New Roman" w:eastAsia="Times New Roman" w:hAnsi="Times New Roman"/>
          <w:sz w:val="21"/>
          <w:szCs w:val="21"/>
          <w:color w:val="auto"/>
        </w:rPr>
        <w:t>. Subject to Section 3 below, in consideration for receiving the benefits described in that certain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Letter Agreement between you and the Company, dated as of October 6, 2025 (the “</w:t>
      </w:r>
      <w:r>
        <w:rPr>
          <w:rFonts w:ascii="Times New Roman" w:cs="Times New Roman" w:eastAsia="Times New Roman" w:hAnsi="Times New Roman"/>
          <w:sz w:val="21"/>
          <w:szCs w:val="21"/>
          <w:b w:val="1"/>
          <w:bCs w:val="1"/>
          <w:color w:val="auto"/>
        </w:rPr>
        <w:t>Letter Agreement</w:t>
      </w:r>
      <w:r>
        <w:rPr>
          <w:rFonts w:ascii="Times New Roman" w:cs="Times New Roman" w:eastAsia="Times New Roman" w:hAnsi="Times New Roman"/>
          <w:sz w:val="21"/>
          <w:szCs w:val="21"/>
          <w:color w:val="auto"/>
        </w:rPr>
        <w:t>”), and to the fullest extent permitted by applicable law, you hereby release and forever discharge the “</w:t>
      </w:r>
      <w:r>
        <w:rPr>
          <w:rFonts w:ascii="Times New Roman" w:cs="Times New Roman" w:eastAsia="Times New Roman" w:hAnsi="Times New Roman"/>
          <w:sz w:val="21"/>
          <w:szCs w:val="21"/>
          <w:b w:val="1"/>
          <w:bCs w:val="1"/>
          <w:color w:val="auto"/>
        </w:rPr>
        <w:t>Releasees</w:t>
      </w:r>
      <w:r>
        <w:rPr>
          <w:rFonts w:ascii="Times New Roman" w:cs="Times New Roman" w:eastAsia="Times New Roman" w:hAnsi="Times New Roman"/>
          <w:sz w:val="21"/>
          <w:szCs w:val="21"/>
          <w:color w:val="auto"/>
        </w:rPr>
        <w:t>” hereunder, the Company and its partners, subsidiaries, associates, affiliates, successors, heirs, assigns, agents, directors, officers, employees, representatives, lawyers, insurers, and all persons acting by, through, under or in concert with them, or any of them, of and from any and all manner of action or actions, cause or causes of action, in law or in equity, suits, debts, liens, contracts, agreements, promises, liability, claims, demands, damages, losses, costs, attorneys’ fees or expenses, of any nature whatsoever, known or unknown, fixed or contingent (hereinafter called “</w:t>
      </w:r>
      <w:r>
        <w:rPr>
          <w:rFonts w:ascii="Times New Roman" w:cs="Times New Roman" w:eastAsia="Times New Roman" w:hAnsi="Times New Roman"/>
          <w:sz w:val="21"/>
          <w:szCs w:val="21"/>
          <w:b w:val="1"/>
          <w:bCs w:val="1"/>
          <w:color w:val="auto"/>
        </w:rPr>
        <w:t>Claims</w:t>
      </w:r>
      <w:r>
        <w:rPr>
          <w:rFonts w:ascii="Times New Roman" w:cs="Times New Roman" w:eastAsia="Times New Roman" w:hAnsi="Times New Roman"/>
          <w:sz w:val="21"/>
          <w:szCs w:val="21"/>
          <w:color w:val="auto"/>
        </w:rPr>
        <w:t>”), which the you now have or may hereafter have against the Releasees, or any of them, by reason of any matter, cause, or thing whatsoever from the beginning of time to the date hereof. The Claims released herein include, without limiting the generality of the foregoing, any Claims in any way arising out of, based upon, or related to your employment or termination of your employment by the Releasees, or any of them; any alleged breach of any express or implied contract of employment; any alleged torts or other alleged legal restrictions on Releasees’ right to terminate your employment; and any alleged violation of any federal, state or local statute or ordinance including, without limitation, Title VII of the Civil Rights Act of 1964, the Age Discrimination In Employment Act, the Americans With Disabilities Act, the New York State Human Rights Law, the New York Labor Law (including but not limited to the Retaliatory Action by Employers Law, the New York State Worker Adjustment and Retraining Notification Act, all provisions prohibiting discrimination and retaliation, and all provisions regulating wage and hour law), the New York Civil Rights Law, Section 125 of the New York Workers’ Compensation Law, the New York City Human Rights Law. Notwithstanding the foregoing, this Supplemental Release shall not operate to release any rights or claims (i) to payments or benefits under any equity award agreement between you and the Company, (ii) with respect to Section 2(b)(v) of the Employment Agreement, (iii) to accrued or vested benefits you may have, if any, as of the date hereof under any applicable plan, policy, practice, program, contract or agreement with the Company, (iv) to any Claims, including claims for indemnification and/or advancement of expenses arising under any indemnification agreement between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154" w:name="page155"/>
    <w:bookmarkEnd w:id="154"/>
    <w:p>
      <w:pPr>
        <w:jc w:val="both"/>
        <w:spacing w:after="0" w:line="257" w:lineRule="auto"/>
        <w:rPr>
          <w:sz w:val="20"/>
          <w:szCs w:val="20"/>
          <w:color w:val="auto"/>
        </w:rPr>
      </w:pPr>
      <w:r>
        <w:rPr>
          <w:rFonts w:ascii="Times New Roman" w:cs="Times New Roman" w:eastAsia="Times New Roman" w:hAnsi="Times New Roman"/>
          <w:sz w:val="22"/>
          <w:szCs w:val="22"/>
          <w:color w:val="auto"/>
        </w:rPr>
        <w:t>you and the Company or under the bylaws, certificate of incorporation or other similar governing document of the Company, (v) to any Claims which cannot be waived by an employee under applicable law or (vi) with respect to your right to communicate directly with, cooperate with, or provide information to, any federal, state or local government regulator.</w:t>
      </w:r>
    </w:p>
    <w:p>
      <w:pPr>
        <w:spacing w:after="0" w:line="182" w:lineRule="exact"/>
        <w:rPr>
          <w:sz w:val="20"/>
          <w:szCs w:val="20"/>
          <w:color w:val="auto"/>
        </w:rPr>
      </w:pPr>
    </w:p>
    <w:p>
      <w:pPr>
        <w:ind w:left="660" w:hanging="328"/>
        <w:spacing w:after="0"/>
        <w:tabs>
          <w:tab w:leader="none" w:pos="66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Preservation of Rights</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firstLine="980"/>
        <w:spacing w:after="0" w:line="257" w:lineRule="auto"/>
        <w:tabs>
          <w:tab w:leader="none" w:pos="1284"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Supplemental Release shall waive any right that is not subject to waiver by private agreement, including without limitation any claims arising under state unemployment insurance or workers’ compensation laws, or a challenge to the validity of the Letter Agreement.</w:t>
      </w:r>
    </w:p>
    <w:p>
      <w:pPr>
        <w:spacing w:after="0" w:line="172" w:lineRule="exact"/>
        <w:rPr>
          <w:rFonts w:ascii="Times New Roman" w:cs="Times New Roman" w:eastAsia="Times New Roman" w:hAnsi="Times New Roman"/>
          <w:sz w:val="22"/>
          <w:szCs w:val="22"/>
          <w:color w:val="auto"/>
        </w:rPr>
      </w:pPr>
    </w:p>
    <w:p>
      <w:pPr>
        <w:jc w:val="both"/>
        <w:ind w:firstLine="980"/>
        <w:spacing w:after="0" w:line="250" w:lineRule="auto"/>
        <w:tabs>
          <w:tab w:leader="none" w:pos="1296"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acknowledge and agree that nothing contained in this Supplemental Release shall be construed to prohibit you from filing a charge with or participating in any investigation or proceeding conducted by the federal Equal Employment Opportunity Commission or a comparable state or local agency; provided, however, that you hereby agree to waive your right to recover monetary damages or other individual relief in any such charge, investigation or proceeding or any related complaint or lawsuit filed by you or by anyone else on your behalf. You further understand that nothing contained in this Letter agreement shall be construed to limit, restrict or in any other way affect your communicating with any governmental agency or entity, or communicating with any official or staff person of a governmental agency or entity, concerning matters relevant to such governmental agency or entity.</w:t>
      </w:r>
    </w:p>
    <w:p>
      <w:pPr>
        <w:spacing w:after="0" w:line="186" w:lineRule="exact"/>
        <w:rPr>
          <w:rFonts w:ascii="Times New Roman" w:cs="Times New Roman" w:eastAsia="Times New Roman" w:hAnsi="Times New Roman"/>
          <w:sz w:val="22"/>
          <w:szCs w:val="22"/>
          <w:color w:val="auto"/>
        </w:rPr>
      </w:pPr>
    </w:p>
    <w:p>
      <w:pPr>
        <w:jc w:val="both"/>
        <w:ind w:firstLine="980"/>
        <w:spacing w:after="0" w:line="249" w:lineRule="auto"/>
        <w:tabs>
          <w:tab w:leader="none" w:pos="1284"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Supplemental Release or otherwise limits your ability to communicate directly with and provide information, including documents, not otherwise protected from disclosure by any applicable law or privilege to the SEC, any other federal, state or local governmental agency or commission (“</w:t>
      </w:r>
      <w:r>
        <w:rPr>
          <w:rFonts w:ascii="Times New Roman" w:cs="Times New Roman" w:eastAsia="Times New Roman" w:hAnsi="Times New Roman"/>
          <w:sz w:val="22"/>
          <w:szCs w:val="22"/>
          <w:b w:val="1"/>
          <w:bCs w:val="1"/>
          <w:color w:val="auto"/>
        </w:rPr>
        <w:t>Government Agency</w:t>
      </w:r>
      <w:r>
        <w:rPr>
          <w:rFonts w:ascii="Times New Roman" w:cs="Times New Roman" w:eastAsia="Times New Roman" w:hAnsi="Times New Roman"/>
          <w:sz w:val="22"/>
          <w:szCs w:val="22"/>
          <w:color w:val="auto"/>
        </w:rPr>
        <w:t>”) or self-regulatory organization regarding possible legal violations, without disclosure to the Company. The Company may not retaliate against you for any of these activities, and nothing in this Supplemental Release requires you to waive any monetary award or other payment that you might become entitled to from the SEC or any other Government Agency or self-regulatory organization. Moreover, nothing in this Supplemental Release or otherwise prohibits you from notifying the Company that you are going to make a report or disclosure to law enforcement.</w:t>
      </w:r>
    </w:p>
    <w:p>
      <w:pPr>
        <w:spacing w:after="0" w:line="181" w:lineRule="exact"/>
        <w:rPr>
          <w:rFonts w:ascii="Times New Roman" w:cs="Times New Roman" w:eastAsia="Times New Roman" w:hAnsi="Times New Roman"/>
          <w:sz w:val="22"/>
          <w:szCs w:val="22"/>
          <w:color w:val="auto"/>
        </w:rPr>
      </w:pPr>
    </w:p>
    <w:p>
      <w:pPr>
        <w:jc w:val="both"/>
        <w:ind w:firstLine="980"/>
        <w:spacing w:after="0" w:line="250" w:lineRule="auto"/>
        <w:tabs>
          <w:tab w:leader="none" w:pos="1296"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the Defend Trade Secrets Act of 2016, you and the Company acknowledge and agree that you will not have criminal or civil liability under any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filed in a lawsuit or other proceeding, if such filing is made under seal. In addition and without limiting the preceding sentence, if you file a lawsuit for retaliation by the Company for reporting a suspected violation of law, you may disclose the trade secret to your attorney and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2"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22"/>
          <w:szCs w:val="22"/>
          <w:color w:val="auto"/>
        </w:rPr>
        <w:t>use the trade secret information in the court proceeding, if you (x) file any document containing the trade secret under seal and</w:t>
      </w:r>
    </w:p>
    <w:p>
      <w:pPr>
        <w:spacing w:after="0" w:line="28" w:lineRule="exact"/>
        <w:rPr>
          <w:sz w:val="20"/>
          <w:szCs w:val="20"/>
          <w:color w:val="auto"/>
        </w:rPr>
      </w:pPr>
    </w:p>
    <w:p>
      <w:pPr>
        <w:ind w:left="320" w:hanging="312"/>
        <w:spacing w:after="0"/>
        <w:tabs>
          <w:tab w:leader="none" w:pos="32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not disclose the trade secret, except pursuant to court order.</w:t>
      </w:r>
    </w:p>
    <w:p>
      <w:pPr>
        <w:spacing w:after="0" w:line="191" w:lineRule="exact"/>
        <w:rPr>
          <w:rFonts w:ascii="Times New Roman" w:cs="Times New Roman" w:eastAsia="Times New Roman" w:hAnsi="Times New Roman"/>
          <w:sz w:val="22"/>
          <w:szCs w:val="22"/>
          <w:color w:val="auto"/>
        </w:rPr>
      </w:pPr>
    </w:p>
    <w:p>
      <w:pPr>
        <w:ind w:right="20" w:firstLine="332"/>
        <w:spacing w:after="0" w:line="287" w:lineRule="auto"/>
        <w:tabs>
          <w:tab w:leader="none" w:pos="648"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 Admission. </w:t>
      </w:r>
      <w:r>
        <w:rPr>
          <w:rFonts w:ascii="Times New Roman" w:cs="Times New Roman" w:eastAsia="Times New Roman" w:hAnsi="Times New Roman"/>
          <w:sz w:val="22"/>
          <w:szCs w:val="22"/>
          <w:color w:val="auto"/>
        </w:rPr>
        <w:t>Nothing contained in this Supplemental Release will constitute or be treated as an admission by you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of liability, any wrongdoing or any violation of law.</w:t>
      </w:r>
    </w:p>
    <w:p>
      <w:pPr>
        <w:spacing w:after="0" w:line="137" w:lineRule="exact"/>
        <w:rPr>
          <w:rFonts w:ascii="Times New Roman" w:cs="Times New Roman" w:eastAsia="Times New Roman" w:hAnsi="Times New Roman"/>
          <w:sz w:val="22"/>
          <w:szCs w:val="22"/>
          <w:color w:val="auto"/>
        </w:rPr>
      </w:pPr>
    </w:p>
    <w:p>
      <w:pPr>
        <w:jc w:val="both"/>
        <w:ind w:firstLine="332"/>
        <w:spacing w:after="0" w:line="266" w:lineRule="auto"/>
        <w:tabs>
          <w:tab w:leader="none" w:pos="648"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Other Agreements. </w:t>
      </w:r>
      <w:r>
        <w:rPr>
          <w:rFonts w:ascii="Times New Roman" w:cs="Times New Roman" w:eastAsia="Times New Roman" w:hAnsi="Times New Roman"/>
          <w:sz w:val="21"/>
          <w:szCs w:val="21"/>
          <w:color w:val="auto"/>
        </w:rPr>
        <w:t>Except as expressly provided in the Letter Agreement and this Supplemental Release, the Letter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and this Supplemental Release render null and void all prior agreements between you and the Company and constitute the entire agreement between you and the Company regarding the subject matter of the Letter Agreement and this Supplemental Release. If any term in the Letter Agreement and this Supplemental Release conflicts with term(s) in any other agreements between you and the Company, the Letter Agreement and this Supplemental Release shall control. This Supplemental Release may be modified only in a written document signed by you and a duly authorized officer of the Company.</w:t>
      </w:r>
    </w:p>
    <w:p>
      <w:pPr>
        <w:spacing w:after="0" w:line="162" w:lineRule="exact"/>
        <w:rPr>
          <w:rFonts w:ascii="Times New Roman" w:cs="Times New Roman" w:eastAsia="Times New Roman" w:hAnsi="Times New Roman"/>
          <w:sz w:val="21"/>
          <w:szCs w:val="21"/>
          <w:color w:val="auto"/>
        </w:rPr>
      </w:pPr>
    </w:p>
    <w:p>
      <w:pPr>
        <w:jc w:val="both"/>
        <w:ind w:firstLine="332"/>
        <w:spacing w:after="0" w:line="259" w:lineRule="auto"/>
        <w:tabs>
          <w:tab w:leader="none" w:pos="648"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Severability</w:t>
      </w:r>
      <w:r>
        <w:rPr>
          <w:rFonts w:ascii="Times New Roman" w:cs="Times New Roman" w:eastAsia="Times New Roman" w:hAnsi="Times New Roman"/>
          <w:sz w:val="22"/>
          <w:szCs w:val="22"/>
          <w:color w:val="auto"/>
        </w:rPr>
        <w:t>. If any term of this Supplemental Release is held to be invalid, void or unenforceable, the remainder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Supplemental Release will remain in full force and effect and will in no way be affected, and the parties will use their best efforts to find an alternate way to achieve the same result.</w:t>
      </w:r>
    </w:p>
    <w:p>
      <w:pPr>
        <w:spacing w:after="0" w:line="166" w:lineRule="exact"/>
        <w:rPr>
          <w:rFonts w:ascii="Times New Roman" w:cs="Times New Roman" w:eastAsia="Times New Roman" w:hAnsi="Times New Roman"/>
          <w:sz w:val="22"/>
          <w:szCs w:val="22"/>
          <w:color w:val="auto"/>
        </w:rPr>
      </w:pPr>
    </w:p>
    <w:p>
      <w:pPr>
        <w:ind w:firstLine="332"/>
        <w:spacing w:after="0" w:line="287" w:lineRule="auto"/>
        <w:tabs>
          <w:tab w:leader="none" w:pos="648"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Choice of Law</w:t>
      </w:r>
      <w:r>
        <w:rPr>
          <w:rFonts w:ascii="Times New Roman" w:cs="Times New Roman" w:eastAsia="Times New Roman" w:hAnsi="Times New Roman"/>
          <w:sz w:val="22"/>
          <w:szCs w:val="22"/>
          <w:color w:val="auto"/>
        </w:rPr>
        <w:t>. This Supplemental Release will be construed and interpreted in accordance with the laws of the State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New York.</w:t>
      </w:r>
    </w:p>
    <w:p>
      <w:pPr>
        <w:spacing w:after="0" w:line="137" w:lineRule="exact"/>
        <w:rPr>
          <w:rFonts w:ascii="Times New Roman" w:cs="Times New Roman" w:eastAsia="Times New Roman" w:hAnsi="Times New Roman"/>
          <w:sz w:val="22"/>
          <w:szCs w:val="22"/>
          <w:color w:val="auto"/>
        </w:rPr>
      </w:pPr>
    </w:p>
    <w:p>
      <w:pPr>
        <w:jc w:val="both"/>
        <w:ind w:firstLine="332"/>
        <w:spacing w:after="0" w:line="259" w:lineRule="auto"/>
        <w:tabs>
          <w:tab w:leader="none" w:pos="648"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Execution</w:t>
      </w:r>
      <w:r>
        <w:rPr>
          <w:rFonts w:ascii="Times New Roman" w:cs="Times New Roman" w:eastAsia="Times New Roman" w:hAnsi="Times New Roman"/>
          <w:sz w:val="22"/>
          <w:szCs w:val="22"/>
          <w:color w:val="auto"/>
        </w:rPr>
        <w:t>. This Supplemental Release may be executed in counterparts, each of which will be considered an original, but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of which together will constitute one agreement. Execution of a facsimile copy will have the same force and effect as execution of an original, and a facsimile signature will be deemed an original and valid signature.</w:t>
      </w:r>
    </w:p>
    <w:p>
      <w:pPr>
        <w:spacing w:after="0" w:line="166" w:lineRule="exact"/>
        <w:rPr>
          <w:rFonts w:ascii="Times New Roman" w:cs="Times New Roman" w:eastAsia="Times New Roman" w:hAnsi="Times New Roman"/>
          <w:sz w:val="22"/>
          <w:szCs w:val="22"/>
          <w:color w:val="auto"/>
        </w:rPr>
      </w:pPr>
    </w:p>
    <w:p>
      <w:pPr>
        <w:jc w:val="both"/>
        <w:ind w:firstLine="332"/>
        <w:spacing w:after="0" w:line="249" w:lineRule="auto"/>
        <w:tabs>
          <w:tab w:leader="none" w:pos="648"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Consideration and Revocation Periods</w:t>
      </w:r>
      <w:r>
        <w:rPr>
          <w:rFonts w:ascii="Times New Roman" w:cs="Times New Roman" w:eastAsia="Times New Roman" w:hAnsi="Times New Roman"/>
          <w:sz w:val="22"/>
          <w:szCs w:val="22"/>
          <w:color w:val="auto"/>
        </w:rPr>
        <w:t>. You agree by your signature below that you had, and that the Company gave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at least twenty-one (21) days to review and consider this Supplemental Release before signing it, and that such period was sufficient for you to fully and completely consider all of its terms. The Company hereby advises you to discuss this Supplemental Release with your own attorney (at your own expense) during this period if you wish to do so. You may accept this Supplemental Release by delivering a copy of this Supplemental Release signed by you to me within twenty-one (21) days of the Retirement Date. You may revoke your acceptance of this Supplemental Release for a period of seven (7) days after signing the Supplemental Release by delivering written notification to me within that seven-day period. If you do not revoke your acceptance of this Supplemental Release, it will be effective on the eighth (8th) day after you sign it (such date, the “</w:t>
      </w:r>
      <w:r>
        <w:rPr>
          <w:rFonts w:ascii="Times New Roman" w:cs="Times New Roman" w:eastAsia="Times New Roman" w:hAnsi="Times New Roman"/>
          <w:sz w:val="22"/>
          <w:szCs w:val="22"/>
          <w:b w:val="1"/>
          <w:bCs w:val="1"/>
          <w:color w:val="auto"/>
        </w:rPr>
        <w:t>Supplemental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Release Effective Date</w:t>
      </w:r>
      <w:r>
        <w:rPr>
          <w:rFonts w:ascii="Times New Roman" w:cs="Times New Roman" w:eastAsia="Times New Roman" w:hAnsi="Times New Roman"/>
          <w:sz w:val="22"/>
          <w:szCs w:val="22"/>
          <w:color w:val="auto"/>
        </w:rPr>
        <w:t>”). If you revoke your acceptance of this Supplemental Release, you will not be entitled to the benefits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listed in the Letter Agreement. You agree that you have carefully read this Supplemental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2" w:right="339" w:bottom="1440" w:gutter="0" w:footer="0" w:header="0"/>
        </w:sectPr>
      </w:pPr>
    </w:p>
    <w:bookmarkStart w:id="156" w:name="page157"/>
    <w:bookmarkEnd w:id="156"/>
    <w:p>
      <w:pPr>
        <w:spacing w:after="0" w:line="271" w:lineRule="auto"/>
        <w:rPr>
          <w:sz w:val="20"/>
          <w:szCs w:val="20"/>
          <w:color w:val="auto"/>
        </w:rPr>
      </w:pPr>
      <w:r>
        <w:rPr>
          <w:rFonts w:ascii="Times New Roman" w:cs="Times New Roman" w:eastAsia="Times New Roman" w:hAnsi="Times New Roman"/>
          <w:sz w:val="22"/>
          <w:szCs w:val="22"/>
          <w:color w:val="auto"/>
        </w:rPr>
        <w:t>Release, fully understand what it means, and are entering into it voluntarily without duress, coercion, fraud, misrepresentation or threat to withdraw or alter the offer prior to the expiration of the twenty-one (21) day consideration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Please indicate your agreement with the above terms by signing below</w:t>
      </w:r>
      <w:r>
        <w:rPr>
          <w:rFonts w:ascii="Times New Roman" w:cs="Times New Roman" w:eastAsia="Times New Roman" w:hAnsi="Times New Roman"/>
          <w:sz w:val="22"/>
          <w:szCs w:val="22"/>
          <w:color w:val="auto"/>
        </w:rPr>
        <w: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370840</wp:posOffset>
            </wp:positionV>
            <wp:extent cx="374586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8">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Tyler Page</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Cipher Mining Inc.</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agree to the terms of this Supplemental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374586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9">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Edward Farrell</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Dated: 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2"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CIPHER MINING INC.</w:t>
      </w: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INSIDER TRADING COMPLIANCE POLICY</w:t>
      </w: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(As of February 11, 2026)</w:t>
      </w:r>
    </w:p>
    <w:p>
      <w:pPr>
        <w:spacing w:after="0" w:line="23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Federal laws and regulations prohibit trading in the securities of a company while in possession of material nonpublic information and in breach of a duty of trust or confidence. These laws and regulations also prohibit anyone who is aware of material nonpublic information from providing this information to others who may trade. Cipher Mining Inc. (together with its subsidiaries, the “</w:t>
      </w:r>
      <w:r>
        <w:rPr>
          <w:rFonts w:ascii="Times New Roman" w:cs="Times New Roman" w:eastAsia="Times New Roman" w:hAnsi="Times New Roman"/>
          <w:sz w:val="22"/>
          <w:szCs w:val="22"/>
          <w:u w:val="single" w:color="auto"/>
          <w:color w:val="auto"/>
        </w:rPr>
        <w:t>Compan</w:t>
      </w:r>
      <w:r>
        <w:rPr>
          <w:rFonts w:ascii="Times New Roman" w:cs="Times New Roman" w:eastAsia="Times New Roman" w:hAnsi="Times New Roman"/>
          <w:sz w:val="22"/>
          <w:szCs w:val="22"/>
          <w:color w:val="auto"/>
        </w:rPr>
        <w:t>y”) requires the Company and its personnel to comply at all times with federal laws and regulations governing insider trading. Violating such laws and regulations can undermine investor trust, harm the reputation and integrity of the Company, and result in dismissal from the Company or even serious criminal and civil charges against the individual and the Company. The Company reserves the right to take disciplinary or other measure(s) it determines in its sole discretion to be appropriate in any particular situation, including disclosure of wrongdoing to governmental authorities.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Persons Covered and Administration of Polic</w:t>
      </w:r>
      <w:r>
        <w:rPr>
          <w:rFonts w:ascii="Times New Roman" w:cs="Times New Roman" w:eastAsia="Times New Roman" w:hAnsi="Times New Roman"/>
          <w:sz w:val="22"/>
          <w:szCs w:val="22"/>
          <w:b w:val="1"/>
          <w:bCs w:val="1"/>
          <w:color w:val="auto"/>
        </w:rPr>
        <w:t>y</w:t>
      </w:r>
    </w:p>
    <w:p>
      <w:pPr>
        <w:spacing w:after="0" w:line="23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This Insider Trading Compliance Policy (this “</w:t>
      </w:r>
      <w:r>
        <w:rPr>
          <w:rFonts w:ascii="Times New Roman" w:cs="Times New Roman" w:eastAsia="Times New Roman" w:hAnsi="Times New Roman"/>
          <w:sz w:val="22"/>
          <w:szCs w:val="22"/>
          <w:u w:val="single" w:color="auto"/>
          <w:color w:val="auto"/>
        </w:rPr>
        <w:t>Polic</w:t>
      </w:r>
      <w:r>
        <w:rPr>
          <w:rFonts w:ascii="Times New Roman" w:cs="Times New Roman" w:eastAsia="Times New Roman" w:hAnsi="Times New Roman"/>
          <w:sz w:val="22"/>
          <w:szCs w:val="22"/>
          <w:color w:val="auto"/>
        </w:rPr>
        <w:t>y”) applies to all officers, directors and employees of the Company and their respective family members. For purposes of this Policy, “officers” refer to those individuals who meet the definition of “officer” under Section 16 of the Securities Exchange Act of 1934 (as amended,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For purposes of this Policy, a “family member” includes a person’s spouse, parents, children, siblings, mothers and fathers-in-law, sons and daughters-in-law, brothers and sisters-in-law, and anyone (other than domestic employees) who shares such person’s home. It also applies to former employees and directors and their family members to the extent they remain in possession of material nonpublic information. Individuals subject to this Policy are responsible for ensuring that members of their household comply with this Policy. This Policy also applies to any entities controlled by individuals subject to this Policy, including any corporations, limited liability companies, partnerships or trusts, and transactions by these entities should be treated for the purposes of this Policy as if they were for the individual’s own account. The Company may determine that this Policy applies to additional persons with access to material nonpublic information, such as contractors or consultants. Officers, directors and employees, together with their respective family members and any other person designated as being subject to this Policy by the Chief Legal Officer or his or her designee (the “</w:t>
      </w:r>
      <w:r>
        <w:rPr>
          <w:rFonts w:ascii="Times New Roman" w:cs="Times New Roman" w:eastAsia="Times New Roman" w:hAnsi="Times New Roman"/>
          <w:sz w:val="22"/>
          <w:szCs w:val="22"/>
          <w:u w:val="single" w:color="auto"/>
          <w:color w:val="auto"/>
        </w:rPr>
        <w:t>Compliance Officer</w:t>
      </w:r>
      <w:r>
        <w:rPr>
          <w:rFonts w:ascii="Times New Roman" w:cs="Times New Roman" w:eastAsia="Times New Roman" w:hAnsi="Times New Roman"/>
          <w:sz w:val="22"/>
          <w:szCs w:val="22"/>
          <w:color w:val="auto"/>
        </w:rPr>
        <w:t>”), are referred to collectively as “</w:t>
      </w:r>
      <w:r>
        <w:rPr>
          <w:rFonts w:ascii="Times New Roman" w:cs="Times New Roman" w:eastAsia="Times New Roman" w:hAnsi="Times New Roman"/>
          <w:sz w:val="22"/>
          <w:szCs w:val="22"/>
          <w:u w:val="single" w:color="auto"/>
          <w:color w:val="auto"/>
        </w:rPr>
        <w:t>Covered Persons</w:t>
      </w:r>
      <w:r>
        <w:rPr>
          <w:rFonts w:ascii="Times New Roman" w:cs="Times New Roman" w:eastAsia="Times New Roman" w:hAnsi="Times New Roman"/>
          <w:sz w:val="22"/>
          <w:szCs w:val="22"/>
          <w:color w:val="auto"/>
        </w:rPr>
        <w:t>.” This Policy is subject to modification from time to time as the Board deems necessary or advisable.</w:t>
      </w:r>
    </w:p>
    <w:p>
      <w:pPr>
        <w:spacing w:after="0" w:line="199" w:lineRule="exact"/>
        <w:rPr>
          <w:sz w:val="20"/>
          <w:szCs w:val="20"/>
          <w:color w:val="auto"/>
        </w:rPr>
      </w:pPr>
    </w:p>
    <w:p>
      <w:pPr>
        <w:ind w:right="920" w:firstLine="336"/>
        <w:spacing w:after="0" w:line="271" w:lineRule="auto"/>
        <w:rPr>
          <w:sz w:val="20"/>
          <w:szCs w:val="20"/>
          <w:color w:val="auto"/>
        </w:rPr>
      </w:pPr>
      <w:r>
        <w:rPr>
          <w:rFonts w:ascii="Times New Roman" w:cs="Times New Roman" w:eastAsia="Times New Roman" w:hAnsi="Times New Roman"/>
          <w:sz w:val="22"/>
          <w:szCs w:val="22"/>
          <w:color w:val="auto"/>
        </w:rPr>
        <w:t>Questions regarding this Policy should be directed to the Compliance Officer, who is responsible for the administration of this Policy.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Polic</w:t>
      </w:r>
      <w:r>
        <w:rPr>
          <w:rFonts w:ascii="Times New Roman" w:cs="Times New Roman" w:eastAsia="Times New Roman" w:hAnsi="Times New Roman"/>
          <w:sz w:val="22"/>
          <w:szCs w:val="22"/>
          <w:b w:val="1"/>
          <w:bCs w:val="1"/>
          <w:color w:val="auto"/>
        </w:rPr>
        <w:t xml:space="preserve">y </w:t>
      </w:r>
      <w:r>
        <w:rPr>
          <w:rFonts w:ascii="Times New Roman" w:cs="Times New Roman" w:eastAsia="Times New Roman" w:hAnsi="Times New Roman"/>
          <w:sz w:val="22"/>
          <w:szCs w:val="22"/>
          <w:b w:val="1"/>
          <w:bCs w:val="1"/>
          <w:u w:val="single" w:color="auto"/>
          <w:color w:val="auto"/>
        </w:rPr>
        <w:t>Statement</w:t>
      </w: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Unless otherwise permitted by this Policy, no Covered Person shall:</w:t>
      </w:r>
    </w:p>
    <w:p>
      <w:pPr>
        <w:sectPr>
          <w:pgSz w:w="11900" w:h="16838" w:orient="portrait"/>
          <w:cols w:equalWidth="0" w:num="1">
            <w:col w:w="10660"/>
          </w:cols>
          <w:pgMar w:left="620" w:top="765" w:right="619" w:bottom="1440" w:gutter="0" w:footer="0" w:header="0"/>
        </w:sectPr>
      </w:pPr>
    </w:p>
    <w:bookmarkStart w:id="158" w:name="page159"/>
    <w:bookmarkEnd w:id="158"/>
    <w:p>
      <w:pPr>
        <w:ind w:left="980" w:right="60" w:hanging="328"/>
        <w:spacing w:after="0" w:line="254" w:lineRule="auto"/>
        <w:tabs>
          <w:tab w:leader="none" w:pos="974"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sell, gift or otherwise transfer any security of the Company while in possession of material nonpublic information about the Company;</w:t>
      </w:r>
    </w:p>
    <w:p>
      <w:pPr>
        <w:spacing w:after="0" w:line="1" w:lineRule="exact"/>
        <w:rPr>
          <w:rFonts w:ascii="Times New Roman" w:cs="Times New Roman" w:eastAsia="Times New Roman" w:hAnsi="Times New Roman"/>
          <w:sz w:val="22"/>
          <w:szCs w:val="22"/>
          <w:color w:val="auto"/>
        </w:rPr>
      </w:pPr>
    </w:p>
    <w:p>
      <w:pPr>
        <w:ind w:left="980" w:right="140" w:hanging="328"/>
        <w:spacing w:after="0" w:line="257" w:lineRule="auto"/>
        <w:tabs>
          <w:tab w:leader="none" w:pos="974"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sell, gift or otherwise transfer any security of any other company, including a customer, supplier, business partner, or an economically-linked company, such as a competitor or peer company, while in possession of material nonpublic information that obtained in connection with your employment by or service to the Company (to the extent there is a substantial likelihood that such information would be considered important to a reasonable investor in making an investment decision in such other company);</w:t>
      </w:r>
    </w:p>
    <w:p>
      <w:pPr>
        <w:spacing w:after="0" w:line="187" w:lineRule="exact"/>
        <w:rPr>
          <w:rFonts w:ascii="Times New Roman" w:cs="Times New Roman" w:eastAsia="Times New Roman" w:hAnsi="Times New Roman"/>
          <w:sz w:val="22"/>
          <w:szCs w:val="22"/>
          <w:color w:val="auto"/>
        </w:rPr>
      </w:pPr>
    </w:p>
    <w:p>
      <w:pPr>
        <w:ind w:left="980" w:right="260" w:hanging="328"/>
        <w:spacing w:after="0" w:line="271" w:lineRule="auto"/>
        <w:tabs>
          <w:tab w:leader="none" w:pos="974"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directly or indirectly communicate material nonpublic information to anyone outside the Company unless in accordance with Company policy regarding confidential information; or</w:t>
      </w:r>
    </w:p>
    <w:p>
      <w:pPr>
        <w:spacing w:after="0" w:line="158" w:lineRule="exact"/>
        <w:rPr>
          <w:sz w:val="20"/>
          <w:szCs w:val="20"/>
          <w:color w:val="auto"/>
        </w:rPr>
      </w:pPr>
    </w:p>
    <w:p>
      <w:pPr>
        <w:ind w:left="980" w:right="20" w:hanging="323"/>
        <w:spacing w:after="0" w:line="271" w:lineRule="auto"/>
        <w:tabs>
          <w:tab w:leader="none" w:pos="960" w:val="left"/>
        </w:tabs>
        <w:rPr>
          <w:sz w:val="20"/>
          <w:szCs w:val="20"/>
          <w:color w:val="auto"/>
        </w:rPr>
      </w:pPr>
      <w:r>
        <w:rPr>
          <w:rFonts w:ascii="Times New Roman" w:cs="Times New Roman" w:eastAsia="Times New Roman" w:hAnsi="Times New Roman"/>
          <w:sz w:val="22"/>
          <w:szCs w:val="22"/>
          <w:color w:val="auto"/>
        </w:rPr>
        <w:t>•</w:t>
        <w:tab/>
        <w:t>directly or indirectly communicate material nonpublic information to anyone within the Company except on a need-to-know basis.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this purpose:</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sale</w:t>
      </w:r>
      <w:r>
        <w:rPr>
          <w:rFonts w:ascii="Times New Roman" w:cs="Times New Roman" w:eastAsia="Times New Roman" w:hAnsi="Times New Roman"/>
          <w:sz w:val="22"/>
          <w:szCs w:val="22"/>
          <w:color w:val="auto"/>
        </w:rPr>
        <w:t>” are defined broadly under the federal securities law. “Purchase” includes not only the actual purchase of a security, but also any contract to purchase or otherwise acquire a security. “Sale” includes not only the actual sale of a security, but also any contract to sell or otherwise dispose of a security. These definitions extend to a broad range of transactions, including conventional cash-for-stock transactions, conversions, the exercise of stock options or warrants, puts, calls, pledging and margin loans, or other derivative securities.</w:t>
      </w:r>
    </w:p>
    <w:p>
      <w:pPr>
        <w:spacing w:after="0" w:line="19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w:t>
      </w:r>
      <w:r>
        <w:rPr>
          <w:rFonts w:ascii="Times New Roman" w:cs="Times New Roman" w:eastAsia="Times New Roman" w:hAnsi="Times New Roman"/>
          <w:sz w:val="22"/>
          <w:szCs w:val="22"/>
          <w:color w:val="auto"/>
        </w:rPr>
        <w:t>” includes stocks, bonds, notes, debentures, options, warrants, equity and other convertible securities, as well as derivative instruments.</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Information is considered “</w:t>
      </w:r>
      <w:r>
        <w:rPr>
          <w:rFonts w:ascii="Times New Roman" w:cs="Times New Roman" w:eastAsia="Times New Roman" w:hAnsi="Times New Roman"/>
          <w:sz w:val="22"/>
          <w:szCs w:val="22"/>
          <w:u w:val="single" w:color="auto"/>
          <w:color w:val="auto"/>
        </w:rPr>
        <w:t>material</w:t>
      </w:r>
      <w:r>
        <w:rPr>
          <w:rFonts w:ascii="Times New Roman" w:cs="Times New Roman" w:eastAsia="Times New Roman" w:hAnsi="Times New Roman"/>
          <w:sz w:val="22"/>
          <w:szCs w:val="22"/>
          <w:color w:val="auto"/>
        </w:rPr>
        <w:t>” if there is a substantial likelihood that a reasonable investor would consider it important in making a decision to buy, sell, or hold a security, or if the information is likely to have a significant effect on the market price of the security. Material information can be positive or negative and can relate to virtually any aspect of a company’s business or to any type of security. Also, information that something is likely to happen in the future—or even just that it may happen—could be deemed material.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Examples of material information may include (but are not limited to) information about:</w:t>
      </w:r>
    </w:p>
    <w:p>
      <w:pPr>
        <w:spacing w:after="0" w:line="200" w:lineRule="exact"/>
        <w:rPr>
          <w:sz w:val="20"/>
          <w:szCs w:val="20"/>
          <w:color w:val="auto"/>
        </w:rPr>
      </w:pPr>
    </w:p>
    <w:p>
      <w:pPr>
        <w:spacing w:after="0" w:line="303" w:lineRule="exact"/>
        <w:rPr>
          <w:sz w:val="20"/>
          <w:szCs w:val="20"/>
          <w:color w:val="auto"/>
        </w:rPr>
      </w:pPr>
    </w:p>
    <w:p>
      <w:pPr>
        <w:ind w:left="1000" w:hanging="346"/>
        <w:spacing w:after="0"/>
        <w:tabs>
          <w:tab w:leader="none" w:pos="100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internal financial information which departs in any way from what the market would expect;</w:t>
      </w:r>
    </w:p>
    <w:p>
      <w:pPr>
        <w:spacing w:after="0" w:line="125" w:lineRule="exact"/>
        <w:rPr>
          <w:rFonts w:ascii="Times New Roman" w:cs="Times New Roman" w:eastAsia="Times New Roman" w:hAnsi="Times New Roman"/>
          <w:sz w:val="22"/>
          <w:szCs w:val="22"/>
          <w:color w:val="auto"/>
        </w:rPr>
      </w:pPr>
    </w:p>
    <w:p>
      <w:pPr>
        <w:ind w:left="980" w:hanging="328"/>
        <w:spacing w:after="0"/>
        <w:tabs>
          <w:tab w:leader="none" w:pos="98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corporate earnings or earnings forecasts and changes in dividends;</w:t>
      </w:r>
    </w:p>
    <w:p>
      <w:pPr>
        <w:spacing w:after="0" w:line="125" w:lineRule="exact"/>
        <w:rPr>
          <w:rFonts w:ascii="Times New Roman" w:cs="Times New Roman" w:eastAsia="Times New Roman" w:hAnsi="Times New Roman"/>
          <w:sz w:val="22"/>
          <w:szCs w:val="22"/>
          <w:color w:val="auto"/>
        </w:rPr>
      </w:pPr>
    </w:p>
    <w:p>
      <w:pPr>
        <w:ind w:left="980" w:hanging="328"/>
        <w:spacing w:after="0"/>
        <w:tabs>
          <w:tab w:leader="none" w:pos="98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splits or other transactions relating to Company securities;</w:t>
      </w:r>
    </w:p>
    <w:p>
      <w:pPr>
        <w:spacing w:after="0" w:line="179" w:lineRule="exact"/>
        <w:rPr>
          <w:rFonts w:ascii="Times New Roman" w:cs="Times New Roman" w:eastAsia="Times New Roman" w:hAnsi="Times New Roman"/>
          <w:sz w:val="22"/>
          <w:szCs w:val="22"/>
          <w:color w:val="auto"/>
        </w:rPr>
      </w:pPr>
    </w:p>
    <w:p>
      <w:pPr>
        <w:ind w:left="980" w:hanging="328"/>
        <w:spacing w:after="0"/>
        <w:tabs>
          <w:tab w:leader="none" w:pos="98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possible mergers, acquisitions, tender offers, or dispositions;</w:t>
      </w:r>
    </w:p>
    <w:p>
      <w:pPr>
        <w:spacing w:after="0" w:line="125" w:lineRule="exact"/>
        <w:rPr>
          <w:rFonts w:ascii="Times New Roman" w:cs="Times New Roman" w:eastAsia="Times New Roman" w:hAnsi="Times New Roman"/>
          <w:sz w:val="22"/>
          <w:szCs w:val="22"/>
          <w:color w:val="auto"/>
        </w:rPr>
      </w:pPr>
    </w:p>
    <w:p>
      <w:pPr>
        <w:ind w:left="980" w:hanging="328"/>
        <w:spacing w:after="0"/>
        <w:tabs>
          <w:tab w:leader="none" w:pos="98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major new products or product developments;</w:t>
      </w:r>
    </w:p>
    <w:p>
      <w:pPr>
        <w:spacing w:after="0" w:line="125" w:lineRule="exact"/>
        <w:rPr>
          <w:rFonts w:ascii="Times New Roman" w:cs="Times New Roman" w:eastAsia="Times New Roman" w:hAnsi="Times New Roman"/>
          <w:sz w:val="22"/>
          <w:szCs w:val="22"/>
          <w:color w:val="auto"/>
        </w:rPr>
      </w:pPr>
    </w:p>
    <w:p>
      <w:pPr>
        <w:ind w:left="980" w:hanging="328"/>
        <w:spacing w:after="0"/>
        <w:tabs>
          <w:tab w:leader="none" w:pos="98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important business developments, such as developments regarding strategic collaborations;</w:t>
      </w:r>
    </w:p>
    <w:p>
      <w:pPr>
        <w:spacing w:after="0" w:line="125" w:lineRule="exact"/>
        <w:rPr>
          <w:rFonts w:ascii="Times New Roman" w:cs="Times New Roman" w:eastAsia="Times New Roman" w:hAnsi="Times New Roman"/>
          <w:sz w:val="22"/>
          <w:szCs w:val="22"/>
          <w:color w:val="auto"/>
        </w:rPr>
      </w:pPr>
    </w:p>
    <w:p>
      <w:pPr>
        <w:ind w:left="980" w:hanging="328"/>
        <w:spacing w:after="0"/>
        <w:tabs>
          <w:tab w:leader="none" w:pos="98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 or control changes;</w:t>
      </w:r>
    </w:p>
    <w:p>
      <w:pPr>
        <w:spacing w:after="0" w:line="125"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22"/>
          <w:szCs w:val="22"/>
          <w:color w:val="auto"/>
        </w:rPr>
        <w:t>•</w:t>
        <w:tab/>
        <w:t>significant financing developments</w:t>
      </w:r>
      <w:r>
        <w:rPr>
          <w:rFonts w:ascii="Times New Roman" w:cs="Times New Roman" w:eastAsia="Times New Roman" w:hAnsi="Times New Roman"/>
          <w:sz w:val="22"/>
          <w:szCs w:val="22"/>
          <w:color w:val="0000FF"/>
        </w:rPr>
        <w:t>,</w:t>
      </w:r>
      <w:r>
        <w:rPr>
          <w:rFonts w:ascii="Times New Roman" w:cs="Times New Roman" w:eastAsia="Times New Roman" w:hAnsi="Times New Roman"/>
          <w:sz w:val="22"/>
          <w:szCs w:val="22"/>
          <w:color w:val="auto"/>
        </w:rPr>
        <w:t xml:space="preserve"> including pending public sales or offerings of debt or equity securities;</w:t>
      </w:r>
    </w:p>
    <w:p>
      <w:pPr>
        <w:spacing w:after="0" w:line="125" w:lineRule="exact"/>
        <w:rPr>
          <w:sz w:val="20"/>
          <w:szCs w:val="20"/>
          <w:color w:val="auto"/>
        </w:rPr>
      </w:pPr>
    </w:p>
    <w:p>
      <w:pPr>
        <w:ind w:left="980" w:hanging="328"/>
        <w:spacing w:after="0"/>
        <w:tabs>
          <w:tab w:leader="none" w:pos="98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defaults on borrowings;</w:t>
      </w:r>
    </w:p>
    <w:p>
      <w:pPr>
        <w:sectPr>
          <w:pgSz w:w="11900" w:h="16838" w:orient="portrait"/>
          <w:cols w:equalWidth="0" w:num="1">
            <w:col w:w="10660"/>
          </w:cols>
          <w:pgMar w:left="620" w:top="1003" w:right="619" w:bottom="1440" w:gutter="0" w:footer="0" w:header="0"/>
        </w:sectPr>
      </w:pPr>
    </w:p>
    <w:bookmarkStart w:id="159" w:name="page160"/>
    <w:bookmarkEnd w:id="159"/>
    <w:p>
      <w:pPr>
        <w:ind w:left="980" w:hanging="328"/>
        <w:spacing w:after="0"/>
        <w:tabs>
          <w:tab w:leader="none" w:pos="98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bankruptcies;</w:t>
      </w:r>
    </w:p>
    <w:p>
      <w:pPr>
        <w:spacing w:after="0" w:line="27" w:lineRule="exact"/>
        <w:rPr>
          <w:rFonts w:ascii="Times New Roman" w:cs="Times New Roman" w:eastAsia="Times New Roman" w:hAnsi="Times New Roman"/>
          <w:sz w:val="22"/>
          <w:szCs w:val="22"/>
          <w:color w:val="auto"/>
        </w:rPr>
      </w:pPr>
    </w:p>
    <w:p>
      <w:pPr>
        <w:ind w:left="980" w:hanging="328"/>
        <w:spacing w:after="0"/>
        <w:tabs>
          <w:tab w:leader="none" w:pos="98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cybersecurity or data security incidents; and</w:t>
      </w:r>
    </w:p>
    <w:p>
      <w:pPr>
        <w:spacing w:after="0" w:line="101" w:lineRule="exact"/>
        <w:rPr>
          <w:rFonts w:ascii="Times New Roman" w:cs="Times New Roman" w:eastAsia="Times New Roman" w:hAnsi="Times New Roman"/>
          <w:sz w:val="22"/>
          <w:szCs w:val="22"/>
          <w:color w:val="auto"/>
        </w:rPr>
      </w:pPr>
    </w:p>
    <w:p>
      <w:pPr>
        <w:ind w:left="980" w:hanging="328"/>
        <w:spacing w:after="0"/>
        <w:tabs>
          <w:tab w:leader="none" w:pos="98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litigation or regulatory actions.</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Information is “</w:t>
      </w:r>
      <w:r>
        <w:rPr>
          <w:rFonts w:ascii="Times New Roman" w:cs="Times New Roman" w:eastAsia="Times New Roman" w:hAnsi="Times New Roman"/>
          <w:sz w:val="22"/>
          <w:szCs w:val="22"/>
          <w:u w:val="single" w:color="auto"/>
          <w:color w:val="auto"/>
        </w:rPr>
        <w:t>nonpublic</w:t>
      </w:r>
      <w:r>
        <w:rPr>
          <w:rFonts w:ascii="Times New Roman" w:cs="Times New Roman" w:eastAsia="Times New Roman" w:hAnsi="Times New Roman"/>
          <w:sz w:val="22"/>
          <w:szCs w:val="22"/>
          <w:color w:val="auto"/>
        </w:rPr>
        <w:t>” if it is not available to the general public. In order for information to be considered “</w:t>
      </w:r>
      <w:r>
        <w:rPr>
          <w:rFonts w:ascii="Times New Roman" w:cs="Times New Roman" w:eastAsia="Times New Roman" w:hAnsi="Times New Roman"/>
          <w:sz w:val="22"/>
          <w:szCs w:val="22"/>
          <w:u w:val="single" w:color="auto"/>
          <w:color w:val="auto"/>
        </w:rPr>
        <w:t>public</w:t>
      </w:r>
      <w:r>
        <w:rPr>
          <w:rFonts w:ascii="Times New Roman" w:cs="Times New Roman" w:eastAsia="Times New Roman" w:hAnsi="Times New Roman"/>
          <w:sz w:val="22"/>
          <w:szCs w:val="22"/>
          <w:color w:val="auto"/>
        </w:rPr>
        <w:t>,” it must be widely disseminated in a manner that makes it generally available to investors in a Regulation FD-compliant method, such as through a press release, a filing with the U.S. Securities and Exchange Commission (the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or a Regulation FD-compliant conference call. The Compliance Officer shall have sole discretion to decide whether information is public for purposes of this Policy.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2"/>
          <w:szCs w:val="22"/>
          <w:color w:val="auto"/>
        </w:rPr>
        <w:t>The circulation of rumors, even if accurate and reported in the media, does not constitute public dissemination. In addition, even after a public announcement, a reasonable period of time may need to lapse in order for the market to react to the information. Generally, the passage of one full trading day following release of the information to the public, is a reasonable waiting period before such information is deemed to be public.</w:t>
      </w:r>
    </w:p>
    <w:p>
      <w:pPr>
        <w:spacing w:after="0" w:line="16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laws and regulations concerning insider trading are complex, and Covered Persons are encouraged to seek guidance from the Compliance Officer prior to considering a transaction in securities.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Q</w:t>
      </w:r>
      <w:r>
        <w:rPr>
          <w:rFonts w:ascii="Times New Roman" w:cs="Times New Roman" w:eastAsia="Times New Roman" w:hAnsi="Times New Roman"/>
          <w:sz w:val="22"/>
          <w:szCs w:val="22"/>
          <w:b w:val="1"/>
          <w:bCs w:val="1"/>
          <w:u w:val="single" w:color="auto"/>
          <w:color w:val="auto"/>
        </w:rPr>
        <w:t>uarter</w:t>
      </w:r>
      <w:r>
        <w:rPr>
          <w:rFonts w:ascii="Times New Roman" w:cs="Times New Roman" w:eastAsia="Times New Roman" w:hAnsi="Times New Roman"/>
          <w:sz w:val="22"/>
          <w:szCs w:val="22"/>
          <w:b w:val="1"/>
          <w:bCs w:val="1"/>
          <w:color w:val="auto"/>
        </w:rPr>
        <w:t xml:space="preserve">ly </w:t>
      </w:r>
      <w:r>
        <w:rPr>
          <w:rFonts w:ascii="Times New Roman" w:cs="Times New Roman" w:eastAsia="Times New Roman" w:hAnsi="Times New Roman"/>
          <w:sz w:val="22"/>
          <w:szCs w:val="22"/>
          <w:b w:val="1"/>
          <w:bCs w:val="1"/>
          <w:u w:val="single" w:color="auto"/>
          <w:color w:val="auto"/>
        </w:rPr>
        <w:t>Blackout Periods</w:t>
      </w:r>
    </w:p>
    <w:p>
      <w:pPr>
        <w:spacing w:after="0" w:line="23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Covered Persons must not purchase, sell, gift or otherwise transfer any security of the Company during any blackout period, except as otherwise permitted by this Policy.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quarterly blackout period:</w:t>
      </w:r>
    </w:p>
    <w:p>
      <w:pPr>
        <w:spacing w:after="0" w:line="233" w:lineRule="exact"/>
        <w:rPr>
          <w:sz w:val="20"/>
          <w:szCs w:val="20"/>
          <w:color w:val="auto"/>
        </w:rPr>
      </w:pPr>
    </w:p>
    <w:p>
      <w:pPr>
        <w:ind w:left="1300" w:hanging="324"/>
        <w:spacing w:after="0"/>
        <w:tabs>
          <w:tab w:leader="none" w:pos="130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begins seven (7) calendar days prior to the end of each fiscal quarter; and</w:t>
      </w:r>
    </w:p>
    <w:p>
      <w:pPr>
        <w:spacing w:after="0" w:line="30" w:lineRule="exact"/>
        <w:rPr>
          <w:rFonts w:ascii="Times New Roman" w:cs="Times New Roman" w:eastAsia="Times New Roman" w:hAnsi="Times New Roman"/>
          <w:sz w:val="22"/>
          <w:szCs w:val="22"/>
          <w:color w:val="auto"/>
        </w:rPr>
      </w:pPr>
    </w:p>
    <w:p>
      <w:pPr>
        <w:ind w:left="1300" w:hanging="324"/>
        <w:spacing w:after="0"/>
        <w:tabs>
          <w:tab w:leader="none" w:pos="130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ends after completion of the first trading day after the earnings release for that quarter.</w:t>
      </w:r>
    </w:p>
    <w:p>
      <w:pPr>
        <w:spacing w:after="0" w:line="2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A “trading day” is a day on which U.S. national stock exchanges are open for trading. If, for example, the Company were to release earnings on Monday </w:t>
      </w:r>
      <w:r>
        <w:rPr>
          <w:rFonts w:ascii="Times New Roman" w:cs="Times New Roman" w:eastAsia="Times New Roman" w:hAnsi="Times New Roman"/>
          <w:sz w:val="22"/>
          <w:szCs w:val="22"/>
          <w:i w:val="1"/>
          <w:iCs w:val="1"/>
          <w:color w:val="auto"/>
        </w:rPr>
        <w:t>prior</w:t>
      </w:r>
      <w:r>
        <w:rPr>
          <w:rFonts w:ascii="Times New Roman" w:cs="Times New Roman" w:eastAsia="Times New Roman" w:hAnsi="Times New Roman"/>
          <w:sz w:val="22"/>
          <w:szCs w:val="22"/>
          <w:color w:val="auto"/>
        </w:rPr>
        <w:t xml:space="preserve"> to 9:30 a.m. Eastern Time, then the blackout period would terminate </w:t>
      </w:r>
      <w:r>
        <w:rPr>
          <w:rFonts w:ascii="Times New Roman" w:cs="Times New Roman" w:eastAsia="Times New Roman" w:hAnsi="Times New Roman"/>
          <w:sz w:val="22"/>
          <w:szCs w:val="22"/>
          <w:i w:val="1"/>
          <w:iCs w:val="1"/>
          <w:color w:val="auto"/>
        </w:rPr>
        <w:t>after</w:t>
      </w:r>
      <w:r>
        <w:rPr>
          <w:rFonts w:ascii="Times New Roman" w:cs="Times New Roman" w:eastAsia="Times New Roman" w:hAnsi="Times New Roman"/>
          <w:sz w:val="22"/>
          <w:szCs w:val="22"/>
          <w:color w:val="auto"/>
        </w:rPr>
        <w:t xml:space="preserve"> the close of trading on Monday. If the Company were to release earnings on Monday </w:t>
      </w:r>
      <w:r>
        <w:rPr>
          <w:rFonts w:ascii="Times New Roman" w:cs="Times New Roman" w:eastAsia="Times New Roman" w:hAnsi="Times New Roman"/>
          <w:sz w:val="22"/>
          <w:szCs w:val="22"/>
          <w:i w:val="1"/>
          <w:iCs w:val="1"/>
          <w:color w:val="auto"/>
        </w:rPr>
        <w:t>after</w:t>
      </w:r>
      <w:r>
        <w:rPr>
          <w:rFonts w:ascii="Times New Roman" w:cs="Times New Roman" w:eastAsia="Times New Roman" w:hAnsi="Times New Roman"/>
          <w:sz w:val="22"/>
          <w:szCs w:val="22"/>
          <w:color w:val="auto"/>
        </w:rPr>
        <w:t xml:space="preserve"> 9:30</w:t>
      </w:r>
    </w:p>
    <w:p>
      <w:pPr>
        <w:spacing w:after="0" w:line="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2"/>
          <w:szCs w:val="22"/>
          <w:color w:val="auto"/>
        </w:rPr>
        <w:t xml:space="preserve">a.m. Eastern Time, then the blackout period would terminate </w:t>
      </w:r>
      <w:r>
        <w:rPr>
          <w:rFonts w:ascii="Times New Roman" w:cs="Times New Roman" w:eastAsia="Times New Roman" w:hAnsi="Times New Roman"/>
          <w:sz w:val="22"/>
          <w:szCs w:val="22"/>
          <w:i w:val="1"/>
          <w:iCs w:val="1"/>
          <w:color w:val="auto"/>
        </w:rPr>
        <w:t>after</w:t>
      </w:r>
      <w:r>
        <w:rPr>
          <w:rFonts w:ascii="Times New Roman" w:cs="Times New Roman" w:eastAsia="Times New Roman" w:hAnsi="Times New Roman"/>
          <w:sz w:val="22"/>
          <w:szCs w:val="22"/>
          <w:color w:val="auto"/>
        </w:rPr>
        <w:t xml:space="preserve"> the close of trading on Tuesday. Any question as to whether information is publicly available shall be directed to the Compliance Officer.</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Additional Blackout Periods</w:t>
      </w:r>
    </w:p>
    <w:p>
      <w:pPr>
        <w:spacing w:after="0" w:line="23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From time to time, the Compliance Officer may determine that an additional blackout period is appropriate. Persons subject to an additional blackout period must not purchase, sell, gift or otherwise transfer any security of the Company, except as otherwise permitted by this Policy, and must not disclose that an additional blackout period is in effect.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Pre-Clearance of Transactions</w:t>
      </w:r>
    </w:p>
    <w:p>
      <w:pPr>
        <w:spacing w:after="0" w:line="22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Compliance Officer will designate a list of persons (each, a “</w:t>
      </w:r>
      <w:r>
        <w:rPr>
          <w:rFonts w:ascii="Times New Roman" w:cs="Times New Roman" w:eastAsia="Times New Roman" w:hAnsi="Times New Roman"/>
          <w:sz w:val="22"/>
          <w:szCs w:val="22"/>
          <w:u w:val="single" w:color="auto"/>
          <w:color w:val="auto"/>
        </w:rPr>
        <w:t>Pre-Clearance Person</w:t>
      </w:r>
      <w:r>
        <w:rPr>
          <w:rFonts w:ascii="Times New Roman" w:cs="Times New Roman" w:eastAsia="Times New Roman" w:hAnsi="Times New Roman"/>
          <w:sz w:val="22"/>
          <w:szCs w:val="22"/>
          <w:color w:val="auto"/>
        </w:rPr>
        <w:t>”) who (with their controlled entities and household members) must pre-clear each transaction in any security of the Company.</w:t>
      </w:r>
    </w:p>
    <w:p>
      <w:pPr>
        <w:sectPr>
          <w:pgSz w:w="11900" w:h="16838" w:orient="portrait"/>
          <w:cols w:equalWidth="0" w:num="1">
            <w:col w:w="10660"/>
          </w:cols>
          <w:pgMar w:left="620" w:top="895" w:right="619" w:bottom="1440" w:gutter="0" w:footer="0" w:header="0"/>
        </w:sectPr>
      </w:pPr>
    </w:p>
    <w:bookmarkStart w:id="160" w:name="page161"/>
    <w:bookmarkEnd w:id="160"/>
    <w:p>
      <w:pPr>
        <w:jc w:val="both"/>
        <w:ind w:left="300" w:right="240" w:firstLine="648"/>
        <w:spacing w:after="0" w:line="251" w:lineRule="auto"/>
        <w:rPr>
          <w:sz w:val="20"/>
          <w:szCs w:val="20"/>
          <w:color w:val="auto"/>
        </w:rPr>
      </w:pPr>
      <w:r>
        <w:rPr>
          <w:rFonts w:ascii="Times New Roman" w:cs="Times New Roman" w:eastAsia="Times New Roman" w:hAnsi="Times New Roman"/>
          <w:sz w:val="22"/>
          <w:szCs w:val="22"/>
          <w:color w:val="auto"/>
        </w:rPr>
        <w:t>A request for pre-clearance must be in writing, should be made at least two business days in advance of the proposed transaction, and should include the identity of the Pre-Clearance Person, a description of the proposed transaction, the proposed date of the transaction, and the number of shares or other securities involved. In addition, the Pre-Clearance Person must execute a certification that he or she is not aware of material nonpublic information about the Company. The Compliance Officer, or the Chief Financial Officer for transactions by the Compliance Officer, shall have sole discretion to decide whether to clear any contemplated transaction.</w:t>
      </w:r>
    </w:p>
    <w:p>
      <w:pPr>
        <w:spacing w:after="0" w:line="181" w:lineRule="exact"/>
        <w:rPr>
          <w:sz w:val="20"/>
          <w:szCs w:val="20"/>
          <w:color w:val="auto"/>
        </w:rPr>
      </w:pPr>
    </w:p>
    <w:p>
      <w:pPr>
        <w:jc w:val="both"/>
        <w:ind w:left="300" w:right="240" w:firstLine="648"/>
        <w:spacing w:after="0" w:line="261" w:lineRule="auto"/>
        <w:rPr>
          <w:sz w:val="20"/>
          <w:szCs w:val="20"/>
          <w:color w:val="auto"/>
        </w:rPr>
      </w:pPr>
      <w:r>
        <w:rPr>
          <w:rFonts w:ascii="Times New Roman" w:cs="Times New Roman" w:eastAsia="Times New Roman" w:hAnsi="Times New Roman"/>
          <w:sz w:val="22"/>
          <w:szCs w:val="22"/>
          <w:color w:val="auto"/>
        </w:rPr>
        <w:t>Pre-clearance approval will remain valid for two business days for transactions without a proposed transaction date. Notwithstanding receipt of pre-clearance, if the Pre-Clearance Person becomes aware of material nonpublic information, or becomes subject to a blackout period before the transaction is effected, the transaction may not be completed. Transactions not effected within the time limit will become subject to pre-clearance again.</w:t>
      </w:r>
    </w:p>
    <w:p>
      <w:pPr>
        <w:spacing w:after="0" w:line="169" w:lineRule="exact"/>
        <w:rPr>
          <w:sz w:val="20"/>
          <w:szCs w:val="20"/>
          <w:color w:val="auto"/>
        </w:rPr>
      </w:pPr>
    </w:p>
    <w:p>
      <w:pPr>
        <w:jc w:val="both"/>
        <w:ind w:left="300" w:right="240" w:firstLine="648"/>
        <w:spacing w:after="0" w:line="261" w:lineRule="auto"/>
        <w:rPr>
          <w:sz w:val="20"/>
          <w:szCs w:val="20"/>
          <w:color w:val="auto"/>
        </w:rPr>
      </w:pPr>
      <w:r>
        <w:rPr>
          <w:rFonts w:ascii="Times New Roman" w:cs="Times New Roman" w:eastAsia="Times New Roman" w:hAnsi="Times New Roman"/>
          <w:sz w:val="22"/>
          <w:szCs w:val="22"/>
          <w:color w:val="auto"/>
        </w:rPr>
        <w:t>All officers and directors must provide the Compliance Officer with a copy of any trade order or confirmation relating to the purchase, sale or gift of Company securities within one business day of such transaction. This information is necessary to enable the Company to monitor trading by executive officers and directors and ensure that all such trades are properly reported.</w:t>
      </w:r>
    </w:p>
    <w:p>
      <w:pPr>
        <w:spacing w:after="0" w:line="169" w:lineRule="exact"/>
        <w:rPr>
          <w:sz w:val="20"/>
          <w:szCs w:val="20"/>
          <w:color w:val="auto"/>
        </w:rPr>
      </w:pPr>
    </w:p>
    <w:p>
      <w:pPr>
        <w:jc w:val="both"/>
        <w:ind w:left="300" w:right="240" w:firstLine="648"/>
        <w:spacing w:after="0" w:line="257" w:lineRule="auto"/>
        <w:rPr>
          <w:sz w:val="20"/>
          <w:szCs w:val="20"/>
          <w:color w:val="auto"/>
        </w:rPr>
      </w:pPr>
      <w:r>
        <w:rPr>
          <w:rFonts w:ascii="Times New Roman" w:cs="Times New Roman" w:eastAsia="Times New Roman" w:hAnsi="Times New Roman"/>
          <w:sz w:val="22"/>
          <w:szCs w:val="22"/>
          <w:color w:val="auto"/>
        </w:rPr>
        <w:t>Pre-clearance should not be understood to represent legal advice by the Company that a proposed transaction complies with the law. None of the Company, the Compliance Officer, or the Company’s other employees will have any liability for any delay in reviewing, or refusal of, a request for pre-clearance.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Exempt Transactions</w:t>
      </w:r>
    </w:p>
    <w:p>
      <w:pPr>
        <w:spacing w:after="0" w:line="22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This Policy, except for provisions set forth in the Prohibited Transactions section below, does not apply to:</w:t>
      </w:r>
    </w:p>
    <w:p>
      <w:pPr>
        <w:spacing w:after="0" w:line="233" w:lineRule="exact"/>
        <w:rPr>
          <w:sz w:val="20"/>
          <w:szCs w:val="20"/>
          <w:color w:val="auto"/>
        </w:rPr>
      </w:pPr>
    </w:p>
    <w:p>
      <w:pPr>
        <w:ind w:left="1600" w:hanging="324"/>
        <w:spacing w:after="0"/>
        <w:tabs>
          <w:tab w:leader="none" w:pos="160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directly with the Company;</w:t>
      </w:r>
    </w:p>
    <w:p>
      <w:pPr>
        <w:spacing w:after="0" w:line="233" w:lineRule="exact"/>
        <w:rPr>
          <w:rFonts w:ascii="Times New Roman" w:cs="Times New Roman" w:eastAsia="Times New Roman" w:hAnsi="Times New Roman"/>
          <w:sz w:val="22"/>
          <w:szCs w:val="22"/>
          <w:color w:val="auto"/>
        </w:rPr>
      </w:pPr>
    </w:p>
    <w:p>
      <w:pPr>
        <w:ind w:left="960" w:right="240" w:firstLine="316"/>
        <w:spacing w:after="0" w:line="295" w:lineRule="auto"/>
        <w:tabs>
          <w:tab w:leader="none" w:pos="1953"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gift transactions for family or estate planning purposes, where securities are gifted to a person or entity subject to this Policy, except that gift transactions involving Company securities are subject to pre-clearance;</w:t>
      </w:r>
    </w:p>
    <w:p>
      <w:pPr>
        <w:spacing w:after="0" w:line="135" w:lineRule="exact"/>
        <w:rPr>
          <w:rFonts w:ascii="Times New Roman" w:cs="Times New Roman" w:eastAsia="Times New Roman" w:hAnsi="Times New Roman"/>
          <w:sz w:val="21"/>
          <w:szCs w:val="21"/>
          <w:color w:val="auto"/>
        </w:rPr>
      </w:pPr>
    </w:p>
    <w:p>
      <w:pPr>
        <w:jc w:val="both"/>
        <w:ind w:left="960" w:right="240" w:firstLine="316"/>
        <w:spacing w:after="0" w:line="263" w:lineRule="auto"/>
        <w:tabs>
          <w:tab w:leader="none" w:pos="1953"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relating to equity incentive awards without any open-market sale of securities (e.g., cash the “net settlement” of restricted stock units but not broker-assisted cashless exercises or open-market sales to cover taxes upon the vesting of restricted stock units);</w:t>
      </w:r>
    </w:p>
    <w:p>
      <w:pPr>
        <w:spacing w:after="0" w:line="167" w:lineRule="exact"/>
        <w:rPr>
          <w:rFonts w:ascii="Times New Roman" w:cs="Times New Roman" w:eastAsia="Times New Roman" w:hAnsi="Times New Roman"/>
          <w:sz w:val="22"/>
          <w:szCs w:val="22"/>
          <w:color w:val="auto"/>
        </w:rPr>
      </w:pPr>
    </w:p>
    <w:p>
      <w:pPr>
        <w:jc w:val="both"/>
        <w:ind w:left="960" w:right="260" w:firstLine="316"/>
        <w:spacing w:after="0" w:line="263" w:lineRule="auto"/>
        <w:tabs>
          <w:tab w:leader="none" w:pos="1953"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“sell-to-cover” transactions pursuant to a non-discretionary policy adopted by the Company that is intended to facilitate the payment of withholding taxes associated with vesting of equity awards (other than stock options);</w:t>
      </w:r>
    </w:p>
    <w:p>
      <w:pPr>
        <w:spacing w:after="0" w:line="167" w:lineRule="exact"/>
        <w:rPr>
          <w:rFonts w:ascii="Times New Roman" w:cs="Times New Roman" w:eastAsia="Times New Roman" w:hAnsi="Times New Roman"/>
          <w:sz w:val="22"/>
          <w:szCs w:val="22"/>
          <w:color w:val="auto"/>
        </w:rPr>
      </w:pPr>
    </w:p>
    <w:p>
      <w:pPr>
        <w:ind w:left="1600" w:hanging="324"/>
        <w:spacing w:after="0"/>
        <w:tabs>
          <w:tab w:leader="none" w:pos="160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under a pre-cleared Rule 10b5-1 plan; or</w:t>
      </w:r>
    </w:p>
    <w:p>
      <w:pPr>
        <w:spacing w:after="0" w:line="219" w:lineRule="exact"/>
        <w:rPr>
          <w:rFonts w:ascii="Times New Roman" w:cs="Times New Roman" w:eastAsia="Times New Roman" w:hAnsi="Times New Roman"/>
          <w:sz w:val="22"/>
          <w:szCs w:val="22"/>
          <w:color w:val="auto"/>
        </w:rPr>
      </w:pPr>
    </w:p>
    <w:p>
      <w:pPr>
        <w:ind w:left="1600" w:hanging="324"/>
        <w:spacing w:after="0" w:line="271" w:lineRule="auto"/>
        <w:tabs>
          <w:tab w:leader="none" w:pos="1594"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under a pre-cleared non-Rule 10b5-1 trading arrangement as defined in Item 408(c) of Regulation S-K).</w:t>
      </w:r>
    </w:p>
    <w:p>
      <w:pPr>
        <w:spacing w:after="0" w:line="1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t>Rule 10b5-1 Trading Plans</w:t>
      </w:r>
    </w:p>
    <w:p>
      <w:pPr>
        <w:spacing w:after="0" w:line="237" w:lineRule="exact"/>
        <w:rPr>
          <w:sz w:val="20"/>
          <w:szCs w:val="20"/>
          <w:color w:val="auto"/>
        </w:rPr>
      </w:pPr>
    </w:p>
    <w:p>
      <w:pPr>
        <w:ind w:left="300" w:right="240" w:firstLine="648"/>
        <w:spacing w:after="0" w:line="271" w:lineRule="auto"/>
        <w:rPr>
          <w:sz w:val="20"/>
          <w:szCs w:val="20"/>
          <w:color w:val="auto"/>
        </w:rPr>
      </w:pPr>
      <w:r>
        <w:rPr>
          <w:rFonts w:ascii="Times New Roman" w:cs="Times New Roman" w:eastAsia="Times New Roman" w:hAnsi="Times New Roman"/>
          <w:sz w:val="22"/>
          <w:szCs w:val="22"/>
          <w:color w:val="auto"/>
        </w:rPr>
        <w:t>The restrictions in this Policy, except for provisions set forth in the Prohibited Transactions section below, do not apply to transactions under a trading plan (a “</w:t>
      </w:r>
      <w:r>
        <w:rPr>
          <w:rFonts w:ascii="Times New Roman" w:cs="Times New Roman" w:eastAsia="Times New Roman" w:hAnsi="Times New Roman"/>
          <w:sz w:val="22"/>
          <w:szCs w:val="22"/>
          <w:u w:val="single" w:color="auto"/>
          <w:color w:val="auto"/>
        </w:rPr>
        <w:t>Trading Plan</w:t>
      </w:r>
      <w:r>
        <w:rPr>
          <w:rFonts w:ascii="Times New Roman" w:cs="Times New Roman" w:eastAsia="Times New Roman" w:hAnsi="Times New Roman"/>
          <w:sz w:val="22"/>
          <w:szCs w:val="22"/>
          <w:color w:val="auto"/>
        </w:rPr>
        <w:t>”) that satisfies either:</w:t>
      </w:r>
    </w:p>
    <w:p>
      <w:pPr>
        <w:sectPr>
          <w:pgSz w:w="11900" w:h="16838" w:orient="portrait"/>
          <w:cols w:equalWidth="0" w:num="1">
            <w:col w:w="11200"/>
          </w:cols>
          <w:pgMar w:left="320" w:top="1003" w:right="379" w:bottom="1440" w:gutter="0" w:footer="0" w:header="0"/>
        </w:sectPr>
      </w:pPr>
    </w:p>
    <w:bookmarkStart w:id="161" w:name="page162"/>
    <w:bookmarkEnd w:id="161"/>
    <w:p>
      <w:pPr>
        <w:ind w:left="980" w:hanging="328"/>
        <w:spacing w:after="0"/>
        <w:tabs>
          <w:tab w:leader="none" w:pos="98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conditions of Rule 10b5-1; or</w:t>
      </w:r>
    </w:p>
    <w:p>
      <w:pPr>
        <w:spacing w:after="0" w:line="233" w:lineRule="exact"/>
        <w:rPr>
          <w:rFonts w:ascii="Times New Roman" w:cs="Times New Roman" w:eastAsia="Times New Roman" w:hAnsi="Times New Roman"/>
          <w:sz w:val="22"/>
          <w:szCs w:val="22"/>
          <w:color w:val="auto"/>
        </w:rPr>
      </w:pPr>
    </w:p>
    <w:p>
      <w:pPr>
        <w:ind w:left="980" w:hanging="328"/>
        <w:spacing w:after="0"/>
        <w:tabs>
          <w:tab w:leader="none" w:pos="98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elements of a non-Rule 10b5-1 trading arrangement as defined in Item 408(c) of Regulation S-K; and</w:t>
      </w:r>
    </w:p>
    <w:p>
      <w:pPr>
        <w:spacing w:after="0" w:line="219" w:lineRule="exact"/>
        <w:rPr>
          <w:rFonts w:ascii="Times New Roman" w:cs="Times New Roman" w:eastAsia="Times New Roman" w:hAnsi="Times New Roman"/>
          <w:sz w:val="22"/>
          <w:szCs w:val="22"/>
          <w:color w:val="auto"/>
        </w:rPr>
      </w:pPr>
    </w:p>
    <w:p>
      <w:pPr>
        <w:ind w:left="980" w:hanging="328"/>
        <w:spacing w:after="0"/>
        <w:tabs>
          <w:tab w:leader="none" w:pos="98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Compliance Officer has pre-approved.</w:t>
      </w:r>
    </w:p>
    <w:p>
      <w:pPr>
        <w:spacing w:after="0" w:line="23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The Compliance Officer may impose such other conditions on the implementation and operation of a Trading Plan as the Compliance Officer deems necessary or advisable.</w:t>
      </w:r>
    </w:p>
    <w:p>
      <w:pPr>
        <w:spacing w:after="0" w:line="14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An individual may only modify a Trading Plan outside of a blackout period and, in any event, when the individual does not possess material nonpublic information. Modifications to and early terminations of a Trading Plan are subject to pre-approval by the Compliance Officer.</w:t>
      </w:r>
    </w:p>
    <w:p>
      <w:pPr>
        <w:spacing w:after="0" w:line="17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The Company also reserves the right from time to time to suspend, discontinue, or otherwise prohibit transactions under a Trading Plan if the Compliance Officer or the Board of Directors, in its discretion, determines that such suspension, discontinuation, or other prohibition is in the best interests of the Company.</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Compliance of a Trading Plan with the terms of Rule 10b5-1 and the execution of transactions pursuant to the Trading Plan are the sole responsibility of the person initiating the Trading Plan, and none of the Company, the Compliance Officer, or the Company’s other employees assumes any liability for any delay in reviewing and/or refusing to approve a Trading Plan submitted for approval, nor the legality or consequences relating to a person entering into, informing the Company of, or trading under, a Trading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Prohibited Transactions</w:t>
      </w:r>
    </w:p>
    <w:p>
      <w:pPr>
        <w:spacing w:after="0" w:line="224"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The Company has determined that there is a heightened legal risk and the appearance of improper or inappropriate conduct if persons subject to this Policy engage in certain types of transactions. Therefore, Covered Persons shall comply with the following policies with respect to certain transactions in the Company’s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Short Sales/Control Stock/Section 16 Reports</w:t>
      </w:r>
    </w:p>
    <w:p>
      <w:pPr>
        <w:spacing w:after="0" w:line="23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Officers and directors subject to the reporting obligations under Section 16 of the Exchange Act should take care not to violate the prohibition on short sales (Section 16(c) of the Exchange Act) and the restrictions on sales by control persons (Rule 144 under the Securities Act of 1933, as amended), and should file all appropriate Section 16(a) reports (Forms 3, 4 and 5), and any notices of sale required by Rule 144. Short sales of the Company’s securities are prohibited by this Policy. Short sales are sales of shares that the insider does not own at the time of sale, or sales of shares against which the insider does not deliver the shares within 20 days after the sale.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Options</w:t>
      </w:r>
    </w:p>
    <w:p>
      <w:pPr>
        <w:spacing w:after="0" w:line="23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Transactions in puts, calls, or other derivative securities involving the Company’s equity securities, on an exchange, on an over-the-counter market, or in any other organized market, are prohibited by this Policy.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Hedging Transactions</w:t>
      </w:r>
    </w:p>
    <w:p>
      <w:pPr>
        <w:sectPr>
          <w:pgSz w:w="11900" w:h="16838" w:orient="portrait"/>
          <w:cols w:equalWidth="0" w:num="1">
            <w:col w:w="10660"/>
          </w:cols>
          <w:pgMar w:left="620" w:top="1003" w:right="619" w:bottom="1440" w:gutter="0" w:footer="0" w:header="0"/>
        </w:sectPr>
      </w:pPr>
    </w:p>
    <w:bookmarkStart w:id="162" w:name="page163"/>
    <w:bookmarkEnd w:id="162"/>
    <w:p>
      <w:pPr>
        <w:jc w:val="both"/>
        <w:ind w:right="20" w:firstLine="648"/>
        <w:spacing w:after="0" w:line="263" w:lineRule="auto"/>
        <w:rPr>
          <w:sz w:val="20"/>
          <w:szCs w:val="20"/>
          <w:color w:val="auto"/>
        </w:rPr>
      </w:pPr>
      <w:r>
        <w:rPr>
          <w:rFonts w:ascii="Times New Roman" w:cs="Times New Roman" w:eastAsia="Times New Roman" w:hAnsi="Times New Roman"/>
          <w:sz w:val="22"/>
          <w:szCs w:val="22"/>
          <w:color w:val="auto"/>
        </w:rPr>
        <w:t>Hedging transactions involving the Company’s securities, such as prepaid variable forward contracts, equity swaps, collars and exchange funds, or other transactions that hedge or offset, or are designed to hedge or offset, any decrease in the market value of the Company’s equity securities, are prohibited by this Policy.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Margin Accounts and Pledging</w:t>
      </w:r>
    </w:p>
    <w:p>
      <w:pPr>
        <w:spacing w:after="0" w:line="23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Individuals are prohibited from pledging Company securities as collateral for a loan, purchasing Company securities on margin (i.e., borrowing money to purchase the securities), or placing Company securities in a margin account. This prohibition does not apply to cashless exercises of stock options under the Company’s equity plans, nor to situations approved in advance by the Compliance Officer.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Partnership Distributions</w:t>
      </w:r>
    </w:p>
    <w:p>
      <w:pPr>
        <w:spacing w:after="0" w:line="22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Nothing in this Policy is intended to limit the ability of an investment fund, venture capital partnership or other similar entity with which a director is affiliated to distribute Company securities to its partners, members, or other similar persons. It is the responsibility of each affected director and the affiliated entity, in consultation with their own counsel (as appropriate), to determine the timing of any distributions, based on all relevant facts and circumstances, and applicable securities laws.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Post-Termination Transactions</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an individual is in possession of material nonpublic information when the individual’s service terminates, this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Policy continues to apply to such individual and his or her family members, and the restrictions set forth in “Policy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Statement” above continue to apply until that information has become public or is no longer material.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Polic</w:t>
      </w:r>
      <w:r>
        <w:rPr>
          <w:rFonts w:ascii="Times New Roman" w:cs="Times New Roman" w:eastAsia="Times New Roman" w:hAnsi="Times New Roman"/>
          <w:sz w:val="22"/>
          <w:szCs w:val="22"/>
          <w:b w:val="1"/>
          <w:bCs w:val="1"/>
          <w:color w:val="auto"/>
        </w:rPr>
        <w:t xml:space="preserve">y </w:t>
      </w:r>
      <w:r>
        <w:rPr>
          <w:rFonts w:ascii="Times New Roman" w:cs="Times New Roman" w:eastAsia="Times New Roman" w:hAnsi="Times New Roman"/>
          <w:sz w:val="22"/>
          <w:szCs w:val="22"/>
          <w:b w:val="1"/>
          <w:bCs w:val="1"/>
          <w:u w:val="single" w:color="auto"/>
          <w:color w:val="auto"/>
        </w:rPr>
        <w:t>Administration</w:t>
      </w:r>
    </w:p>
    <w:p>
      <w:pPr>
        <w:spacing w:after="0" w:line="22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2"/>
          <w:szCs w:val="22"/>
          <w:color w:val="auto"/>
        </w:rPr>
        <w:t>The Compliance Officer has authority to interpret, amend and implement this Policy. This authority includes interpreting or waiving the terms of this Policy, to the extent consistent with its general purpose and applicable securities laws. The Chief Financial Officer will administer this Policy as it applies to any trading activity by the Compliance Officer.</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Certification of Compliance</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All Covered Persons may be asked periodically to certify their compliance with the terms and provisions of this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Policy.</w:t>
      </w:r>
    </w:p>
    <w:p>
      <w:pPr>
        <w:sectPr>
          <w:pgSz w:w="11900" w:h="16838" w:orient="portrait"/>
          <w:cols w:equalWidth="0" w:num="1">
            <w:col w:w="10660"/>
          </w:cols>
          <w:pgMar w:left="620" w:top="1003" w:right="61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SUBSIDIARIES OF CIPHER MINING INC.</w:t>
      </w:r>
    </w:p>
    <w:p>
      <w:pPr>
        <w:sectPr>
          <w:pgSz w:w="11900" w:h="16838" w:orient="portrait"/>
          <w:cols w:equalWidth="0" w:num="1">
            <w:col w:w="11220"/>
          </w:cols>
          <w:pgMar w:left="340" w:top="117" w:right="3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Barber Lake East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Bit56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Cipher Barber Lake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Cipher Black Pearl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Cipher Compute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Cipher Mining (Canada)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Cipher Mining Infrastructure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Cipher Mining Technologies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Cipher Operations and Maintenance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Cipher Reveille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Cipher Songbird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Cipher Stingray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Cipher Technology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Colchis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Milsing BESS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Odessa Mining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Jurisdiction</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ectPr>
          <w:pgSz w:w="11900" w:h="16838" w:orient="portrait"/>
          <w:cols w:equalWidth="0" w:num="2">
            <w:col w:w="7820" w:space="720"/>
            <w:col w:w="2680"/>
          </w:cols>
          <w:pgMar w:left="340" w:top="117" w:right="339" w:bottom="1440" w:gutter="0" w:footer="0" w:header="0"/>
          <w:type w:val="continuous"/>
        </w:sectPr>
      </w:pPr>
    </w:p>
    <w:bookmarkStart w:id="164" w:name="page165"/>
    <w:bookmarkEnd w:id="164"/>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Independent Registered Public Accounting Firm’s Consent</w:t>
      </w:r>
    </w:p>
    <w:p>
      <w:pPr>
        <w:spacing w:after="0" w:line="2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consent to the incorporation by reference in the Registration Statement on Form S-8 (File No. 333-261148), Form S-8 (File No. 333-277678), Form S-8 (File No. 333-285236), Form S-3 (File No. 333-271641), Form S-3ASR (File No. 333-281908) and Form S-3ASR (File No. 333-285518) of our reports dated February 24, 2026, with respect to our audit of the consolidated financial statements and related financial statement Schedule I listed in the Index at Item 15 of Cipher Digital Inc. (the “Company”) as of and for the year ended December 31, 2025 and the effectiveness of internal control over financial reporting of the Company as of December 31, 2025, appearing in this Annual Report on Form 10-K for the year ended December 31,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CBIZ CPAs P.C.</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Francisco, CA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24, 2026</w:t>
      </w:r>
    </w:p>
    <w:p>
      <w:pPr>
        <w:sectPr>
          <w:pgSz w:w="11900" w:h="16838" w:orient="portrait"/>
          <w:cols w:equalWidth="0" w:num="1">
            <w:col w:w="11240"/>
          </w:cols>
          <w:pgMar w:left="320" w:top="1247" w:right="339" w:bottom="1440" w:gutter="0" w:footer="0" w:header="0"/>
        </w:sectPr>
      </w:pPr>
    </w:p>
    <w:bookmarkStart w:id="165" w:name="page166"/>
    <w:bookmarkEnd w:id="165"/>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CONSENT OF INDEPENDENT REGISTERED PUBLIC ACCOUNTING FIRM</w:t>
      </w:r>
    </w:p>
    <w:p>
      <w:pPr>
        <w:spacing w:after="0" w:line="2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consent to the incorporation by reference in the Registration Statements of Cipher Digital Inc. on Form S-8 (File No. 333-261148), Form S-8 (File No. 333-277678), Form S-8 (File No. 333-285236), Form S-3 (File No. 333-271641), Form S-3ASR (File 333-281908) and Form S-3ASR (File 333-285518) of our report dated February 25, 2025, except for Schedule I listed in the Index at Item 15, as to which the date is February 24, 2026, with respect to the consolidated financial statements and related financial statement Schedule I listed in the Index at Item 15 of Cipher Digital Inc. as of December 31, 2024 and for the years ended December 31, 2024 and 2023, included in this Annual Report on Form 10-K.</w:t>
      </w:r>
    </w:p>
    <w:p>
      <w:pPr>
        <w:spacing w:after="0" w:line="20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We resigned as the Company’s independent registered public accounting firm on April 14, 2025 and, accordingly we have not performed any audit or review procedures with respect to any financial statements for the periods after that date.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Marcum LLP</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Marcum LLP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San Francisco, CA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February 24, 2026</w:t>
      </w:r>
    </w:p>
    <w:p>
      <w:pPr>
        <w:sectPr>
          <w:pgSz w:w="11900" w:h="16838" w:orient="portrait"/>
          <w:cols w:equalWidth="0" w:num="1">
            <w:col w:w="11240"/>
          </w:cols>
          <w:pgMar w:left="320" w:top="1440" w:right="3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Tyler Page, certify that:</w:t>
      </w:r>
    </w:p>
    <w:p>
      <w:pPr>
        <w:spacing w:after="0" w:line="225" w:lineRule="exact"/>
        <w:rPr>
          <w:sz w:val="20"/>
          <w:szCs w:val="20"/>
          <w:color w:val="auto"/>
        </w:rPr>
      </w:pPr>
    </w:p>
    <w:p>
      <w:pPr>
        <w:ind w:left="1140" w:hanging="1132"/>
        <w:spacing w:after="0"/>
        <w:tabs>
          <w:tab w:leader="none" w:pos="11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Cipher Digital Inc.;</w:t>
      </w:r>
    </w:p>
    <w:p>
      <w:pPr>
        <w:spacing w:after="0" w:line="225" w:lineRule="exact"/>
        <w:rPr>
          <w:rFonts w:ascii="Times New Roman" w:cs="Times New Roman" w:eastAsia="Times New Roman" w:hAnsi="Times New Roman"/>
          <w:sz w:val="18"/>
          <w:szCs w:val="18"/>
          <w:color w:val="auto"/>
        </w:rPr>
      </w:pPr>
    </w:p>
    <w:p>
      <w:pPr>
        <w:ind w:left="1140" w:right="100" w:hanging="1132"/>
        <w:spacing w:after="0" w:line="266" w:lineRule="auto"/>
        <w:tabs>
          <w:tab w:leader="none" w:pos="11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140" w:right="380" w:hanging="1132"/>
        <w:spacing w:after="0" w:line="312" w:lineRule="auto"/>
        <w:tabs>
          <w:tab w:leader="none" w:pos="114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1140" w:right="260" w:hanging="1132"/>
        <w:spacing w:after="0" w:line="266" w:lineRule="auto"/>
        <w:tabs>
          <w:tab w:leader="none" w:pos="11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2280" w:right="20" w:hanging="1138"/>
        <w:spacing w:after="0" w:line="266" w:lineRule="auto"/>
        <w:tabs>
          <w:tab w:leader="none" w:pos="2277"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2280" w:right="440" w:hanging="1138"/>
        <w:spacing w:after="0" w:line="289" w:lineRule="auto"/>
        <w:tabs>
          <w:tab w:leader="none" w:pos="2274"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2280" w:right="320" w:hanging="1138"/>
        <w:spacing w:after="0" w:line="266" w:lineRule="auto"/>
        <w:tabs>
          <w:tab w:leader="none" w:pos="2277"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2280" w:right="40" w:hanging="1138"/>
        <w:spacing w:after="0" w:line="266" w:lineRule="auto"/>
        <w:tabs>
          <w:tab w:leader="none" w:pos="2274"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140" w:right="340" w:hanging="1132"/>
        <w:spacing w:after="0" w:line="266" w:lineRule="auto"/>
        <w:tabs>
          <w:tab w:leader="none" w:pos="11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2280" w:right="240" w:hanging="1138"/>
        <w:spacing w:after="0" w:line="266" w:lineRule="auto"/>
        <w:tabs>
          <w:tab w:leader="none" w:pos="2277"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2280" w:right="620" w:hanging="1138"/>
        <w:spacing w:after="0" w:line="282" w:lineRule="auto"/>
        <w:tabs>
          <w:tab w:leader="none" w:pos="2274"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143" w:right="339" w:bottom="1440" w:gutter="0" w:footer="0" w:header="0"/>
        </w:sectPr>
      </w:pPr>
    </w:p>
    <w:bookmarkStart w:id="167" w:name="page168"/>
    <w:bookmarkEnd w:id="167"/>
    <w:p>
      <w:pPr>
        <w:spacing w:after="0"/>
        <w:tabs>
          <w:tab w:leader="none" w:pos="5640" w:val="left"/>
          <w:tab w:leader="none" w:pos="8140" w:val="left"/>
        </w:tabs>
        <w:rPr>
          <w:sz w:val="20"/>
          <w:szCs w:val="20"/>
          <w:color w:val="auto"/>
        </w:rPr>
      </w:pPr>
      <w:r>
        <w:rPr>
          <w:rFonts w:ascii="Times New Roman" w:cs="Times New Roman" w:eastAsia="Times New Roman" w:hAnsi="Times New Roman"/>
          <w:sz w:val="18"/>
          <w:szCs w:val="18"/>
          <w:color w:val="auto"/>
        </w:rPr>
        <w:t>Date: February 24,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Tyler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3875405</wp:posOffset>
            </wp:positionH>
            <wp:positionV relativeFrom="paragraph">
              <wp:posOffset>26035</wp:posOffset>
            </wp:positionV>
            <wp:extent cx="324866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0">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39"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b w:val="1"/>
          <w:bCs w:val="1"/>
          <w:color w:val="auto"/>
        </w:rPr>
        <w:t>Tyler Page</w:t>
      </w:r>
    </w:p>
    <w:p>
      <w:pPr>
        <w:spacing w:after="0" w:line="50"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p>
    <w:p>
      <w:pPr>
        <w:jc w:val="right"/>
        <w:ind w:right="399"/>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0119"/>
          </w:cols>
          <w:pgMar w:left="340" w:top="1201" w:right="1440"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Gregory Mumford, certify that:</w:t>
      </w:r>
    </w:p>
    <w:p>
      <w:pPr>
        <w:spacing w:after="0" w:line="225" w:lineRule="exact"/>
        <w:rPr>
          <w:sz w:val="20"/>
          <w:szCs w:val="20"/>
          <w:color w:val="auto"/>
        </w:rPr>
      </w:pPr>
    </w:p>
    <w:p>
      <w:pPr>
        <w:ind w:left="1140" w:hanging="1132"/>
        <w:spacing w:after="0"/>
        <w:tabs>
          <w:tab w:leader="none" w:pos="11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Cipher Digital Inc.;</w:t>
      </w:r>
    </w:p>
    <w:p>
      <w:pPr>
        <w:spacing w:after="0" w:line="225" w:lineRule="exact"/>
        <w:rPr>
          <w:rFonts w:ascii="Times New Roman" w:cs="Times New Roman" w:eastAsia="Times New Roman" w:hAnsi="Times New Roman"/>
          <w:sz w:val="18"/>
          <w:szCs w:val="18"/>
          <w:color w:val="auto"/>
        </w:rPr>
      </w:pPr>
    </w:p>
    <w:p>
      <w:pPr>
        <w:ind w:left="1140" w:right="100" w:hanging="1132"/>
        <w:spacing w:after="0" w:line="266" w:lineRule="auto"/>
        <w:tabs>
          <w:tab w:leader="none" w:pos="11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140" w:right="380" w:hanging="1132"/>
        <w:spacing w:after="0" w:line="312" w:lineRule="auto"/>
        <w:tabs>
          <w:tab w:leader="none" w:pos="114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1140" w:right="260" w:hanging="1132"/>
        <w:spacing w:after="0" w:line="266" w:lineRule="auto"/>
        <w:tabs>
          <w:tab w:leader="none" w:pos="11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2280" w:right="20" w:hanging="1138"/>
        <w:spacing w:after="0" w:line="266" w:lineRule="auto"/>
        <w:tabs>
          <w:tab w:leader="none" w:pos="2277"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2280" w:right="440" w:hanging="1138"/>
        <w:spacing w:after="0" w:line="289" w:lineRule="auto"/>
        <w:tabs>
          <w:tab w:leader="none" w:pos="2274"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2280" w:right="320" w:hanging="1138"/>
        <w:spacing w:after="0" w:line="266" w:lineRule="auto"/>
        <w:tabs>
          <w:tab w:leader="none" w:pos="2277"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2280" w:right="40" w:hanging="1138"/>
        <w:spacing w:after="0" w:line="266" w:lineRule="auto"/>
        <w:tabs>
          <w:tab w:leader="none" w:pos="2274"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140" w:right="340" w:hanging="1132"/>
        <w:spacing w:after="0" w:line="266" w:lineRule="auto"/>
        <w:tabs>
          <w:tab w:leader="none" w:pos="11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2280" w:right="240" w:hanging="1138"/>
        <w:spacing w:after="0" w:line="266" w:lineRule="auto"/>
        <w:tabs>
          <w:tab w:leader="none" w:pos="2277"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2280" w:right="620" w:hanging="1138"/>
        <w:spacing w:after="0" w:line="282" w:lineRule="auto"/>
        <w:tabs>
          <w:tab w:leader="none" w:pos="2274"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143" w:right="339" w:bottom="1440" w:gutter="0" w:footer="0" w:header="0"/>
        </w:sectPr>
      </w:pPr>
    </w:p>
    <w:bookmarkStart w:id="169" w:name="page170"/>
    <w:bookmarkEnd w:id="169"/>
    <w:p>
      <w:pPr>
        <w:spacing w:after="0"/>
        <w:tabs>
          <w:tab w:leader="none" w:pos="5640" w:val="left"/>
          <w:tab w:leader="none" w:pos="7860" w:val="left"/>
        </w:tabs>
        <w:rPr>
          <w:sz w:val="20"/>
          <w:szCs w:val="20"/>
          <w:color w:val="auto"/>
        </w:rPr>
      </w:pPr>
      <w:r>
        <w:rPr>
          <w:rFonts w:ascii="Times New Roman" w:cs="Times New Roman" w:eastAsia="Times New Roman" w:hAnsi="Times New Roman"/>
          <w:sz w:val="18"/>
          <w:szCs w:val="18"/>
          <w:color w:val="auto"/>
        </w:rPr>
        <w:t>Date: February 24,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Gregory Mumford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3875405</wp:posOffset>
            </wp:positionH>
            <wp:positionV relativeFrom="paragraph">
              <wp:posOffset>26035</wp:posOffset>
            </wp:positionV>
            <wp:extent cx="324866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1">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3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Gregory Mumford</w:t>
      </w:r>
    </w:p>
    <w:p>
      <w:pPr>
        <w:spacing w:after="0" w:line="50"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p>
    <w:p>
      <w:pPr>
        <w:jc w:val="right"/>
        <w:ind w:right="399"/>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0119"/>
          </w:cols>
          <w:pgMar w:left="340" w:top="1201" w:right="1440"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1134"/>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Cipher Digital Inc. (the “Company”) for the year ended December 31, 2025 as filed with the Securities and Exchange Commission on the date hereof (the “Report”), I, Tyler Page, principal executive officer, certify, pursuant to 18 U.S.C. § 1350, as adopted pursuant to § 906 of the Sarbanes-Oxley Act of 2002, that to the best of my knowledge:</w:t>
      </w:r>
    </w:p>
    <w:p>
      <w:pPr>
        <w:spacing w:after="0" w:line="176" w:lineRule="exact"/>
        <w:rPr>
          <w:sz w:val="20"/>
          <w:szCs w:val="20"/>
          <w:color w:val="auto"/>
        </w:rPr>
      </w:pPr>
    </w:p>
    <w:p>
      <w:pPr>
        <w:ind w:left="2260" w:hanging="1118"/>
        <w:spacing w:after="0"/>
        <w:tabs>
          <w:tab w:leader="none" w:pos="22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280" w:right="560" w:hanging="1138"/>
        <w:spacing w:after="0" w:line="282" w:lineRule="auto"/>
        <w:tabs>
          <w:tab w:leader="none" w:pos="227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6" w:lineRule="exact"/>
        <w:rPr>
          <w:sz w:val="20"/>
          <w:szCs w:val="20"/>
          <w:color w:val="auto"/>
        </w:rPr>
      </w:pPr>
    </w:p>
    <w:p>
      <w:pPr>
        <w:ind w:left="20"/>
        <w:spacing w:after="0"/>
        <w:tabs>
          <w:tab w:leader="none" w:pos="5660" w:val="left"/>
          <w:tab w:leader="none" w:pos="8160" w:val="left"/>
        </w:tabs>
        <w:rPr>
          <w:sz w:val="20"/>
          <w:szCs w:val="20"/>
          <w:color w:val="auto"/>
        </w:rPr>
      </w:pPr>
      <w:r>
        <w:rPr>
          <w:rFonts w:ascii="Times New Roman" w:cs="Times New Roman" w:eastAsia="Times New Roman" w:hAnsi="Times New Roman"/>
          <w:sz w:val="18"/>
          <w:szCs w:val="18"/>
          <w:color w:val="auto"/>
        </w:rPr>
        <w:t>Date: February 24,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Tyler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26035</wp:posOffset>
            </wp:positionV>
            <wp:extent cx="324866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2">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39"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b w:val="1"/>
          <w:bCs w:val="1"/>
          <w:color w:val="auto"/>
        </w:rPr>
        <w:t>Tyler Page</w:t>
      </w:r>
    </w:p>
    <w:p>
      <w:pPr>
        <w:spacing w:after="0" w:line="50"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20" w:firstLine="1134"/>
        <w:spacing w:after="0" w:line="282" w:lineRule="auto"/>
        <w:rPr>
          <w:sz w:val="20"/>
          <w:szCs w:val="20"/>
          <w:color w:val="auto"/>
        </w:rPr>
      </w:pPr>
      <w:r>
        <w:rPr>
          <w:rFonts w:ascii="Times New Roman" w:cs="Times New Roman" w:eastAsia="Times New Roman" w:hAnsi="Times New Roman"/>
          <w:sz w:val="18"/>
          <w:szCs w:val="18"/>
          <w:color w:val="auto"/>
        </w:rPr>
        <w:t>This certification accompanies each Report pursuant to § 906 of the Sarbanes-Oxley Act of 2002 and shall not, except to the extent required by the Sarbanes-Oxley Act of 2002, be deemed filed by the Company for purposes of § 18 of the Securities Exchange Act of 1934, as amended.</w:t>
      </w:r>
    </w:p>
    <w:p>
      <w:pPr>
        <w:spacing w:after="0" w:line="162" w:lineRule="exact"/>
        <w:rPr>
          <w:sz w:val="20"/>
          <w:szCs w:val="20"/>
          <w:color w:val="auto"/>
        </w:rPr>
      </w:pPr>
    </w:p>
    <w:p>
      <w:pPr>
        <w:jc w:val="both"/>
        <w:ind w:right="160" w:firstLine="1134"/>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 906, or other document authenticating, acknowledging, or otherwise adopting the signature that appears in typed form within the electronic version of this written statement required by §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143" w:right="3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1134"/>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Cipher Digital Inc. (the “Company”) for the year ended December 31, 2025 as filed with the Securities and Exchange Commission on the date hereof (the “Report”), I, Gregory Mumford, principal financial officer, certify, pursuant to 18 U.S.C. § 1350, as adopted pursuant to § 906 of the Sarbanes-Oxley Act of 2002, that to the best of my knowledge:</w:t>
      </w:r>
    </w:p>
    <w:p>
      <w:pPr>
        <w:spacing w:after="0" w:line="176" w:lineRule="exact"/>
        <w:rPr>
          <w:sz w:val="20"/>
          <w:szCs w:val="20"/>
          <w:color w:val="auto"/>
        </w:rPr>
      </w:pPr>
    </w:p>
    <w:p>
      <w:pPr>
        <w:ind w:left="2260" w:hanging="1118"/>
        <w:spacing w:after="0"/>
        <w:tabs>
          <w:tab w:leader="none" w:pos="22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280" w:right="560" w:hanging="1138"/>
        <w:spacing w:after="0" w:line="282" w:lineRule="auto"/>
        <w:tabs>
          <w:tab w:leader="none" w:pos="227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6" w:lineRule="exact"/>
        <w:rPr>
          <w:sz w:val="20"/>
          <w:szCs w:val="20"/>
          <w:color w:val="auto"/>
        </w:rPr>
      </w:pPr>
    </w:p>
    <w:p>
      <w:pPr>
        <w:ind w:left="20"/>
        <w:spacing w:after="0"/>
        <w:tabs>
          <w:tab w:leader="none" w:pos="5660" w:val="left"/>
          <w:tab w:leader="none" w:pos="7880" w:val="left"/>
        </w:tabs>
        <w:rPr>
          <w:sz w:val="20"/>
          <w:szCs w:val="20"/>
          <w:color w:val="auto"/>
        </w:rPr>
      </w:pPr>
      <w:r>
        <w:rPr>
          <w:rFonts w:ascii="Times New Roman" w:cs="Times New Roman" w:eastAsia="Times New Roman" w:hAnsi="Times New Roman"/>
          <w:sz w:val="18"/>
          <w:szCs w:val="18"/>
          <w:color w:val="auto"/>
        </w:rPr>
        <w:t>Date: February 24,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Gregory Mumford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26035</wp:posOffset>
            </wp:positionV>
            <wp:extent cx="32486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3">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39"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b w:val="1"/>
          <w:bCs w:val="1"/>
          <w:color w:val="auto"/>
        </w:rPr>
        <w:t>Gregory Mumford</w:t>
      </w:r>
    </w:p>
    <w:p>
      <w:pPr>
        <w:spacing w:after="0" w:line="50"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20" w:firstLine="1134"/>
        <w:spacing w:after="0" w:line="282" w:lineRule="auto"/>
        <w:rPr>
          <w:sz w:val="20"/>
          <w:szCs w:val="20"/>
          <w:color w:val="auto"/>
        </w:rPr>
      </w:pPr>
      <w:r>
        <w:rPr>
          <w:rFonts w:ascii="Times New Roman" w:cs="Times New Roman" w:eastAsia="Times New Roman" w:hAnsi="Times New Roman"/>
          <w:sz w:val="18"/>
          <w:szCs w:val="18"/>
          <w:color w:val="auto"/>
        </w:rPr>
        <w:t>This certification accompanies each Report pursuant to § 906 of the Sarbanes-Oxley Act of 2002 and shall not, except to the extent required by the Sarbanes-Oxley Act of 2002, be deemed filed by the Company for purposes of § 18 of the Securities Exchange Act of 1934, as amended.</w:t>
      </w:r>
    </w:p>
    <w:p>
      <w:pPr>
        <w:spacing w:after="0" w:line="162" w:lineRule="exact"/>
        <w:rPr>
          <w:sz w:val="20"/>
          <w:szCs w:val="20"/>
          <w:color w:val="auto"/>
        </w:rPr>
      </w:pPr>
    </w:p>
    <w:p>
      <w:pPr>
        <w:jc w:val="both"/>
        <w:ind w:right="160" w:firstLine="1134"/>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 906, or other document authenticating, acknowledging, or otherwise adopting the signature that appears in typed form within the electronic version of this written statement required by § 906, has been provided to the Company and will be retained by the Company and furnished to the Securities and Exchange Commission or its staff upon request.</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2289EC"/>
    <w:multiLevelType w:val="hybridMultilevel"/>
    <w:lvl w:ilvl="0">
      <w:lvlJc w:val="left"/>
      <w:lvlText w:val="x"/>
      <w:numFmt w:val="bullet"/>
      <w:start w:val="1"/>
    </w:lvl>
  </w:abstractNum>
  <w:abstractNum w:abstractNumId="1">
    <w:nsid w:val="6DE91B18"/>
    <w:multiLevelType w:val="hybridMultilevel"/>
    <w:lvl w:ilvl="0">
      <w:lvlJc w:val="left"/>
      <w:lvlText w:val="o"/>
      <w:numFmt w:val="bullet"/>
      <w:start w:val="1"/>
    </w:lvl>
  </w:abstractNum>
  <w:abstractNum w:abstractNumId="2">
    <w:nsid w:val="38437FDB"/>
    <w:multiLevelType w:val="hybridMultilevel"/>
    <w:lvl w:ilvl="0">
      <w:lvlJc w:val="left"/>
      <w:lvlText w:val="•"/>
      <w:numFmt w:val="bullet"/>
      <w:start w:val="1"/>
    </w:lvl>
  </w:abstractNum>
  <w:abstractNum w:abstractNumId="3">
    <w:nsid w:val="7644A45C"/>
    <w:multiLevelType w:val="hybridMultilevel"/>
    <w:lvl w:ilvl="0">
      <w:lvlJc w:val="left"/>
      <w:lvlText w:val="•"/>
      <w:numFmt w:val="bullet"/>
      <w:start w:val="1"/>
    </w:lvl>
  </w:abstractNum>
  <w:abstractNum w:abstractNumId="4">
    <w:nsid w:val="32FFF902"/>
    <w:multiLevelType w:val="hybridMultilevel"/>
    <w:lvl w:ilvl="0">
      <w:lvlJc w:val="left"/>
      <w:lvlText w:val="•"/>
      <w:numFmt w:val="bullet"/>
      <w:start w:val="1"/>
    </w:lvl>
  </w:abstractNum>
  <w:abstractNum w:abstractNumId="5">
    <w:nsid w:val="684A481A"/>
    <w:multiLevelType w:val="hybridMultilevel"/>
    <w:lvl w:ilvl="0">
      <w:lvlJc w:val="left"/>
      <w:lvlText w:val="•"/>
      <w:numFmt w:val="bullet"/>
      <w:start w:val="1"/>
    </w:lvl>
  </w:abstractNum>
  <w:abstractNum w:abstractNumId="6">
    <w:nsid w:val="579478FE"/>
    <w:multiLevelType w:val="hybridMultilevel"/>
    <w:lvl w:ilvl="0">
      <w:lvlJc w:val="left"/>
      <w:lvlText w:val="•"/>
      <w:numFmt w:val="bullet"/>
      <w:start w:val="1"/>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
      <w:numFmt w:val="bullet"/>
      <w:start w:val="1"/>
    </w:lvl>
  </w:abstractNum>
  <w:abstractNum w:abstractNumId="9">
    <w:nsid w:val="1BA026FA"/>
    <w:multiLevelType w:val="hybridMultilevel"/>
    <w:lvl w:ilvl="0">
      <w:lvlJc w:val="left"/>
      <w:lvlText w:val="(%1)"/>
      <w:numFmt w:val="lowerRoman"/>
      <w:start w:val="4"/>
    </w:lvl>
  </w:abstractNum>
  <w:abstractNum w:abstractNumId="10">
    <w:nsid w:val="79A1DEAA"/>
    <w:multiLevelType w:val="hybridMultilevel"/>
    <w:lvl w:ilvl="0">
      <w:lvlJc w:val="left"/>
      <w:lvlText w:val="•"/>
      <w:numFmt w:val="bullet"/>
      <w:start w:val="1"/>
    </w:lvl>
  </w:abstractNum>
  <w:abstractNum w:abstractNumId="11">
    <w:nsid w:val="75C6C33A"/>
    <w:multiLevelType w:val="hybridMultilevel"/>
    <w:lvl w:ilvl="0">
      <w:lvlJc w:val="left"/>
      <w:lvlText w:val="•"/>
      <w:numFmt w:val="bullet"/>
      <w:start w:val="1"/>
    </w:lvl>
  </w:abstractNum>
  <w:abstractNum w:abstractNumId="12">
    <w:nsid w:val="12E685FB"/>
    <w:multiLevelType w:val="hybridMultilevel"/>
    <w:lvl w:ilvl="0">
      <w:lvlJc w:val="left"/>
      <w:lvlText w:val="•"/>
      <w:numFmt w:val="bullet"/>
      <w:start w:val="1"/>
    </w:lvl>
  </w:abstractNum>
  <w:abstractNum w:abstractNumId="13">
    <w:nsid w:val="70C6A529"/>
    <w:multiLevelType w:val="hybridMultilevel"/>
    <w:lvl w:ilvl="0">
      <w:lvlJc w:val="left"/>
      <w:lvlText w:val="•"/>
      <w:numFmt w:val="bullet"/>
      <w:start w:val="1"/>
    </w:lvl>
  </w:abstractNum>
  <w:abstractNum w:abstractNumId="14">
    <w:nsid w:val="520EEDD1"/>
    <w:multiLevelType w:val="hybridMultilevel"/>
    <w:lvl w:ilvl="0">
      <w:lvlJc w:val="left"/>
      <w:lvlText w:val="•"/>
      <w:numFmt w:val="bullet"/>
      <w:start w:val="1"/>
    </w:lvl>
  </w:abstractNum>
  <w:abstractNum w:abstractNumId="15">
    <w:nsid w:val="374A3FE6"/>
    <w:multiLevelType w:val="hybridMultilevel"/>
    <w:lvl w:ilvl="0">
      <w:lvlJc w:val="left"/>
      <w:lvlText w:val="•"/>
      <w:numFmt w:val="bullet"/>
      <w:start w:val="1"/>
    </w:lvl>
  </w:abstractNum>
  <w:abstractNum w:abstractNumId="16">
    <w:nsid w:val="4F4EF005"/>
    <w:multiLevelType w:val="hybridMultilevel"/>
    <w:lvl w:ilvl="0">
      <w:lvlJc w:val="left"/>
      <w:lvlText w:val="•"/>
      <w:numFmt w:val="bullet"/>
      <w:start w:val="1"/>
    </w:lvl>
  </w:abstractNum>
  <w:abstractNum w:abstractNumId="17">
    <w:nsid w:val="23F9C13C"/>
    <w:multiLevelType w:val="hybridMultilevel"/>
    <w:lvl w:ilvl="0">
      <w:lvlJc w:val="left"/>
      <w:lvlText w:val="•"/>
      <w:numFmt w:val="bullet"/>
      <w:start w:val="1"/>
    </w:lvl>
  </w:abstractNum>
  <w:abstractNum w:abstractNumId="18">
    <w:nsid w:val="649BB77C"/>
    <w:multiLevelType w:val="hybridMultilevel"/>
    <w:lvl w:ilvl="0">
      <w:lvlJc w:val="left"/>
      <w:lvlText w:val="•"/>
      <w:numFmt w:val="bullet"/>
      <w:start w:val="1"/>
    </w:lvl>
  </w:abstractNum>
  <w:abstractNum w:abstractNumId="19">
    <w:nsid w:val="275AC794"/>
    <w:multiLevelType w:val="hybridMultilevel"/>
    <w:lvl w:ilvl="0">
      <w:lvlJc w:val="left"/>
      <w:lvlText w:val="•"/>
      <w:numFmt w:val="bullet"/>
      <w:start w:val="1"/>
    </w:lvl>
  </w:abstractNum>
  <w:abstractNum w:abstractNumId="20">
    <w:nsid w:val="39386575"/>
    <w:multiLevelType w:val="hybridMultilevel"/>
    <w:lvl w:ilvl="0">
      <w:lvlJc w:val="left"/>
      <w:lvlText w:val="•"/>
      <w:numFmt w:val="bullet"/>
      <w:start w:val="1"/>
    </w:lvl>
  </w:abstractNum>
  <w:abstractNum w:abstractNumId="21">
    <w:nsid w:val="1CF10FD8"/>
    <w:multiLevelType w:val="hybridMultilevel"/>
    <w:lvl w:ilvl="0">
      <w:lvlJc w:val="left"/>
      <w:lvlText w:val="(%1)"/>
      <w:numFmt w:val="lowerLetter"/>
      <w:start w:val="1"/>
    </w:lvl>
  </w:abstractNum>
  <w:abstractNum w:abstractNumId="22">
    <w:nsid w:val="180115BE"/>
    <w:multiLevelType w:val="hybridMultilevel"/>
    <w:lvl w:ilvl="0">
      <w:lvlJc w:val="left"/>
      <w:lvlText w:val="&amp;"/>
      <w:numFmt w:val="bullet"/>
      <w:start w:val="1"/>
    </w:lvl>
  </w:abstractNum>
  <w:abstractNum w:abstractNumId="23">
    <w:nsid w:val="235BA861"/>
    <w:multiLevelType w:val="hybridMultilevel"/>
    <w:lvl w:ilvl="0">
      <w:lvlJc w:val="left"/>
      <w:lvlText w:val="†"/>
      <w:numFmt w:val="bullet"/>
      <w:start w:val="1"/>
    </w:lvl>
  </w:abstractNum>
  <w:abstractNum w:abstractNumId="24">
    <w:nsid w:val="47398C89"/>
    <w:multiLevelType w:val="hybridMultilevel"/>
    <w:lvl w:ilvl="0">
      <w:lvlJc w:val="left"/>
      <w:lvlText w:val="^"/>
      <w:numFmt w:val="bullet"/>
      <w:start w:val="1"/>
    </w:lvl>
  </w:abstractNum>
  <w:abstractNum w:abstractNumId="25">
    <w:nsid w:val="354FE9F9"/>
    <w:multiLevelType w:val="hybridMultilevel"/>
    <w:lvl w:ilvl="0">
      <w:lvlJc w:val="left"/>
      <w:lvlText w:val="•"/>
      <w:numFmt w:val="bullet"/>
      <w:start w:val="1"/>
    </w:lvl>
  </w:abstractNum>
  <w:abstractNum w:abstractNumId="26">
    <w:nsid w:val="15B5AF5C"/>
    <w:multiLevelType w:val="hybridMultilevel"/>
    <w:lvl w:ilvl="0">
      <w:lvlJc w:val="left"/>
      <w:lvlText w:val="•"/>
      <w:numFmt w:val="bullet"/>
      <w:start w:val="1"/>
    </w:lvl>
  </w:abstractNum>
  <w:abstractNum w:abstractNumId="27">
    <w:nsid w:val="741226BB"/>
    <w:multiLevelType w:val="hybridMultilevel"/>
    <w:lvl w:ilvl="0">
      <w:lvlJc w:val="left"/>
      <w:lvlText w:val="•"/>
      <w:numFmt w:val="bullet"/>
      <w:start w:val="1"/>
    </w:lvl>
  </w:abstractNum>
  <w:abstractNum w:abstractNumId="28">
    <w:nsid w:val="D34B6A8"/>
    <w:multiLevelType w:val="hybridMultilevel"/>
    <w:lvl w:ilvl="0">
      <w:lvlJc w:val="left"/>
      <w:lvlText w:val="•"/>
      <w:numFmt w:val="bullet"/>
      <w:start w:val="1"/>
    </w:lvl>
  </w:abstractNum>
  <w:abstractNum w:abstractNumId="29">
    <w:nsid w:val="10233C99"/>
    <w:multiLevelType w:val="hybridMultilevel"/>
    <w:lvl w:ilvl="0">
      <w:lvlJc w:val="left"/>
      <w:lvlText w:val="•"/>
      <w:numFmt w:val="bullet"/>
      <w:start w:val="1"/>
    </w:lvl>
  </w:abstractNum>
  <w:abstractNum w:abstractNumId="30">
    <w:nsid w:val="3F6AB60F"/>
    <w:multiLevelType w:val="hybridMultilevel"/>
    <w:lvl w:ilvl="0">
      <w:lvlJc w:val="left"/>
      <w:lvlText w:val="(%1)"/>
      <w:numFmt w:val="decimal"/>
      <w:start w:val="1"/>
    </w:lvl>
  </w:abstractNum>
  <w:abstractNum w:abstractNumId="31">
    <w:nsid w:val="61574095"/>
    <w:multiLevelType w:val="hybridMultilevel"/>
    <w:lvl w:ilvl="0">
      <w:lvlJc w:val="left"/>
      <w:lvlText w:val="(%1)"/>
      <w:numFmt w:val="decimal"/>
      <w:start w:val="1"/>
    </w:lvl>
  </w:abstractNum>
  <w:abstractNum w:abstractNumId="32">
    <w:nsid w:val="7E0C57B1"/>
    <w:multiLevelType w:val="hybridMultilevel"/>
    <w:lvl w:ilvl="0">
      <w:lvlJc w:val="left"/>
      <w:lvlText w:val="$"/>
      <w:numFmt w:val="bullet"/>
      <w:start w:val="1"/>
    </w:lvl>
  </w:abstractNum>
  <w:abstractNum w:abstractNumId="33">
    <w:nsid w:val="77AE35EB"/>
    <w:multiLevelType w:val="hybridMultilevel"/>
    <w:lvl w:ilvl="0">
      <w:lvlJc w:val="left"/>
      <w:lvlText w:val="(%1)"/>
      <w:numFmt w:val="decimal"/>
      <w:start w:val="2"/>
    </w:lvl>
  </w:abstractNum>
  <w:abstractNum w:abstractNumId="34">
    <w:nsid w:val="579BE4F1"/>
    <w:multiLevelType w:val="hybridMultilevel"/>
    <w:lvl w:ilvl="0">
      <w:lvlJc w:val="left"/>
      <w:lvlText w:val="%1."/>
      <w:numFmt w:val="decimal"/>
      <w:start w:val="1"/>
    </w:lvl>
  </w:abstractNum>
  <w:abstractNum w:abstractNumId="35">
    <w:nsid w:val="310C50B3"/>
    <w:multiLevelType w:val="hybridMultilevel"/>
    <w:lvl w:ilvl="0">
      <w:lvlJc w:val="left"/>
      <w:lvlText w:val="%1."/>
      <w:numFmt w:val="decimal"/>
      <w:start w:val="1"/>
    </w:lvl>
  </w:abstractNum>
  <w:abstractNum w:abstractNumId="36">
    <w:nsid w:val="5FF87E05"/>
    <w:multiLevelType w:val="hybridMultilevel"/>
    <w:lvl w:ilvl="0">
      <w:lvlJc w:val="left"/>
      <w:lvlText w:val="(%1)"/>
      <w:numFmt w:val="lowerLetter"/>
      <w:start w:val="1"/>
    </w:lvl>
    <w:lvl w:ilvl="1">
      <w:lvlJc w:val="left"/>
      <w:lvlText w:val="(%2)"/>
      <w:numFmt w:val="lowerRoman"/>
      <w:start w:val="1"/>
    </w:lvl>
  </w:abstractNum>
  <w:abstractNum w:abstractNumId="37">
    <w:nsid w:val="2F305DEF"/>
    <w:multiLevelType w:val="hybridMultilevel"/>
    <w:lvl w:ilvl="0">
      <w:lvlJc w:val="left"/>
      <w:lvlText w:val="%1"/>
      <w:numFmt w:val="lowerLetter"/>
      <w:start w:val="1"/>
    </w:lvl>
    <w:lvl w:ilvl="1">
      <w:lvlJc w:val="left"/>
      <w:lvlText w:val="(%2)"/>
      <w:numFmt w:val="lowerLetter"/>
      <w:start w:val="61"/>
    </w:lvl>
  </w:abstractNum>
  <w:abstractNum w:abstractNumId="38">
    <w:nsid w:val="25A70BF7"/>
    <w:multiLevelType w:val="hybridMultilevel"/>
    <w:lvl w:ilvl="0">
      <w:lvlJc w:val="left"/>
      <w:lvlText w:val="(%1)"/>
      <w:numFmt w:val="lowerLetter"/>
      <w:start w:val="2"/>
    </w:lvl>
    <w:lvl w:ilvl="1">
      <w:lvlJc w:val="left"/>
      <w:lvlText w:val="(%2)"/>
      <w:numFmt w:val="lowerLetter"/>
      <w:start w:val="9"/>
    </w:lvl>
  </w:abstractNum>
  <w:abstractNum w:abstractNumId="39">
    <w:nsid w:val="1DBABF00"/>
    <w:multiLevelType w:val="hybridMultilevel"/>
    <w:lvl w:ilvl="0">
      <w:lvlJc w:val="left"/>
      <w:lvlText w:val="%1"/>
      <w:numFmt w:val="lowerRoman"/>
      <w:start w:val="1"/>
    </w:lvl>
    <w:lvl w:ilvl="1">
      <w:lvlJc w:val="left"/>
      <w:lvlText w:val="(%2)"/>
      <w:numFmt w:val="lowerRoman"/>
      <w:start w:val="2"/>
    </w:lvl>
  </w:abstractNum>
  <w:abstractNum w:abstractNumId="40">
    <w:nsid w:val="4AD084E9"/>
    <w:multiLevelType w:val="hybridMultilevel"/>
    <w:lvl w:ilvl="0">
      <w:lvlJc w:val="left"/>
      <w:lvlText w:val="(%1)"/>
      <w:numFmt w:val="lowerRoman"/>
      <w:start w:val="3"/>
    </w:lvl>
    <w:lvl w:ilvl="1">
      <w:lvlJc w:val="left"/>
      <w:lvlText w:val="%2"/>
      <w:numFmt w:val="lowerRoman"/>
      <w:start w:val="1"/>
    </w:lvl>
  </w:abstractNum>
  <w:abstractNum w:abstractNumId="41">
    <w:nsid w:val="1F48EAA1"/>
    <w:multiLevelType w:val="hybridMultilevel"/>
    <w:lvl w:ilvl="0">
      <w:lvlJc w:val="left"/>
      <w:lvlText w:val="%1"/>
      <w:numFmt w:val="decimal"/>
      <w:start w:val="1"/>
    </w:lvl>
    <w:lvl w:ilvl="1">
      <w:lvlJc w:val="left"/>
      <w:lvlText w:val="(%2)"/>
      <w:numFmt w:val="lowerRoman"/>
      <w:start w:val="5"/>
    </w:lvl>
  </w:abstractNum>
  <w:abstractNum w:abstractNumId="42">
    <w:nsid w:val="1381823A"/>
    <w:multiLevelType w:val="hybridMultilevel"/>
    <w:lvl w:ilvl="0">
      <w:lvlJc w:val="left"/>
      <w:lvlText w:val="%1."/>
      <w:numFmt w:val="decimal"/>
      <w:start w:val="3"/>
    </w:lvl>
    <w:lvl w:ilvl="1">
      <w:lvlJc w:val="left"/>
      <w:lvlText w:val="%2"/>
      <w:numFmt w:val="lowerRoman"/>
      <w:start w:val="1"/>
    </w:lvl>
  </w:abstractNum>
  <w:abstractNum w:abstractNumId="43">
    <w:nsid w:val="5DB70AE5"/>
    <w:multiLevelType w:val="hybridMultilevel"/>
    <w:lvl w:ilvl="0">
      <w:lvlJc w:val="left"/>
      <w:lvlText w:val="(%1)"/>
      <w:numFmt w:val="lowerLetter"/>
      <w:start w:val="1"/>
    </w:lvl>
    <w:lvl w:ilvl="1">
      <w:lvlJc w:val="left"/>
      <w:lvlText w:val="(%2)"/>
      <w:numFmt w:val="lowerRoman"/>
      <w:start w:val="1"/>
    </w:lvl>
  </w:abstractNum>
  <w:abstractNum w:abstractNumId="44">
    <w:nsid w:val="100F8FCA"/>
    <w:multiLevelType w:val="hybridMultilevel"/>
    <w:lvl w:ilvl="0">
      <w:lvlJc w:val="left"/>
      <w:lvlText w:val="%1"/>
      <w:numFmt w:val="lowerLetter"/>
      <w:start w:val="1"/>
    </w:lvl>
    <w:lvl w:ilvl="1">
      <w:lvlJc w:val="left"/>
      <w:lvlText w:val="(%2)"/>
      <w:numFmt w:val="lowerLetter"/>
      <w:start w:val="22"/>
    </w:lvl>
  </w:abstractNum>
  <w:abstractNum w:abstractNumId="45">
    <w:nsid w:val="6590700B"/>
    <w:multiLevelType w:val="hybridMultilevel"/>
    <w:lvl w:ilvl="0">
      <w:lvlJc w:val="left"/>
      <w:lvlText w:val="(%1)"/>
      <w:numFmt w:val="lowerLetter"/>
      <w:start w:val="3"/>
    </w:lvl>
    <w:lvl w:ilvl="1">
      <w:lvlJc w:val="left"/>
      <w:lvlText w:val="(%2)"/>
      <w:numFmt w:val="lowerLetter"/>
      <w:start w:val="9"/>
    </w:lvl>
  </w:abstractNum>
  <w:abstractNum w:abstractNumId="46">
    <w:nsid w:val="15014ACB"/>
    <w:multiLevelType w:val="hybridMultilevel"/>
    <w:lvl w:ilvl="0">
      <w:lvlJc w:val="left"/>
      <w:lvlText w:val="(%1)"/>
      <w:numFmt w:val="lowerRoman"/>
      <w:start w:val="2"/>
    </w:lvl>
  </w:abstractNum>
  <w:abstractNum w:abstractNumId="47">
    <w:nsid w:val="5F5E7FD0"/>
    <w:multiLevelType w:val="hybridMultilevel"/>
    <w:lvl w:ilvl="0">
      <w:lvlJc w:val="left"/>
      <w:lvlText w:val="(%1)"/>
      <w:numFmt w:val="lowerRoman"/>
      <w:start w:val="3"/>
    </w:lvl>
  </w:abstractNum>
  <w:abstractNum w:abstractNumId="48">
    <w:nsid w:val="98A3148"/>
    <w:multiLevelType w:val="hybridMultilevel"/>
    <w:lvl w:ilvl="0">
      <w:lvlJc w:val="left"/>
      <w:lvlText w:val="(%1)"/>
      <w:numFmt w:val="decimal"/>
      <w:start w:val="3"/>
    </w:lvl>
    <w:lvl w:ilvl="1">
      <w:lvlJc w:val="left"/>
      <w:lvlText w:val="(%2)"/>
      <w:numFmt w:val="lowerLetter"/>
      <w:start w:val="4"/>
    </w:lvl>
  </w:abstractNum>
  <w:abstractNum w:abstractNumId="49">
    <w:nsid w:val="799D0247"/>
    <w:multiLevelType w:val="hybridMultilevel"/>
    <w:lvl w:ilvl="0">
      <w:lvlJc w:val="left"/>
      <w:lvlText w:val="%1."/>
      <w:numFmt w:val="decimal"/>
      <w:start w:val="4"/>
    </w:lvl>
  </w:abstractNum>
  <w:abstractNum w:abstractNumId="50">
    <w:nsid w:val="6B94764"/>
    <w:multiLevelType w:val="hybridMultilevel"/>
    <w:lvl w:ilvl="0">
      <w:lvlJc w:val="left"/>
      <w:lvlText w:val="(%1)"/>
      <w:numFmt w:val="lowerLetter"/>
      <w:start w:val="1"/>
    </w:lvl>
    <w:lvl w:ilvl="1">
      <w:lvlJc w:val="left"/>
      <w:lvlText w:val="(%2)"/>
      <w:numFmt w:val="lowerRoman"/>
      <w:start w:val="1"/>
    </w:lvl>
  </w:abstractNum>
  <w:abstractNum w:abstractNumId="51">
    <w:nsid w:val="42C296BD"/>
    <w:multiLevelType w:val="hybridMultilevel"/>
    <w:lvl w:ilvl="0">
      <w:lvlJc w:val="left"/>
      <w:lvlText w:val="(%1)"/>
      <w:numFmt w:val="lowerLetter"/>
      <w:start w:val="35"/>
    </w:lvl>
    <w:lvl w:ilvl="1">
      <w:lvlJc w:val="left"/>
      <w:lvlText w:val="(%2)"/>
      <w:numFmt w:val="lowerLetter"/>
      <w:start w:val="2"/>
    </w:lvl>
  </w:abstractNum>
  <w:abstractNum w:abstractNumId="52">
    <w:nsid w:val="168E121F"/>
    <w:multiLevelType w:val="hybridMultilevel"/>
    <w:lvl w:ilvl="0">
      <w:lvlJc w:val="left"/>
      <w:lvlText w:val="%1."/>
      <w:numFmt w:val="decimal"/>
      <w:start w:val="5"/>
    </w:lvl>
  </w:abstractNum>
  <w:abstractNum w:abstractNumId="53">
    <w:nsid w:val="1EBA5D23"/>
    <w:multiLevelType w:val="hybridMultilevel"/>
    <w:lvl w:ilvl="0">
      <w:lvlJc w:val="left"/>
      <w:lvlText w:val="%1"/>
      <w:numFmt w:val="lowerLetter"/>
      <w:start w:val="1"/>
    </w:lvl>
    <w:lvl w:ilvl="1">
      <w:lvlJc w:val="left"/>
      <w:lvlText w:val="(%2)"/>
      <w:numFmt w:val="lowerLetter"/>
      <w:start w:val="1"/>
    </w:lvl>
  </w:abstractNum>
  <w:abstractNum w:abstractNumId="54">
    <w:nsid w:val="661E3F1E"/>
    <w:multiLevelType w:val="hybridMultilevel"/>
    <w:lvl w:ilvl="0">
      <w:lvlJc w:val="left"/>
      <w:lvlText w:val="(%1)"/>
      <w:numFmt w:val="lowerLetter"/>
      <w:start w:val="35"/>
    </w:lvl>
    <w:lvl w:ilvl="1">
      <w:lvlJc w:val="left"/>
      <w:lvlText w:val="%2"/>
      <w:numFmt w:val="lowerLetter"/>
      <w:start w:val="1"/>
    </w:lvl>
  </w:abstractNum>
  <w:abstractNum w:abstractNumId="55">
    <w:nsid w:val="5DC79EA8"/>
    <w:multiLevelType w:val="hybridMultilevel"/>
    <w:lvl w:ilvl="0">
      <w:lvlJc w:val="left"/>
      <w:lvlText w:val="(%1)"/>
      <w:numFmt w:val="lowerLetter"/>
      <w:start w:val="2"/>
    </w:lvl>
  </w:abstractNum>
  <w:abstractNum w:abstractNumId="56">
    <w:nsid w:val="540A471C"/>
    <w:multiLevelType w:val="hybridMultilevel"/>
    <w:lvl w:ilvl="0">
      <w:lvlJc w:val="left"/>
      <w:lvlText w:val="%1."/>
      <w:numFmt w:val="decimal"/>
      <w:start w:val="7"/>
    </w:lvl>
  </w:abstractNum>
  <w:abstractNum w:abstractNumId="57">
    <w:nsid w:val="7BD3EE7B"/>
    <w:multiLevelType w:val="hybridMultilevel"/>
    <w:lvl w:ilvl="0">
      <w:lvlJc w:val="left"/>
      <w:lvlText w:val="(%1)"/>
      <w:numFmt w:val="lowerLetter"/>
      <w:start w:val="1"/>
    </w:lvl>
  </w:abstractNum>
  <w:abstractNum w:abstractNumId="58">
    <w:nsid w:val="51D9C564"/>
    <w:multiLevelType w:val="hybridMultilevel"/>
    <w:lvl w:ilvl="0">
      <w:lvlJc w:val="left"/>
      <w:lvlText w:val="(%1)"/>
      <w:numFmt w:val="lowerLetter"/>
      <w:start w:val="4"/>
    </w:lvl>
  </w:abstractNum>
  <w:abstractNum w:abstractNumId="59">
    <w:nsid w:val="613EFDC5"/>
    <w:multiLevelType w:val="hybridMultilevel"/>
    <w:lvl w:ilvl="0">
      <w:lvlJc w:val="left"/>
      <w:lvlText w:val="%1."/>
      <w:numFmt w:val="decimal"/>
      <w:start w:val="8"/>
    </w:lvl>
  </w:abstractNum>
  <w:abstractNum w:abstractNumId="60">
    <w:nsid w:val="BF72B14"/>
    <w:multiLevelType w:val="hybridMultilevel"/>
    <w:lvl w:ilvl="0">
      <w:lvlJc w:val="left"/>
      <w:lvlText w:val="(%1)"/>
      <w:numFmt w:val="lowerLetter"/>
      <w:start w:val="1"/>
    </w:lvl>
  </w:abstractNum>
  <w:abstractNum w:abstractNumId="61">
    <w:nsid w:val="11447B73"/>
    <w:multiLevelType w:val="hybridMultilevel"/>
    <w:lvl w:ilvl="0">
      <w:lvlJc w:val="left"/>
      <w:lvlText w:val="%1."/>
      <w:numFmt w:val="decimal"/>
      <w:start w:val="10"/>
    </w:lvl>
  </w:abstractNum>
  <w:abstractNum w:abstractNumId="62">
    <w:nsid w:val="42963E5A"/>
    <w:multiLevelType w:val="hybridMultilevel"/>
    <w:lvl w:ilvl="0">
      <w:lvlJc w:val="left"/>
      <w:lvlText w:val="(%1)"/>
      <w:numFmt w:val="lowerLetter"/>
      <w:start w:val="1"/>
    </w:lvl>
  </w:abstractNum>
  <w:abstractNum w:abstractNumId="63">
    <w:nsid w:val="A0382C5"/>
    <w:multiLevelType w:val="hybridMultilevel"/>
    <w:lvl w:ilvl="0">
      <w:lvlJc w:val="left"/>
      <w:lvlText w:val="(%1)"/>
      <w:numFmt w:val="lowerLetter"/>
      <w:start w:val="3"/>
    </w:lvl>
    <w:lvl w:ilvl="1">
      <w:lvlJc w:val="left"/>
      <w:lvlText w:val="(%2)"/>
      <w:numFmt w:val="lowerRoman"/>
      <w:start w:val="1"/>
    </w:lvl>
  </w:abstractNum>
  <w:abstractNum w:abstractNumId="64">
    <w:nsid w:val="8F2B15E"/>
    <w:multiLevelType w:val="hybridMultilevel"/>
    <w:lvl w:ilvl="0">
      <w:lvlJc w:val="left"/>
      <w:lvlText w:val="(%1)"/>
      <w:numFmt w:val="lowerLetter"/>
      <w:start w:val="6"/>
    </w:lvl>
  </w:abstractNum>
  <w:abstractNum w:abstractNumId="65">
    <w:nsid w:val="1A32234B"/>
    <w:multiLevelType w:val="hybridMultilevel"/>
    <w:lvl w:ilvl="0">
      <w:lvlJc w:val="left"/>
      <w:lvlText w:val="(%1)"/>
      <w:numFmt w:val="upperLetter"/>
      <w:start w:val="1"/>
    </w:lvl>
  </w:abstractNum>
  <w:abstractNum w:abstractNumId="66">
    <w:nsid w:val="3B0FD379"/>
    <w:multiLevelType w:val="hybridMultilevel"/>
    <w:lvl w:ilvl="0">
      <w:lvlJc w:val="left"/>
      <w:lvlText w:val="(%1)"/>
      <w:numFmt w:val="upperLetter"/>
      <w:start w:val="3"/>
    </w:lvl>
  </w:abstractNum>
  <w:abstractNum w:abstractNumId="67">
    <w:nsid w:val="68EB2F63"/>
    <w:multiLevelType w:val="hybridMultilevel"/>
    <w:lvl w:ilvl="0">
      <w:lvlJc w:val="left"/>
      <w:lvlText w:val="%1."/>
      <w:numFmt w:val="decimal"/>
      <w:start w:val="1"/>
    </w:lvl>
  </w:abstractNum>
  <w:abstractNum w:abstractNumId="68">
    <w:nsid w:val="4962813B"/>
    <w:multiLevelType w:val="hybridMultilevel"/>
    <w:lvl w:ilvl="0">
      <w:lvlJc w:val="left"/>
      <w:lvlText w:val="%1."/>
      <w:numFmt w:val="decimal"/>
      <w:start w:val="3"/>
    </w:lvl>
    <w:lvl w:ilvl="1">
      <w:lvlJc w:val="left"/>
      <w:lvlText w:val="%2."/>
      <w:numFmt w:val="lowerLetter"/>
      <w:start w:val="1"/>
    </w:lvl>
  </w:abstractNum>
  <w:abstractNum w:abstractNumId="69">
    <w:nsid w:val="60B6DF70"/>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4"/>
    </w:lvl>
  </w:abstractNum>
  <w:abstractNum w:abstractNumId="70">
    <w:nsid w:val="6A5EE64"/>
    <w:multiLevelType w:val="hybridMultilevel"/>
    <w:lvl w:ilvl="0">
      <w:lvlJc w:val="left"/>
      <w:lvlText w:val="%1"/>
      <w:numFmt w:val="lowerRoman"/>
      <w:start w:val="1"/>
    </w:lvl>
    <w:lvl w:ilvl="1">
      <w:lvlJc w:val="left"/>
      <w:lvlText w:val="%2."/>
      <w:numFmt w:val="decimal"/>
      <w:start w:val="5"/>
    </w:lvl>
    <w:lvl w:ilvl="2">
      <w:lvlJc w:val="left"/>
      <w:lvlText w:val="%3"/>
      <w:numFmt w:val="lowerLetter"/>
      <w:start w:val="1"/>
    </w:lvl>
  </w:abstractNum>
  <w:abstractNum w:abstractNumId="71">
    <w:nsid w:val="14330624"/>
    <w:multiLevelType w:val="hybridMultilevel"/>
    <w:lvl w:ilvl="0">
      <w:lvlJc w:val="left"/>
      <w:lvlText w:val="(%1)"/>
      <w:numFmt w:val="lowerRoman"/>
      <w:start w:val="3"/>
    </w:lvl>
    <w:lvl w:ilvl="1">
      <w:lvlJc w:val="left"/>
      <w:lvlText w:val="%2"/>
      <w:numFmt w:val="decimal"/>
      <w:start w:val="1"/>
    </w:lvl>
    <w:lvl w:ilvl="2">
      <w:lvlJc w:val="left"/>
      <w:lvlText w:val="%3"/>
      <w:numFmt w:val="lowerLetter"/>
      <w:start w:val="1"/>
    </w:lvl>
  </w:abstractNum>
  <w:abstractNum w:abstractNumId="72">
    <w:nsid w:val="7FFFCA11"/>
    <w:multiLevelType w:val="hybridMultilevel"/>
    <w:lvl w:ilvl="0">
      <w:lvlJc w:val="left"/>
      <w:lvlText w:val="%1"/>
      <w:numFmt w:val="decimal"/>
      <w:start w:val="1"/>
    </w:lvl>
    <w:lvl w:ilvl="1">
      <w:lvlJc w:val="left"/>
      <w:lvlText w:val="%2."/>
      <w:numFmt w:val="decimal"/>
      <w:start w:val="6"/>
    </w:lvl>
  </w:abstractNum>
  <w:abstractNum w:abstractNumId="73">
    <w:nsid w:val="1A27709E"/>
    <w:multiLevelType w:val="hybridMultilevel"/>
    <w:lvl w:ilvl="0">
      <w:lvlJc w:val="left"/>
      <w:lvlText w:val="%1."/>
      <w:numFmt w:val="decimal"/>
      <w:start w:val="7"/>
    </w:lvl>
    <w:lvl w:ilvl="1">
      <w:lvlJc w:val="left"/>
      <w:lvlText w:val="%2."/>
      <w:numFmt w:val="decimal"/>
      <w:start w:val="8"/>
    </w:lvl>
  </w:abstractNum>
  <w:abstractNum w:abstractNumId="74">
    <w:nsid w:val="71EA1109"/>
    <w:multiLevelType w:val="hybridMultilevel"/>
    <w:lvl w:ilvl="0">
      <w:lvlJc w:val="left"/>
      <w:lvlText w:val="%1."/>
      <w:numFmt w:val="decimal"/>
      <w:start w:val="10"/>
    </w:lvl>
    <w:lvl w:ilvl="1">
      <w:lvlJc w:val="left"/>
      <w:lvlText w:val="%2."/>
      <w:numFmt w:val="lowerLetter"/>
      <w:start w:val="1"/>
    </w:lvl>
  </w:abstractNum>
  <w:abstractNum w:abstractNumId="75">
    <w:nsid w:val="100F59DC"/>
    <w:multiLevelType w:val="hybridMultilevel"/>
    <w:lvl w:ilvl="0">
      <w:lvlJc w:val="left"/>
      <w:lvlText w:val="%1"/>
      <w:numFmt w:val="decimal"/>
      <w:start w:val="1"/>
    </w:lvl>
    <w:lvl w:ilvl="1">
      <w:lvlJc w:val="left"/>
      <w:lvlText w:val="%2."/>
      <w:numFmt w:val="lowerLetter"/>
      <w:start w:val="3"/>
    </w:lvl>
  </w:abstractNum>
  <w:abstractNum w:abstractNumId="76">
    <w:nsid w:val="7FB7E0AA"/>
    <w:multiLevelType w:val="hybridMultilevel"/>
    <w:lvl w:ilvl="0">
      <w:lvlJc w:val="left"/>
      <w:lvlText w:val="%1."/>
      <w:numFmt w:val="decimal"/>
      <w:start w:val="14"/>
    </w:lvl>
    <w:lvl w:ilvl="1">
      <w:lvlJc w:val="left"/>
      <w:lvlText w:val="%2"/>
      <w:numFmt w:val="lowerLetter"/>
      <w:start w:val="1"/>
    </w:lvl>
  </w:abstractNum>
  <w:abstractNum w:abstractNumId="77">
    <w:nsid w:val="6EB5BD4"/>
    <w:multiLevelType w:val="hybridMultilevel"/>
    <w:lvl w:ilvl="0">
      <w:lvlJc w:val="left"/>
      <w:lvlText w:val="%1."/>
      <w:numFmt w:val="decimal"/>
      <w:start w:val="16"/>
    </w:lvl>
  </w:abstractNum>
  <w:abstractNum w:abstractNumId="78">
    <w:nsid w:val="6F6DD9AC"/>
    <w:multiLevelType w:val="hybridMultilevel"/>
    <w:lvl w:ilvl="0">
      <w:lvlJc w:val="left"/>
      <w:lvlText w:val="%1."/>
      <w:numFmt w:val="decimal"/>
      <w:start w:val="1"/>
    </w:lvl>
  </w:abstractNum>
  <w:abstractNum w:abstractNumId="79">
    <w:nsid w:val="94211F2"/>
    <w:multiLevelType w:val="hybridMultilevel"/>
    <w:lvl w:ilvl="0">
      <w:lvlJc w:val="left"/>
      <w:lvlText w:val="%1."/>
      <w:numFmt w:val="decimal"/>
      <w:start w:val="3"/>
    </w:lvl>
    <w:lvl w:ilvl="1">
      <w:lvlJc w:val="left"/>
      <w:lvlText w:val="%2."/>
      <w:numFmt w:val="lowerLetter"/>
      <w:start w:val="1"/>
    </w:lvl>
  </w:abstractNum>
  <w:abstractNum w:abstractNumId="80">
    <w:nsid w:val="885E1B"/>
    <w:multiLevelType w:val="hybridMultilevel"/>
    <w:lvl w:ilvl="0">
      <w:lvlJc w:val="left"/>
      <w:lvlText w:val="(%1)"/>
      <w:numFmt w:val="lowerLetter"/>
      <w:start w:val="25"/>
    </w:lvl>
    <w:lvl w:ilvl="1">
      <w:lvlJc w:val="left"/>
      <w:lvlText w:val="%2."/>
      <w:numFmt w:val="decimal"/>
      <w:start w:val="4"/>
    </w:lvl>
  </w:abstractNum>
  <w:abstractNum w:abstractNumId="81">
    <w:nsid w:val="76272110"/>
    <w:multiLevelType w:val="hybridMultilevel"/>
    <w:lvl w:ilvl="0">
      <w:lvlJc w:val="left"/>
      <w:lvlText w:val="•"/>
      <w:numFmt w:val="bullet"/>
      <w:start w:val="1"/>
    </w:lvl>
  </w:abstractNum>
  <w:abstractNum w:abstractNumId="82">
    <w:nsid w:val="4C04A8AF"/>
    <w:multiLevelType w:val="hybridMultilevel"/>
    <w:lvl w:ilvl="0">
      <w:lvlJc w:val="left"/>
      <w:lvlText w:val="•"/>
      <w:numFmt w:val="bullet"/>
      <w:start w:val="1"/>
    </w:lvl>
  </w:abstractNum>
  <w:abstractNum w:abstractNumId="83">
    <w:nsid w:val="1716703B"/>
    <w:multiLevelType w:val="hybridMultilevel"/>
    <w:lvl w:ilvl="0">
      <w:lvlJc w:val="left"/>
      <w:lvlText w:val="•"/>
      <w:numFmt w:val="bullet"/>
      <w:start w:val="1"/>
    </w:lvl>
  </w:abstractNum>
  <w:abstractNum w:abstractNumId="84">
    <w:nsid w:val="14E17E33"/>
    <w:multiLevelType w:val="hybridMultilevel"/>
    <w:lvl w:ilvl="0">
      <w:lvlJc w:val="left"/>
      <w:lvlText w:val="•"/>
      <w:numFmt w:val="bullet"/>
      <w:start w:val="1"/>
    </w:lvl>
  </w:abstractNum>
  <w:abstractNum w:abstractNumId="85">
    <w:nsid w:val="3222E7CD"/>
    <w:multiLevelType w:val="hybridMultilevel"/>
    <w:lvl w:ilvl="0">
      <w:lvlJc w:val="left"/>
      <w:lvlText w:val="•"/>
      <w:numFmt w:val="bullet"/>
      <w:start w:val="1"/>
    </w:lvl>
  </w:abstractNum>
  <w:abstractNum w:abstractNumId="86">
    <w:nsid w:val="74DE0EE3"/>
    <w:multiLevelType w:val="hybridMultilevel"/>
    <w:lvl w:ilvl="0">
      <w:lvlJc w:val="left"/>
      <w:lvlText w:val="•"/>
      <w:numFmt w:val="bullet"/>
      <w:start w:val="1"/>
    </w:lvl>
  </w:abstractNum>
  <w:abstractNum w:abstractNumId="87">
    <w:nsid w:val="68EBC550"/>
    <w:multiLevelType w:val="hybridMultilevel"/>
    <w:lvl w:ilvl="0">
      <w:lvlJc w:val="left"/>
      <w:lvlText w:val="•"/>
      <w:numFmt w:val="bullet"/>
      <w:start w:val="1"/>
    </w:lvl>
  </w:abstractNum>
  <w:abstractNum w:abstractNumId="88">
    <w:nsid w:val="2DF6D648"/>
    <w:multiLevelType w:val="hybridMultilevel"/>
    <w:lvl w:ilvl="0">
      <w:lvlJc w:val="left"/>
      <w:lvlText w:val="%1."/>
      <w:numFmt w:val="decimal"/>
      <w:start w:val="1"/>
    </w:lvl>
    <w:lvl w:ilvl="1">
      <w:lvlJc w:val="left"/>
      <w:lvlText w:val="(%2)"/>
      <w:numFmt w:val="lowerLetter"/>
      <w:start w:val="1"/>
    </w:lvl>
  </w:abstractNum>
  <w:abstractNum w:abstractNumId="89">
    <w:nsid w:val="46B7D447"/>
    <w:multiLevelType w:val="hybridMultilevel"/>
    <w:lvl w:ilvl="0">
      <w:lvlJc w:val="left"/>
      <w:lvlText w:val="%1."/>
      <w:numFmt w:val="decimal"/>
      <w:start w:val="1"/>
    </w:lvl>
    <w:lvl w:ilvl="1">
      <w:lvlJc w:val="left"/>
      <w:lvlText w:val="(%2)"/>
      <w:numFmt w:val="lowerLetter"/>
      <w:start w:val="1"/>
    </w:lvl>
  </w:abstractNum>
  <w:abstractNum w:abstractNumId="90">
    <w:nsid w:val="4A2AC315"/>
    <w:multiLevelType w:val="hybridMultilevel"/>
    <w:lvl w:ilvl="0">
      <w:lvlJc w:val="left"/>
      <w:lvlText w:val="(%1)"/>
      <w:numFmt w:val="decimal"/>
      <w:start w:val="1"/>
    </w:lvl>
  </w:abstractNum>
  <w:abstractNum w:abstractNumId="91">
    <w:nsid w:val="39EE01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100" Type="http://schemas.openxmlformats.org/officeDocument/2006/relationships/image" Target="media/image80.png"/><Relationship Id="rId101" Type="http://schemas.openxmlformats.org/officeDocument/2006/relationships/image" Target="media/image81.png"/><Relationship Id="rId121" Type="http://schemas.openxmlformats.org/officeDocument/2006/relationships/image" Target="media/image82.png"/><Relationship Id="rId136" Type="http://schemas.openxmlformats.org/officeDocument/2006/relationships/image" Target="media/image83.png"/><Relationship Id="rId137" Type="http://schemas.openxmlformats.org/officeDocument/2006/relationships/image" Target="media/image84.png"/><Relationship Id="rId138" Type="http://schemas.openxmlformats.org/officeDocument/2006/relationships/image" Target="media/image85.png"/><Relationship Id="rId139" Type="http://schemas.openxmlformats.org/officeDocument/2006/relationships/image" Target="media/image86.png"/><Relationship Id="rId140" Type="http://schemas.openxmlformats.org/officeDocument/2006/relationships/image" Target="media/image87.png"/><Relationship Id="rId141" Type="http://schemas.openxmlformats.org/officeDocument/2006/relationships/image" Target="media/image88.png"/><Relationship Id="rId142" Type="http://schemas.openxmlformats.org/officeDocument/2006/relationships/image" Target="media/image89.png"/><Relationship Id="rId143" Type="http://schemas.openxmlformats.org/officeDocument/2006/relationships/image" Target="media/image90.png"/><Relationship Id="rId144" Type="http://schemas.openxmlformats.org/officeDocument/2006/relationships/image" Target="media/image91.png"/><Relationship Id="rId145" Type="http://schemas.openxmlformats.org/officeDocument/2006/relationships/image" Target="media/image92.png"/><Relationship Id="rId146" Type="http://schemas.openxmlformats.org/officeDocument/2006/relationships/image" Target="media/image93.png"/><Relationship Id="rId147" Type="http://schemas.openxmlformats.org/officeDocument/2006/relationships/image" Target="media/image94.png"/><Relationship Id="rId148" Type="http://schemas.openxmlformats.org/officeDocument/2006/relationships/image" Target="media/image95.png"/><Relationship Id="rId149" Type="http://schemas.openxmlformats.org/officeDocument/2006/relationships/image" Target="media/image96.png"/><Relationship Id="rId150" Type="http://schemas.openxmlformats.org/officeDocument/2006/relationships/image" Target="media/image97.png"/><Relationship Id="rId151" Type="http://schemas.openxmlformats.org/officeDocument/2006/relationships/image" Target="media/image98.png"/><Relationship Id="rId152" Type="http://schemas.openxmlformats.org/officeDocument/2006/relationships/image" Target="media/image99.png"/><Relationship Id="rId153" Type="http://schemas.openxmlformats.org/officeDocument/2006/relationships/image" Target="media/image100.png"/><Relationship Id="rId154" Type="http://schemas.openxmlformats.org/officeDocument/2006/relationships/image" Target="media/image101.png"/><Relationship Id="rId155" Type="http://schemas.openxmlformats.org/officeDocument/2006/relationships/image" Target="media/image102.png"/><Relationship Id="rId156" Type="http://schemas.openxmlformats.org/officeDocument/2006/relationships/image" Target="media/image103.png"/><Relationship Id="rId157" Type="http://schemas.openxmlformats.org/officeDocument/2006/relationships/image" Target="media/image104.png"/><Relationship Id="rId158" Type="http://schemas.openxmlformats.org/officeDocument/2006/relationships/image" Target="media/image105.png"/><Relationship Id="rId159" Type="http://schemas.openxmlformats.org/officeDocument/2006/relationships/image" Target="media/image106.png"/><Relationship Id="rId160" Type="http://schemas.openxmlformats.org/officeDocument/2006/relationships/image" Target="media/image107.png"/><Relationship Id="rId161" Type="http://schemas.openxmlformats.org/officeDocument/2006/relationships/image" Target="media/image108.png"/><Relationship Id="rId162" Type="http://schemas.openxmlformats.org/officeDocument/2006/relationships/image" Target="media/image109.png"/><Relationship Id="rId163" Type="http://schemas.openxmlformats.org/officeDocument/2006/relationships/image" Target="media/image110.png"/><Relationship Id="rId164" Type="http://schemas.openxmlformats.org/officeDocument/2006/relationships/image" Target="media/image111.png"/><Relationship Id="rId165" Type="http://schemas.openxmlformats.org/officeDocument/2006/relationships/image" Target="media/image112.png"/><Relationship Id="rId166" Type="http://schemas.openxmlformats.org/officeDocument/2006/relationships/image" Target="media/image113.png"/><Relationship Id="rId167" Type="http://schemas.openxmlformats.org/officeDocument/2006/relationships/image" Target="media/image114.png"/><Relationship Id="rId168" Type="http://schemas.openxmlformats.org/officeDocument/2006/relationships/image" Target="media/image115.png"/><Relationship Id="rId169" Type="http://schemas.openxmlformats.org/officeDocument/2006/relationships/image" Target="media/image116.png"/><Relationship Id="rId170" Type="http://schemas.openxmlformats.org/officeDocument/2006/relationships/image" Target="media/image117.png"/><Relationship Id="rId171" Type="http://schemas.openxmlformats.org/officeDocument/2006/relationships/image" Target="media/image118.png"/><Relationship Id="rId172" Type="http://schemas.openxmlformats.org/officeDocument/2006/relationships/image" Target="media/image119.png"/><Relationship Id="rId173" Type="http://schemas.openxmlformats.org/officeDocument/2006/relationships/image" Target="media/image120.png"/><Relationship Id="rId174" Type="http://schemas.openxmlformats.org/officeDocument/2006/relationships/image" Target="media/image121.png"/><Relationship Id="rId175" Type="http://schemas.openxmlformats.org/officeDocument/2006/relationships/image" Target="media/image122.png"/><Relationship Id="rId176" Type="http://schemas.openxmlformats.org/officeDocument/2006/relationships/image" Target="media/image123.png"/><Relationship Id="rId177" Type="http://schemas.openxmlformats.org/officeDocument/2006/relationships/image" Target="media/image124.png"/><Relationship Id="rId178" Type="http://schemas.openxmlformats.org/officeDocument/2006/relationships/image" Target="media/image125.png"/><Relationship Id="rId179" Type="http://schemas.openxmlformats.org/officeDocument/2006/relationships/image" Target="media/image126.png"/><Relationship Id="rId180" Type="http://schemas.openxmlformats.org/officeDocument/2006/relationships/image" Target="media/image127.png"/><Relationship Id="rId181" Type="http://schemas.openxmlformats.org/officeDocument/2006/relationships/image" Target="media/image128.png"/><Relationship Id="rId182" Type="http://schemas.openxmlformats.org/officeDocument/2006/relationships/image" Target="media/image129.png"/><Relationship Id="rId183" Type="http://schemas.openxmlformats.org/officeDocument/2006/relationships/image" Target="media/image130.png"/><Relationship Id="rId184" Type="http://schemas.openxmlformats.org/officeDocument/2006/relationships/image" Target="media/image131.png"/><Relationship Id="rId185" Type="http://schemas.openxmlformats.org/officeDocument/2006/relationships/image" Target="media/image132.png"/><Relationship Id="rId186" Type="http://schemas.openxmlformats.org/officeDocument/2006/relationships/image" Target="media/image133.png"/><Relationship Id="rId187" Type="http://schemas.openxmlformats.org/officeDocument/2006/relationships/image" Target="media/image134.png"/><Relationship Id="rId188" Type="http://schemas.openxmlformats.org/officeDocument/2006/relationships/image" Target="media/image135.png"/><Relationship Id="rId189" Type="http://schemas.openxmlformats.org/officeDocument/2006/relationships/image" Target="media/image136.png"/><Relationship Id="rId190" Type="http://schemas.openxmlformats.org/officeDocument/2006/relationships/image" Target="media/image137.png"/><Relationship Id="rId191" Type="http://schemas.openxmlformats.org/officeDocument/2006/relationships/image" Target="media/image138.png"/><Relationship Id="rId192" Type="http://schemas.openxmlformats.org/officeDocument/2006/relationships/image" Target="media/image139.png"/><Relationship Id="rId193" Type="http://schemas.openxmlformats.org/officeDocument/2006/relationships/image" Target="media/image140.png"/><Relationship Id="rId194" Type="http://schemas.openxmlformats.org/officeDocument/2006/relationships/image" Target="media/image141.png"/><Relationship Id="rId195" Type="http://schemas.openxmlformats.org/officeDocument/2006/relationships/image" Target="media/image142.png"/><Relationship Id="rId196" Type="http://schemas.openxmlformats.org/officeDocument/2006/relationships/image" Target="media/image143.png"/><Relationship Id="rId197" Type="http://schemas.openxmlformats.org/officeDocument/2006/relationships/image" Target="media/image144.png"/><Relationship Id="rId198" Type="http://schemas.openxmlformats.org/officeDocument/2006/relationships/image" Target="media/image145.png"/><Relationship Id="rId199" Type="http://schemas.openxmlformats.org/officeDocument/2006/relationships/image" Target="media/image146.png"/><Relationship Id="rId200" Type="http://schemas.openxmlformats.org/officeDocument/2006/relationships/image" Target="media/image147.png"/><Relationship Id="rId201" Type="http://schemas.openxmlformats.org/officeDocument/2006/relationships/image" Target="media/image148.png"/><Relationship Id="rId202" Type="http://schemas.openxmlformats.org/officeDocument/2006/relationships/image" Target="media/image149.png"/><Relationship Id="rId203" Type="http://schemas.openxmlformats.org/officeDocument/2006/relationships/image" Target="media/image150.png"/><Relationship Id="rId204" Type="http://schemas.openxmlformats.org/officeDocument/2006/relationships/image" Target="media/image151.png"/><Relationship Id="rId205" Type="http://schemas.openxmlformats.org/officeDocument/2006/relationships/image" Target="media/image152.png"/><Relationship Id="rId206" Type="http://schemas.openxmlformats.org/officeDocument/2006/relationships/image" Target="media/image153.png"/><Relationship Id="rId207" Type="http://schemas.openxmlformats.org/officeDocument/2006/relationships/image" Target="media/image154.png"/><Relationship Id="rId208" Type="http://schemas.openxmlformats.org/officeDocument/2006/relationships/image" Target="media/image155.png"/><Relationship Id="rId209" Type="http://schemas.openxmlformats.org/officeDocument/2006/relationships/image" Target="media/image156.png"/><Relationship Id="rId210" Type="http://schemas.openxmlformats.org/officeDocument/2006/relationships/image" Target="media/image157.png"/><Relationship Id="rId211" Type="http://schemas.openxmlformats.org/officeDocument/2006/relationships/image" Target="media/image158.png"/><Relationship Id="rId212" Type="http://schemas.openxmlformats.org/officeDocument/2006/relationships/image" Target="media/image159.png"/><Relationship Id="rId213" Type="http://schemas.openxmlformats.org/officeDocument/2006/relationships/image" Target="media/image160.png"/><Relationship Id="rId214" Type="http://schemas.openxmlformats.org/officeDocument/2006/relationships/image" Target="media/image161.png"/><Relationship Id="rId215" Type="http://schemas.openxmlformats.org/officeDocument/2006/relationships/image" Target="media/image162.png"/><Relationship Id="rId216" Type="http://schemas.openxmlformats.org/officeDocument/2006/relationships/image" Target="media/image163.png"/><Relationship Id="rId217" Type="http://schemas.openxmlformats.org/officeDocument/2006/relationships/image" Target="media/image164.png"/><Relationship Id="rId218" Type="http://schemas.openxmlformats.org/officeDocument/2006/relationships/image" Target="media/image165.png"/><Relationship Id="rId219" Type="http://schemas.openxmlformats.org/officeDocument/2006/relationships/image" Target="media/image166.png"/><Relationship Id="rId220" Type="http://schemas.openxmlformats.org/officeDocument/2006/relationships/image" Target="media/image167.png"/><Relationship Id="rId221" Type="http://schemas.openxmlformats.org/officeDocument/2006/relationships/image" Target="media/image168.png"/><Relationship Id="rId222" Type="http://schemas.openxmlformats.org/officeDocument/2006/relationships/image" Target="media/image169.png"/><Relationship Id="rId223" Type="http://schemas.openxmlformats.org/officeDocument/2006/relationships/image" Target="media/image170.png"/><Relationship Id="rId224" Type="http://schemas.openxmlformats.org/officeDocument/2006/relationships/image" Target="media/image171.png"/><Relationship Id="rId225" Type="http://schemas.openxmlformats.org/officeDocument/2006/relationships/image" Target="media/image172.png"/><Relationship Id="rId226" Type="http://schemas.openxmlformats.org/officeDocument/2006/relationships/image" Target="media/image173.png"/><Relationship Id="rId227" Type="http://schemas.openxmlformats.org/officeDocument/2006/relationships/image" Target="media/image174.png"/><Relationship Id="rId228" Type="http://schemas.openxmlformats.org/officeDocument/2006/relationships/image" Target="media/image175.png"/><Relationship Id="rId229" Type="http://schemas.openxmlformats.org/officeDocument/2006/relationships/image" Target="media/image176.png"/><Relationship Id="rId230" Type="http://schemas.openxmlformats.org/officeDocument/2006/relationships/image" Target="media/image177.png"/><Relationship Id="rId231" Type="http://schemas.openxmlformats.org/officeDocument/2006/relationships/image" Target="media/image178.png"/><Relationship Id="rId232" Type="http://schemas.openxmlformats.org/officeDocument/2006/relationships/image" Target="media/image179.png"/><Relationship Id="rId233" Type="http://schemas.openxmlformats.org/officeDocument/2006/relationships/image" Target="media/image180.png"/><Relationship Id="rId234" Type="http://schemas.openxmlformats.org/officeDocument/2006/relationships/image" Target="media/image181.png"/><Relationship Id="rId235" Type="http://schemas.openxmlformats.org/officeDocument/2006/relationships/image" Target="media/image182.png"/><Relationship Id="rId236" Type="http://schemas.openxmlformats.org/officeDocument/2006/relationships/image" Target="media/image183.png"/><Relationship Id="rId237" Type="http://schemas.openxmlformats.org/officeDocument/2006/relationships/image" Target="media/image184.png"/><Relationship Id="rId238" Type="http://schemas.openxmlformats.org/officeDocument/2006/relationships/image" Target="media/image185.png"/><Relationship Id="rId239" Type="http://schemas.openxmlformats.org/officeDocument/2006/relationships/image" Target="media/image186.png"/><Relationship Id="rId240" Type="http://schemas.openxmlformats.org/officeDocument/2006/relationships/image" Target="media/image187.png"/><Relationship Id="rId241" Type="http://schemas.openxmlformats.org/officeDocument/2006/relationships/image" Target="media/image188.png"/><Relationship Id="rId242" Type="http://schemas.openxmlformats.org/officeDocument/2006/relationships/image" Target="media/image189.png"/><Relationship Id="rId243" Type="http://schemas.openxmlformats.org/officeDocument/2006/relationships/image" Target="media/image190.png"/><Relationship Id="rId244" Type="http://schemas.openxmlformats.org/officeDocument/2006/relationships/image" Target="media/image191.png"/><Relationship Id="rId245" Type="http://schemas.openxmlformats.org/officeDocument/2006/relationships/image" Target="media/image192.png"/><Relationship Id="rId246" Type="http://schemas.openxmlformats.org/officeDocument/2006/relationships/image" Target="media/image193.png"/><Relationship Id="rId247" Type="http://schemas.openxmlformats.org/officeDocument/2006/relationships/image" Target="media/image194.png"/><Relationship Id="rId248" Type="http://schemas.openxmlformats.org/officeDocument/2006/relationships/image" Target="media/image195.png"/><Relationship Id="rId249" Type="http://schemas.openxmlformats.org/officeDocument/2006/relationships/image" Target="media/image196.png"/><Relationship Id="rId250" Type="http://schemas.openxmlformats.org/officeDocument/2006/relationships/image" Target="media/image197.png"/><Relationship Id="rId251" Type="http://schemas.openxmlformats.org/officeDocument/2006/relationships/image" Target="media/image198.png"/><Relationship Id="rId252" Type="http://schemas.openxmlformats.org/officeDocument/2006/relationships/image" Target="media/image199.png"/><Relationship Id="rId253" Type="http://schemas.openxmlformats.org/officeDocument/2006/relationships/image" Target="media/image200.png"/><Relationship Id="rId87" Type="http://schemas.openxmlformats.org/officeDocument/2006/relationships/hyperlink" Target="https://www.sec.gov/Archives/edgar/data/0001819989/000121390021013594/ea136931ex2-1_goodworks.htm" TargetMode="External"/><Relationship Id="rId88" Type="http://schemas.openxmlformats.org/officeDocument/2006/relationships/hyperlink" Target="https://www.sec.gov/Archives/edgar/data/1819989/000181998926000007/exh31cipher-arcertificateo.htm" TargetMode="External"/><Relationship Id="rId89" Type="http://schemas.openxmlformats.org/officeDocument/2006/relationships/hyperlink" Target="https://www.sec.gov/Archives/edgar/data/1819989/000181998926000007/exh32cipher-arbylawsvf22026.htm" TargetMode="External"/><Relationship Id="rId90" Type="http://schemas.openxmlformats.org/officeDocument/2006/relationships/hyperlink" Target="https://www.sec.gov/Archives/edgar/data/1819989/000119312524212171/d886806dex44.htm" TargetMode="External"/><Relationship Id="rId91" Type="http://schemas.openxmlformats.org/officeDocument/2006/relationships/hyperlink" Target="https://www.sec.gov/Archives/edgar/data/1819989/000119312525125152/d86394dex41.htm" TargetMode="External"/><Relationship Id="rId92" Type="http://schemas.openxmlformats.org/officeDocument/2006/relationships/hyperlink" Target="https://www.sec.gov/Archives/edgar/data/1819989/000119312525125152/d86394dex42.htm" TargetMode="External"/><Relationship Id="rId93" Type="http://schemas.openxmlformats.org/officeDocument/2006/relationships/hyperlink" Target="https://www.sec.gov/Archives/edgar/data/1819989/000095010325012168/dp234624_ex0401.htm" TargetMode="External"/><Relationship Id="rId94" Type="http://schemas.openxmlformats.org/officeDocument/2006/relationships/hyperlink" Target="https://www.sec.gov/Archives/edgar/data/1819989/000095010325015073/dp237633_ex0401.htm" TargetMode="External"/><Relationship Id="rId95" Type="http://schemas.openxmlformats.org/officeDocument/2006/relationships/hyperlink" Target="https://www.sec.gov/Archives/edgar/data/1819989/000119312525225645/d52925dex41.htm" TargetMode="External"/><Relationship Id="rId96" Type="http://schemas.openxmlformats.org/officeDocument/2006/relationships/hyperlink" Target="https://www.sec.gov/Archives/edgar/data/1819989/000119312525225645/d52925dex42.htm" TargetMode="External"/><Relationship Id="rId97" Type="http://schemas.openxmlformats.org/officeDocument/2006/relationships/hyperlink" Target="https://www.sec.gov/Archives/edgar/data/1819989/000095010325014692/dp237330_0401.htm" TargetMode="External"/><Relationship Id="rId98" Type="http://schemas.openxmlformats.org/officeDocument/2006/relationships/hyperlink" Target="https://www.sec.gov/Archives/edgar/data/1819989/000095010325015181/dp237816_ex0401.htm" TargetMode="External"/><Relationship Id="rId99" Type="http://schemas.openxmlformats.org/officeDocument/2006/relationships/hyperlink" Target="https://www.sec.gov/Archives/edgar/data/1819989/000095010326001966/dp241421_ex0401.htm" TargetMode="External"/><Relationship Id="rId102" Type="http://schemas.openxmlformats.org/officeDocument/2006/relationships/hyperlink" Target="https://www.sec.gov/Archives/edgar/data/1819989/000119312521260900/d212090dex102.htm" TargetMode="External"/><Relationship Id="rId103" Type="http://schemas.openxmlformats.org/officeDocument/2006/relationships/hyperlink" Target="https://www.sec.gov/Archives/edgar/data/0001819989/000119312521190374/d127963dex1016.htm" TargetMode="External"/><Relationship Id="rId104" Type="http://schemas.openxmlformats.org/officeDocument/2006/relationships/hyperlink" Target="https://www.sec.gov/Archives/edgar/data/0001819989/000119312521190374/d127963dex1017.htm" TargetMode="External"/><Relationship Id="rId105" Type="http://schemas.openxmlformats.org/officeDocument/2006/relationships/hyperlink" Target="https://www.sec.gov/Archives/edgar/data/1819989/000119312521260900/d212090dex108.htm" TargetMode="External"/><Relationship Id="rId106" Type="http://schemas.openxmlformats.org/officeDocument/2006/relationships/hyperlink" Target="https://www.sec.gov/Archives/edgar/data/1819989/000119312521260900/d212090dex108a.htm" TargetMode="External"/><Relationship Id="rId107" Type="http://schemas.openxmlformats.org/officeDocument/2006/relationships/hyperlink" Target="https://www.sec.gov/Archives/edgar/data/1819989/000119312521260900/d212090dex108b.htm" TargetMode="External"/><Relationship Id="rId108" Type="http://schemas.openxmlformats.org/officeDocument/2006/relationships/hyperlink" Target="https://www.sec.gov/Archives/edgar/data/1819989/000119312521260900/d212090dex108c.htm" TargetMode="External"/><Relationship Id="rId109" Type="http://schemas.openxmlformats.org/officeDocument/2006/relationships/hyperlink" Target="https://www.sec.gov/Archives/edgar/data/1819989/000095010322015815/dp180334_ex1001.htm" TargetMode="External"/><Relationship Id="rId110" Type="http://schemas.openxmlformats.org/officeDocument/2006/relationships/hyperlink" Target="https://www.sec.gov/Archives/edgar/data/0001819989/000119312521211971/d127963dex1022.htm" TargetMode="External"/><Relationship Id="rId111" Type="http://schemas.openxmlformats.org/officeDocument/2006/relationships/hyperlink" Target="https://www.sec.gov/Archives/edgar/data/0001819989/000119312521211971/d127963dex1023.htm" TargetMode="External"/><Relationship Id="rId112" Type="http://schemas.openxmlformats.org/officeDocument/2006/relationships/hyperlink" Target="https://www.sec.gov/Archives/edgar/data/1819989/000095017022002861/cifr-ex10_35.htm" TargetMode="External"/><Relationship Id="rId113" Type="http://schemas.openxmlformats.org/officeDocument/2006/relationships/hyperlink" Target="https://www.sec.gov/Archives/edgar/data/1819989/000119312522236504/d395396dex101.htm" TargetMode="External"/><Relationship Id="rId114" Type="http://schemas.openxmlformats.org/officeDocument/2006/relationships/hyperlink" Target="https://www.sec.gov/Archives/edgar/data/1819989/000095017023045092/cifr-ex10_1.htm" TargetMode="External"/><Relationship Id="rId115" Type="http://schemas.openxmlformats.org/officeDocument/2006/relationships/hyperlink" Target="https://www.sec.gov/Archives/edgar/data/0001819989/000119312521211971/d127963dex1024.htm" TargetMode="External"/><Relationship Id="rId116" Type="http://schemas.openxmlformats.org/officeDocument/2006/relationships/hyperlink" Target="https://www.sec.gov/Archives/edgar/data/0001819989/000119312521211971/d127963dex1025.htm" TargetMode="External"/><Relationship Id="rId117" Type="http://schemas.openxmlformats.org/officeDocument/2006/relationships/hyperlink" Target="https://www.sec.gov/Archives/edgar/data/1819989/000095017023045092/cifr-ex10_2.htm" TargetMode="External"/><Relationship Id="rId118" Type="http://schemas.openxmlformats.org/officeDocument/2006/relationships/hyperlink" Target="https://www.sec.gov/Archives/edgar/data/0001819989/000119312521211971/d127963dex1026.htm" TargetMode="External"/><Relationship Id="rId119" Type="http://schemas.openxmlformats.org/officeDocument/2006/relationships/hyperlink" Target="https://www.sec.gov/Archives/edgar/data/0001819989/000119312521211971/d127963dex1027.htm" TargetMode="External"/><Relationship Id="rId120" Type="http://schemas.openxmlformats.org/officeDocument/2006/relationships/hyperlink" Target="https://www.sec.gov/Archives/edgar/data/1819989/000119312521161188/d127963dex1023.htm" TargetMode="External"/><Relationship Id="rId122" Type="http://schemas.openxmlformats.org/officeDocument/2006/relationships/hyperlink" Target="https://www.sec.gov/Archives/edgar/data/1819989/000119312521161188/d127963dex1024.htm" TargetMode="External"/><Relationship Id="rId123" Type="http://schemas.openxmlformats.org/officeDocument/2006/relationships/hyperlink" Target="https://www.sec.gov/Archives/edgar/data/1819989/000119312521161188/d127963dex1025.htm" TargetMode="External"/><Relationship Id="rId124" Type="http://schemas.openxmlformats.org/officeDocument/2006/relationships/hyperlink" Target="https://www.sec.gov/Archives/edgar/data/1819989/000119312521161188/d127963dex1026.htm" TargetMode="External"/><Relationship Id="rId125" Type="http://schemas.openxmlformats.org/officeDocument/2006/relationships/hyperlink" Target="https://www.sec.gov/Archives/edgar/data/1819989/000095017024095795/cifr-ex10_1.htm" TargetMode="External"/><Relationship Id="rId126" Type="http://schemas.openxmlformats.org/officeDocument/2006/relationships/hyperlink" Target="https://www.sec.gov/Archives/edgar/data/1819989/000119312524060775/d805186dex11.htm" TargetMode="External"/><Relationship Id="rId127" Type="http://schemas.openxmlformats.org/officeDocument/2006/relationships/hyperlink" Target="https://www.sec.gov/Archives/edgar/data/1819989/000119312524212171/d886806dex12.htm" TargetMode="External"/><Relationship Id="rId128" Type="http://schemas.openxmlformats.org/officeDocument/2006/relationships/hyperlink" Target="https://www.sec.gov/Archives/edgar/data/1819989/000095017024025442/cifr-ex10_36.htm" TargetMode="External"/><Relationship Id="rId129" Type="http://schemas.openxmlformats.org/officeDocument/2006/relationships/hyperlink" Target="https://www.sec.gov/Archives/edgar/data/1819989/000095017024095795/cifr-ex10_2.htm" TargetMode="External"/><Relationship Id="rId130" Type="http://schemas.openxmlformats.org/officeDocument/2006/relationships/hyperlink" Target="https://www.sec.gov/Archives/edgar/data/1819989/000095017024095795/cifr-ex10_3.htm" TargetMode="External"/><Relationship Id="rId131" Type="http://schemas.openxmlformats.org/officeDocument/2006/relationships/hyperlink" Target="https://www.sec.gov/Archives/edgar/data/0001819989/000119312525017265/d896808dex101.htm" TargetMode="External"/><Relationship Id="rId132" Type="http://schemas.openxmlformats.org/officeDocument/2006/relationships/hyperlink" Target="https://www.sec.gov/Archives/edgar/data/0001819989/000119312525017265/d896808dex102.htm" TargetMode="External"/><Relationship Id="rId133" Type="http://schemas.openxmlformats.org/officeDocument/2006/relationships/hyperlink" Target="https://www.sec.gov/Archives/edgar/data/1819989/000095010325012168/dp234624_ex1001.htm" TargetMode="External"/><Relationship Id="rId134" Type="http://schemas.openxmlformats.org/officeDocument/2006/relationships/hyperlink" Target="https://www.sec.gov/Archives/edgar/data/1819989/000119312525225645/d52925dex101.htm" TargetMode="External"/><Relationship Id="rId135" Type="http://schemas.openxmlformats.org/officeDocument/2006/relationships/hyperlink" Target="https://www.sec.gov/Archives/edgar/data/1819989/000095010325015073/dp237633_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2026-02-24T08:14:55Z</dcterms:created>
  <dcterms:modified xsi:type="dcterms:W3CDTF">2026-02-24T08:14:55Z</dcterms:modified>
</cp:coreProperties>
</file>