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868680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894715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Cipher Mining Inc.</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82"/>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1 Vanderbilt Avenue, Floor 54,</w:t>
            </w:r>
          </w:p>
        </w:tc>
        <w:tc>
          <w:tcPr>
            <w:tcW w:w="2960" w:type="dxa"/>
            <w:vAlign w:val="bottom"/>
          </w:tcPr>
          <w:p>
            <w:pPr>
              <w:spacing w:after="0"/>
              <w:rPr>
                <w:sz w:val="21"/>
                <w:szCs w:val="21"/>
                <w:color w:val="auto"/>
              </w:rPr>
            </w:pPr>
          </w:p>
        </w:tc>
      </w:tr>
      <w:tr>
        <w:trPr>
          <w:trHeight w:val="238"/>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0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8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tcPr>
          <w:p>
            <w:pPr>
              <w:spacing w:after="0"/>
              <w:rPr>
                <w:sz w:val="15"/>
                <w:szCs w:val="15"/>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17"/>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CIFR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33"/>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Warrants, each whole warrant exercisable for one share of</w:t>
            </w: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212"/>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at an exercise price of $11.50 per whole share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CIFRW</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x</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208"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29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August 6, 2025, the registrant had 393,282,654 shares of Common Stock, $0.001 par value per share, outstanding.</w:t>
      </w:r>
    </w:p>
    <w:p>
      <w:pPr>
        <w:sectPr>
          <w:pgSz w:w="11900" w:h="17037" w:orient="portrait"/>
          <w:cols w:equalWidth="0" w:num="1">
            <w:col w:w="11240"/>
          </w:cols>
          <w:pgMar w:left="320" w:top="1440" w:right="339" w:bottom="0" w:gutter="0" w:footer="0" w:header="0"/>
        </w:sectPr>
      </w:pPr>
    </w:p>
    <w:bookmarkStart w:id="1" w:name="page2"/>
    <w:bookmarkEnd w:id="1"/>
    <w:p>
      <w:pPr>
        <w:spacing w:after="0" w:line="43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796290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132080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157480</wp:posOffset>
            </wp:positionV>
            <wp:extent cx="7063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1520" w:type="dxa"/>
            <w:vAlign w:val="bottom"/>
            <w:gridSpan w:val="2"/>
            <w:vMerge w:val="continue"/>
          </w:tcPr>
          <w:p>
            <w:pPr>
              <w:spacing w:after="0"/>
              <w:rPr>
                <w:sz w:val="24"/>
                <w:szCs w:val="24"/>
                <w:color w:val="auto"/>
              </w:rPr>
            </w:pPr>
          </w:p>
        </w:tc>
        <w:tc>
          <w:tcPr>
            <w:tcW w:w="2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8"/>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7"/>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 of Changes in Stockholders' Equity (Deficit)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80" w:type="dxa"/>
            <w:vAlign w:val="bottom"/>
            <w:tcBorders>
              <w:top w:val="single" w:sz="8" w:color="0000FF"/>
            </w:tcBorders>
            <w:gridSpan w:val="4"/>
          </w:tcPr>
          <w:p>
            <w:pPr>
              <w:spacing w:after="0"/>
              <w:rPr>
                <w:sz w:val="21"/>
                <w:szCs w:val="21"/>
                <w:color w:val="auto"/>
              </w:rPr>
            </w:pPr>
          </w:p>
        </w:tc>
        <w:tc>
          <w:tcPr>
            <w:tcW w:w="2920" w:type="dxa"/>
            <w:vAlign w:val="bottom"/>
            <w:gridSpan w:val="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20" w:type="dxa"/>
            <w:vAlign w:val="bottom"/>
            <w:gridSpan w:val="2"/>
            <w:vMerge w:val="continue"/>
          </w:tcPr>
          <w:p>
            <w:pPr>
              <w:spacing w:after="0"/>
              <w:rPr>
                <w:sz w:val="24"/>
                <w:szCs w:val="24"/>
                <w:color w:val="auto"/>
              </w:rPr>
            </w:pP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8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1"/>
                <w:szCs w:val="21"/>
                <w:color w:val="auto"/>
              </w:rPr>
            </w:pPr>
          </w:p>
        </w:tc>
        <w:tc>
          <w:tcPr>
            <w:tcW w:w="6960" w:type="dxa"/>
            <w:vAlign w:val="bottom"/>
            <w:gridSpan w:val="13"/>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our bitcoin mining and high-performance compute (“HPC”) data center development, timing and likelihood of success, capacity, functionality and timing of operation of data centers, expectations regarding the operation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89" w:lineRule="exact"/>
        <w:rPr>
          <w:sz w:val="20"/>
          <w:szCs w:val="20"/>
          <w:color w:val="auto"/>
        </w:rPr>
      </w:pPr>
    </w:p>
    <w:p>
      <w:pPr>
        <w:ind w:left="1140" w:right="5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rapidly evolving industry and have an evolving business model and strategy, which includes our increasing focus on diversification into constructing and operating data centers for HPC companies, as well as bitcoin mining.</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grow our hashrate, we may be unable to compete, and our results of operations could suffer.</w:t>
      </w:r>
    </w:p>
    <w:p>
      <w:pPr>
        <w:spacing w:after="0" w:line="117" w:lineRule="exact"/>
        <w:rPr>
          <w:rFonts w:ascii="Times New Roman" w:cs="Times New Roman" w:eastAsia="Times New Roman" w:hAnsi="Times New Roman"/>
          <w:sz w:val="18"/>
          <w:szCs w:val="18"/>
          <w:color w:val="auto"/>
        </w:rPr>
      </w:pPr>
    </w:p>
    <w:p>
      <w:pPr>
        <w:ind w:left="1140" w:right="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spacing w:after="0" w:line="67"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several risks due to disruptions in the digital asset markets, including but not limited to, financing risk, risk of increased losses or impairments in our investments or other assets, risks of legal proceedings and government investigations, and risks from price declines or price volatility of digital assets.</w:t>
      </w:r>
    </w:p>
    <w:p>
      <w:pPr>
        <w:spacing w:after="0" w:line="67" w:lineRule="exact"/>
        <w:rPr>
          <w:rFonts w:ascii="Times New Roman" w:cs="Times New Roman" w:eastAsia="Times New Roman" w:hAnsi="Times New Roman"/>
          <w:sz w:val="18"/>
          <w:szCs w:val="18"/>
          <w:color w:val="auto"/>
        </w:rPr>
      </w:pPr>
    </w:p>
    <w:p>
      <w:pPr>
        <w:ind w:left="1140" w:right="14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140" w:right="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increase taxes on the purchase of electricity used to mine bitcoin, or even fully or partially ban mining operations.</w:t>
      </w:r>
    </w:p>
    <w:p>
      <w:pPr>
        <w:spacing w:after="0" w:line="67"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the Odessa Facility and changes in the regulatory environment, market conditions and natural disasters in Texas.</w:t>
      </w:r>
    </w:p>
    <w:p>
      <w:pPr>
        <w:spacing w:after="0" w:line="53" w:lineRule="exact"/>
        <w:rPr>
          <w:rFonts w:ascii="Times New Roman" w:cs="Times New Roman" w:eastAsia="Times New Roman" w:hAnsi="Times New Roman"/>
          <w:sz w:val="18"/>
          <w:szCs w:val="18"/>
          <w:color w:val="auto"/>
        </w:rPr>
      </w:pPr>
    </w:p>
    <w:p>
      <w:pPr>
        <w:jc w:val="both"/>
        <w:ind w:left="1140" w:right="12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electric grid operators, electric utility providers and manufacturers of certain critical and specialized equipment, and rely on components and raw materials that may be subject to price fluctuations or shortages, including application-specific integrated circuit (“ASIC”) chips that have been subject to periods of significant shortage and high innovation pace.</w:t>
      </w:r>
    </w:p>
    <w:p>
      <w:pPr>
        <w:spacing w:after="0" w:line="6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affected by price fluctuations in the wholesale and retail power markets.</w:t>
      </w:r>
    </w:p>
    <w:p>
      <w:pPr>
        <w:spacing w:after="0" w:line="117" w:lineRule="exact"/>
        <w:rPr>
          <w:rFonts w:ascii="Times New Roman" w:cs="Times New Roman" w:eastAsia="Times New Roman" w:hAnsi="Times New Roman"/>
          <w:sz w:val="18"/>
          <w:szCs w:val="18"/>
          <w:color w:val="auto"/>
        </w:rPr>
      </w:pPr>
    </w:p>
    <w:p>
      <w:pPr>
        <w:ind w:left="1140" w:right="16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6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 and other necessary hardware are subject to malfunction, technological obsolescence and physical degradation.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ind w:left="1140" w:right="20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providers fail to protect confidential information and/or experience cybersecurity incidents, such as cyber-attacks, data breaches, hacking attacks or malware, there may be disruptions to our operations, triggering significant liability for us, which could harm our operating results and financial condition, and damage our reputation or otherwise materially harm our business.</w:t>
      </w:r>
    </w:p>
    <w:p>
      <w:pPr>
        <w:spacing w:after="0" w:line="67" w:lineRule="exact"/>
        <w:rPr>
          <w:rFonts w:ascii="Times New Roman" w:cs="Times New Roman" w:eastAsia="Times New Roman" w:hAnsi="Times New Roman"/>
          <w:sz w:val="18"/>
          <w:szCs w:val="18"/>
          <w:color w:val="auto"/>
        </w:rPr>
      </w:pPr>
    </w:p>
    <w:p>
      <w:pPr>
        <w:ind w:left="1140" w:right="52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bitcoin has historically been subject to wide swings, and our operating results may be adversely affected by our hedging activity.</w:t>
      </w:r>
    </w:p>
    <w:p>
      <w:pPr>
        <w:spacing w:after="0" w:line="53"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potential that, in the event of a bankruptcy filing by a custodian, bitcoin held in custody could be determined to be property of a bankruptcy estate and we could be considered a general unsecured creditor thereof.</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or actions may restrict the use of bitcoin in a manner that adversely affects our business, prospects or operations.</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sources of revenue are dependent on bitcoin and the Bitcoin ecosystem, which can be highly volatile.</w:t>
      </w:r>
    </w:p>
    <w:p>
      <w:pPr>
        <w:spacing w:after="0" w:line="117" w:lineRule="exact"/>
        <w:rPr>
          <w:rFonts w:ascii="Times New Roman" w:cs="Times New Roman" w:eastAsia="Times New Roman" w:hAnsi="Times New Roman"/>
          <w:sz w:val="18"/>
          <w:szCs w:val="18"/>
          <w:color w:val="auto"/>
        </w:rPr>
      </w:pPr>
    </w:p>
    <w:p>
      <w:pPr>
        <w:ind w:left="1140" w:right="160" w:hanging="484"/>
        <w:spacing w:after="0" w:line="282"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machine learning and generative artificial intelligence could lead to unintended consequences and result in reputational harm and litigation.</w:t>
      </w:r>
    </w:p>
    <w:p>
      <w:pPr>
        <w:spacing w:after="0" w:line="53"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which, if not timely remediated, may adversely affect the accuracy and reliability of our future financial statements, and our reputation, business and the price of our common stock, as well as may lead to a loss of investor confidence in us.</w:t>
      </w:r>
    </w:p>
    <w:p>
      <w:pPr>
        <w:spacing w:after="0" w:line="67" w:lineRule="exact"/>
        <w:rPr>
          <w:rFonts w:ascii="Times New Roman" w:cs="Times New Roman" w:eastAsia="Times New Roman" w:hAnsi="Times New Roman"/>
          <w:sz w:val="18"/>
          <w:szCs w:val="18"/>
          <w:color w:val="auto"/>
        </w:rPr>
      </w:pPr>
    </w:p>
    <w:p>
      <w:pPr>
        <w:ind w:left="1140" w:right="120" w:hanging="484"/>
        <w:spacing w:after="0" w:line="266" w:lineRule="auto"/>
        <w:tabs>
          <w:tab w:leader="none" w:pos="1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fiscal year ended December 31, 2024 filed with the Securities and Exchange Commission (the “SEC”) on February 25, 2025 (the “2024 Form 10-K”), and our other reports filed with the SEC.</w:t>
      </w:r>
    </w:p>
    <w:p>
      <w:pPr>
        <w:spacing w:after="0" w:line="1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https://www.ciphermining.com (“Corporate Website”). The contents of, or information accessible through, our Corporate Website are not part of this Quarterly Report.</w:t>
      </w:r>
    </w:p>
    <w:p>
      <w:pPr>
        <w:spacing w:after="0" w:line="121" w:lineRule="exact"/>
        <w:rPr>
          <w:sz w:val="20"/>
          <w:szCs w:val="20"/>
          <w:color w:val="auto"/>
        </w:rPr>
      </w:pPr>
    </w:p>
    <w:p>
      <w:pPr>
        <w:jc w:val="both"/>
        <w:ind w:right="8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https://investors.ciphermining.com/investors (“Investors’ Website”) which is similarly not part of this Quarterly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 not constitute incorporation by reference of the information contained on or available through those websites, and you should not consider such information to be a part of this Quarterly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6" w:name="page7"/>
    <w:bookmarkEnd w:id="6"/>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92"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9"/>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92,651</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 for bitcoin collateral</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32,248</w:t>
            </w: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31,648</w:t>
            </w:r>
          </w:p>
        </w:tc>
      </w:tr>
      <w:tr>
        <w:trPr>
          <w:trHeight w:val="233"/>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168,205</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480,865</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 on equipment</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38,872</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53,908</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54,022</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3,958</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1,018,759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22,699</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69,824</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24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32,330</w:t>
            </w:r>
          </w:p>
        </w:tc>
      </w:tr>
      <w:tr>
        <w:trPr>
          <w:trHeight w:val="233"/>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131,778</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net</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20,282</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269,855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173,493</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12"/>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June 30,</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4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 and December 31, 2024</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500,000,000 shares authorized, 388,123,588 and 361,432,449 shares issued</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9"/>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 of June 30, 2025 and December 31, 2024, respectively, and 386,758,546 and 350,783,817 shares</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4"/>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June 30, 2025, and December 31, 2024, respectively</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1,014,686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863,015</w:t>
            </w: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(266,168)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(181,412)</w:t>
            </w:r>
          </w:p>
        </w:tc>
      </w:tr>
      <w:tr>
        <w:trPr>
          <w:trHeight w:val="18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at par, 1,365,042 and 10,648,632 shares at June 30, 2025 and December 31, 2024,</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37"/>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7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748,904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681,953</w:t>
            </w:r>
          </w:p>
        </w:tc>
      </w:tr>
      <w:tr>
        <w:trPr>
          <w:trHeight w:val="268"/>
        </w:trPr>
        <w:tc>
          <w:tcPr>
            <w:tcW w:w="7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1,018,759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855,446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292" w:right="39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92" w:right="399" w:bottom="1440" w:gutter="0" w:footer="0" w:header="0"/>
          <w:type w:val="continuous"/>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9019"/>
          </w:cols>
          <w:pgMar w:left="1440" w:top="1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9"/>
                <w:szCs w:val="19"/>
                <w:color w:val="auto"/>
              </w:rPr>
            </w:pPr>
          </w:p>
        </w:tc>
        <w:tc>
          <w:tcPr>
            <w:tcW w:w="296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4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84,945</w:t>
            </w:r>
          </w:p>
        </w:tc>
      </w:tr>
      <w:tr>
        <w:trPr>
          <w:trHeight w:val="21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(29,101)</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(14,442)</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(37,495)</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21,980</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29,339</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income of equity investees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19,378</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(losses) gains on sale of bitcoin</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37"/>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losses</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(52,979)</w:t>
            </w:r>
          </w:p>
        </w:tc>
        <w:tc>
          <w:tcPr>
            <w:tcW w:w="1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(54,330)</w:t>
            </w:r>
          </w:p>
        </w:tc>
      </w:tr>
      <w:tr>
        <w:trPr>
          <w:trHeight w:val="237"/>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 income</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(16,171)</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30,615</w:t>
            </w:r>
          </w:p>
        </w:tc>
      </w:tr>
      <w:tr>
        <w:trPr>
          <w:trHeight w:val="229"/>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5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37"/>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before taxes</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(14,763)</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30,701</w:t>
            </w:r>
          </w:p>
        </w:tc>
      </w:tr>
      <w:tr>
        <w:trPr>
          <w:trHeight w:val="233"/>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46"/>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r>
      <w:tr>
        <w:trPr>
          <w:trHeight w:val="236"/>
        </w:trPr>
        <w:tc>
          <w:tcPr>
            <w:tcW w:w="4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w:t>
            </w:r>
          </w:p>
        </w:tc>
      </w:tr>
      <w:tr>
        <w:trPr>
          <w:trHeight w:val="268"/>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income per share - basic and 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6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5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375,052,248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367,823,593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305,497,621</w:t>
            </w:r>
          </w:p>
        </w:tc>
      </w:tr>
      <w:tr>
        <w:trPr>
          <w:trHeight w:val="224"/>
        </w:trPr>
        <w:tc>
          <w:tcPr>
            <w:tcW w:w="4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375,052,248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367,823,593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316,652,300</w:t>
            </w:r>
          </w:p>
        </w:tc>
      </w:tr>
    </w:tbl>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56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371,313,598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954,812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(220,387)</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(455,899)</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734,795</w:t>
            </w:r>
          </w:p>
        </w:tc>
      </w:tr>
      <w:tr>
        <w:trPr>
          <w:trHeight w:val="202"/>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189"/>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4"/>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14,185,254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51,486</w:t>
            </w:r>
          </w:p>
        </w:tc>
      </w:tr>
      <w:tr>
        <w:trPr>
          <w:trHeight w:val="212"/>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2,624,736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(909,143)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w:t>
            </w:r>
          </w:p>
        </w:tc>
      </w:tr>
      <w:tr>
        <w:trPr>
          <w:trHeight w:val="233"/>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w:t>
            </w:r>
          </w:p>
        </w:tc>
      </w:tr>
      <w:tr>
        <w:trPr>
          <w:trHeight w:val="246"/>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(45,781)</w:t>
            </w:r>
          </w:p>
        </w:tc>
      </w:tr>
      <w:tr>
        <w:trPr>
          <w:trHeight w:val="237"/>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388,123,588</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1,014,686</w:t>
            </w:r>
          </w:p>
        </w:tc>
        <w:tc>
          <w:tcPr>
            <w:tcW w:w="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(266,168)</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(1,365,042)</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748,904</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6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10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560" w:type="dxa"/>
            <w:vAlign w:val="bottom"/>
          </w:tcPr>
          <w:p>
            <w:pPr>
              <w:spacing w:after="0"/>
              <w:rPr>
                <w:sz w:val="20"/>
                <w:szCs w:val="20"/>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312,649,102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697,494</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(96,877)</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(6,105,772)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600,924</w:t>
            </w:r>
          </w:p>
        </w:tc>
      </w:tr>
      <w:tr>
        <w:trPr>
          <w:trHeight w:val="216"/>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189"/>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20"/>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20,626,145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95,857</w:t>
            </w:r>
          </w:p>
        </w:tc>
      </w:tr>
      <w:tr>
        <w:trPr>
          <w:trHeight w:val="225"/>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 net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89"/>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of shares settled for tax withholding</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43"/>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2,282,625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(835,674)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(4,056)</w:t>
            </w:r>
          </w:p>
        </w:tc>
      </w:tr>
      <w:tr>
        <w:trPr>
          <w:trHeight w:val="233"/>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13,337</w:t>
            </w:r>
          </w:p>
        </w:tc>
      </w:tr>
      <w:tr>
        <w:trPr>
          <w:trHeight w:val="246"/>
        </w:trPr>
        <w:tc>
          <w:tcPr>
            <w:tcW w:w="2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335,557,872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802,610</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(112,168)</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(6,941,446)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690,771</w:t>
            </w:r>
          </w:p>
        </w:tc>
      </w:tr>
      <w:tr>
        <w:trPr>
          <w:trHeight w:val="20"/>
        </w:trPr>
        <w:tc>
          <w:tcPr>
            <w:tcW w:w="2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EQUITY (DEFICIT)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ectPr>
          <w:pgSz w:w="11900" w:h="16838" w:orient="portrait"/>
          <w:cols w:equalWidth="0" w:num="1">
            <w:col w:w="11240"/>
          </w:cols>
          <w:pgMar w:left="320" w:top="1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61" w:lineRule="exact"/>
        <w:rPr>
          <w:sz w:val="20"/>
          <w:szCs w:val="20"/>
          <w:color w:val="auto"/>
        </w:rPr>
      </w:pPr>
    </w:p>
    <w:p>
      <w:pPr>
        <w:ind w:left="60"/>
        <w:spacing w:after="0" w:line="280" w:lineRule="auto"/>
        <w:rPr>
          <w:sz w:val="20"/>
          <w:szCs w:val="20"/>
          <w:color w:val="auto"/>
        </w:rPr>
      </w:pPr>
      <w:r>
        <w:rPr>
          <w:rFonts w:ascii="Times New Roman" w:cs="Times New Roman" w:eastAsia="Times New Roman" w:hAnsi="Times New Roman"/>
          <w:sz w:val="16"/>
          <w:szCs w:val="16"/>
          <w:color w:val="auto"/>
        </w:rPr>
        <w:t>Issuance of common shares, net of offering costs - At-the-market offering</w:t>
      </w:r>
    </w:p>
    <w:p>
      <w:pPr>
        <w:spacing w:after="0" w:line="16" w:lineRule="exact"/>
        <w:rPr>
          <w:sz w:val="20"/>
          <w:szCs w:val="20"/>
          <w:color w:val="auto"/>
        </w:rPr>
      </w:pPr>
    </w:p>
    <w:p>
      <w:pPr>
        <w:ind w:left="60" w:right="360"/>
        <w:spacing w:after="0" w:line="280" w:lineRule="auto"/>
        <w:rPr>
          <w:sz w:val="20"/>
          <w:szCs w:val="20"/>
          <w:color w:val="auto"/>
        </w:rPr>
      </w:pPr>
      <w:r>
        <w:rPr>
          <w:rFonts w:ascii="Times New Roman" w:cs="Times New Roman" w:eastAsia="Times New Roman" w:hAnsi="Times New Roman"/>
          <w:sz w:val="16"/>
          <w:szCs w:val="16"/>
          <w:color w:val="auto"/>
        </w:rPr>
        <w:t>Treasury stock reissued for PIPE Investment</w:t>
      </w:r>
    </w:p>
    <w:p>
      <w:pPr>
        <w:spacing w:after="0" w:line="16" w:lineRule="exact"/>
        <w:rPr>
          <w:sz w:val="20"/>
          <w:szCs w:val="20"/>
          <w:color w:val="auto"/>
        </w:rPr>
      </w:pPr>
    </w:p>
    <w:p>
      <w:pPr>
        <w:ind w:left="60" w:right="20"/>
        <w:spacing w:after="0" w:line="260" w:lineRule="auto"/>
        <w:rPr>
          <w:sz w:val="20"/>
          <w:szCs w:val="20"/>
          <w:color w:val="auto"/>
        </w:rPr>
      </w:pPr>
      <w:r>
        <w:rPr>
          <w:rFonts w:ascii="Times New Roman" w:cs="Times New Roman" w:eastAsia="Times New Roman" w:hAnsi="Times New Roman"/>
          <w:sz w:val="16"/>
          <w:szCs w:val="16"/>
          <w:color w:val="auto"/>
        </w:rPr>
        <w:t>Delivery of common stock underlying restricted stock units, net of shares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8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2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r>
      <w:tr>
        <w:trPr>
          <w:trHeight w:val="446"/>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23,334,701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85,642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85,665</w:t>
            </w:r>
          </w:p>
        </w:tc>
      </w:tr>
      <w:tr>
        <w:trPr>
          <w:trHeight w:val="446"/>
        </w:trPr>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10,438,413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-715645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-269875</wp:posOffset>
            </wp:positionV>
            <wp:extent cx="713232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432" w:lineRule="exact"/>
        <w:rPr>
          <w:sz w:val="20"/>
          <w:szCs w:val="20"/>
          <w:color w:val="auto"/>
        </w:rPr>
      </w:pPr>
    </w:p>
    <w:p>
      <w:pPr>
        <w:sectPr>
          <w:pgSz w:w="11900" w:h="16838" w:orient="portrait"/>
          <w:cols w:equalWidth="0" w:num="2">
            <w:col w:w="2560" w:space="60"/>
            <w:col w:w="8620"/>
          </w:cols>
          <w:pgMar w:left="320" w:top="129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3,356,438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(1,154,823)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w:t>
            </w:r>
          </w:p>
        </w:tc>
      </w:tr>
      <w:tr>
        <w:trPr>
          <w:trHeight w:val="249"/>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20,358</w:t>
            </w:r>
          </w:p>
        </w:tc>
      </w:tr>
      <w:tr>
        <w:trPr>
          <w:trHeight w:val="236"/>
        </w:trPr>
        <w:tc>
          <w:tcPr>
            <w:tcW w:w="2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(84,756)</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(84,756)</w:t>
            </w:r>
          </w:p>
        </w:tc>
      </w:tr>
      <w:tr>
        <w:trPr>
          <w:trHeight w:val="26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388,123,588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1,014,686</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(266,168)</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(1,365,042)</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748,904</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tcBorders>
              <w:bottom w:val="single" w:sz="8" w:color="auto"/>
            </w:tcBorders>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0"/>
        </w:trPr>
        <w:tc>
          <w:tcPr>
            <w:tcW w:w="2680" w:type="dxa"/>
            <w:vAlign w:val="bottom"/>
          </w:tcPr>
          <w:p>
            <w:pPr>
              <w:spacing w:after="0"/>
              <w:rPr>
                <w:sz w:val="20"/>
                <w:szCs w:val="20"/>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0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Stockholders’ Equity</w:t>
            </w:r>
          </w:p>
        </w:tc>
      </w:tr>
      <w:tr>
        <w:trPr>
          <w:trHeight w:val="243"/>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296,276,536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627,822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(136,777)</w:t>
            </w:r>
          </w:p>
        </w:tc>
        <w:tc>
          <w:tcPr>
            <w:tcW w:w="8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(5,318,674)</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491,336</w:t>
            </w:r>
          </w:p>
        </w:tc>
      </w:tr>
      <w:tr>
        <w:trPr>
          <w:trHeight w:val="216"/>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0"/>
        </w:trPr>
        <w:tc>
          <w:tcPr>
            <w:tcW w:w="26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 At-the-market offering</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34,872,380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160,404</w:t>
            </w:r>
          </w:p>
        </w:tc>
      </w:tr>
      <w:tr>
        <w:trPr>
          <w:trHeight w:val="225"/>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Delivery of common stock underlying</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189"/>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stock units, net of shares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30"/>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settled for tax withholding settlement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4,408,956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(1,622,772)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w:t>
            </w:r>
          </w:p>
        </w:tc>
      </w:tr>
      <w:tr>
        <w:trPr>
          <w:trHeight w:val="233"/>
        </w:trPr>
        <w:tc>
          <w:tcPr>
            <w:tcW w:w="2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21,654</w:t>
            </w:r>
          </w:p>
        </w:tc>
      </w:tr>
      <w:tr>
        <w:trPr>
          <w:trHeight w:val="246"/>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w:t>
            </w:r>
          </w:p>
        </w:tc>
      </w:tr>
      <w:tr>
        <w:trPr>
          <w:trHeight w:val="243"/>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335,557,872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336</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802,610</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(112,168)</w:t>
            </w:r>
          </w:p>
        </w:tc>
        <w:tc>
          <w:tcPr>
            <w:tcW w:w="8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(6,941,446)</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690,771</w:t>
            </w:r>
          </w:p>
        </w:tc>
      </w:tr>
      <w:tr>
        <w:trPr>
          <w:trHeight w:val="20"/>
        </w:trPr>
        <w:tc>
          <w:tcPr>
            <w:tcW w:w="2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5"/>
        </w:trPr>
        <w:tc>
          <w:tcPr>
            <w:tcW w:w="78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78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(84,756)</w:t>
            </w:r>
          </w:p>
        </w:tc>
        <w:tc>
          <w:tcPr>
            <w:tcW w:w="16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24,609</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(used in) operating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87,166</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37,192</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21,654</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Equity in losses (gains) of equity investees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5,371</w:t>
            </w:r>
          </w:p>
        </w:tc>
      </w:tr>
      <w:tr>
        <w:trPr>
          <w:trHeight w:val="25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consideration received for services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(91,544)</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(85,281)</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(29,339)</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Unrealized loss (gains) on fair value of bitcoin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(19,378)</w:t>
            </w:r>
          </w:p>
        </w:tc>
      </w:tr>
      <w:tr>
        <w:trPr>
          <w:trHeight w:val="253"/>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Realized gains on sale of bitcoin</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33"/>
        </w:trPr>
        <w:tc>
          <w:tcPr>
            <w:tcW w:w="7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3"/>
        </w:trPr>
        <w:tc>
          <w:tcPr>
            <w:tcW w:w="78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Security deposits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r>
      <w:tr>
        <w:trPr>
          <w:trHeight w:val="253"/>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33"/>
        </w:trPr>
        <w:tc>
          <w:tcPr>
            <w:tcW w:w="7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53"/>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r>
      <w:tr>
        <w:trPr>
          <w:trHeight w:val="233"/>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33"/>
        </w:trPr>
        <w:tc>
          <w:tcPr>
            <w:tcW w:w="7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(103,455)</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(51,988)</w:t>
            </w:r>
          </w:p>
        </w:tc>
      </w:tr>
      <w:tr>
        <w:trPr>
          <w:trHeight w:val="25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7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121,352</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10,334</w:t>
            </w:r>
          </w:p>
        </w:tc>
      </w:tr>
      <w:tr>
        <w:trPr>
          <w:trHeight w:val="253"/>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Deposits on equipment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(162,378)</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(35,748)</w:t>
            </w:r>
          </w:p>
        </w:tc>
      </w:tr>
      <w:tr>
        <w:trPr>
          <w:trHeight w:val="233"/>
        </w:trPr>
        <w:tc>
          <w:tcPr>
            <w:tcW w:w="7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(15,766)</w:t>
            </w:r>
          </w:p>
        </w:tc>
      </w:tr>
      <w:tr>
        <w:trPr>
          <w:trHeight w:val="253"/>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37"/>
        </w:trPr>
        <w:tc>
          <w:tcPr>
            <w:tcW w:w="7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(20,435)</w:t>
            </w:r>
          </w:p>
        </w:tc>
      </w:tr>
      <w:tr>
        <w:trPr>
          <w:trHeight w:val="24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(62,313)</w:t>
            </w:r>
          </w:p>
        </w:tc>
      </w:tr>
      <w:tr>
        <w:trPr>
          <w:trHeight w:val="233"/>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treasury stock reissued for PIPE investment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86,798</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163,276</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Offering costs paid for the issuance of common stock</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33"/>
        </w:trPr>
        <w:tc>
          <w:tcPr>
            <w:tcW w:w="7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167,113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7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r>
      <w:tr>
        <w:trPr>
          <w:trHeight w:val="233"/>
        </w:trPr>
        <w:tc>
          <w:tcPr>
            <w:tcW w:w="7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Principal payments on loan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3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271,044</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150,753</w:t>
            </w:r>
          </w:p>
        </w:tc>
      </w:tr>
      <w:tr>
        <w:trPr>
          <w:trHeight w:val="24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57,119</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36,452</w:t>
            </w:r>
          </w:p>
        </w:tc>
      </w:tr>
      <w:tr>
        <w:trPr>
          <w:trHeight w:val="236"/>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c>
          <w:tcPr>
            <w:tcW w:w="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86,105</w:t>
            </w:r>
          </w:p>
        </w:tc>
      </w:tr>
      <w:tr>
        <w:trPr>
          <w:trHeight w:val="26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77,096</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16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80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8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31,720</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 loan payments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Bitcoin received as a loan</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Initial estimate of asset retirement obligation and related capitalized costs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Bitcoin purchase option</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Reclassification of deposits on equipment to property and equipment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13,799</w:t>
            </w:r>
          </w:p>
        </w:tc>
      </w:tr>
      <w:tr>
        <w:trPr>
          <w:trHeight w:val="25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tax accrual on machines placed in service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8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Settlement of related party payable related to master services and supply agreement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r>
      <w:tr>
        <w:trPr>
          <w:trHeight w:val="28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 obtained in exchange for finance lease liability</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Consolidated Balance Sheets to the sum of the same such amounts shown in the Consolidated Statements of Cash Flows.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40" w:type="dxa"/>
            <w:vAlign w:val="bottom"/>
            <w:tcBorders>
              <w:bottom w:val="single" w:sz="8" w:color="auto"/>
            </w:tcBorders>
          </w:tcPr>
          <w:p>
            <w:pPr>
              <w:spacing w:after="0"/>
              <w:rPr>
                <w:sz w:val="19"/>
                <w:szCs w:val="19"/>
                <w:color w:val="auto"/>
              </w:rPr>
            </w:pPr>
          </w:p>
        </w:tc>
      </w:tr>
      <w:tr>
        <w:trPr>
          <w:trHeight w:val="237"/>
        </w:trPr>
        <w:tc>
          <w:tcPr>
            <w:tcW w:w="79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122,557</w:t>
            </w:r>
          </w:p>
        </w:tc>
      </w:tr>
      <w:tr>
        <w:trPr>
          <w:trHeight w:val="236"/>
        </w:trPr>
        <w:tc>
          <w:tcPr>
            <w:tcW w:w="7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122,557</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Cipher Mining Inc. (“Cipher” or the “Company”) is focused on the development and operation of industrial-scale data centers for bitcoin mining and high-performance compute (“HPC”) hosting. The Company operates two wholly-owned bitcoin mining data centers, a 207 MW site located in Odessa, Texas that draws fixed priced power from a power purchase agreement with its electricity provider (the “Odessa Facility”), and a 300 MW data center in Wink, Texas that draws power from the power grid (the “Black Pearl Facility”) and has equity investments in three partially-owned joint venture bitcoin mining data centers. The Company’s portfolio as of June 30, 2025 also includes three wholly-owned sites which have not commenced operations, and options to acquire three additional wholly-owned sites.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of receipt. As of June 30, 2025, the Company had approximate balances of cash and cash equivalents of $62.7 million, working capital of $167.2 million, total stockholders’ equity of $748.9 million and an accumulated deficit of $266.2 million. The Company uses a combination of proceeds from sales of bitcoin earned by or received from its bitcoin mining data centers, short-term and long-term financing arrangements, and strategic sales of shares through “at-the-market” offerings to support its operating expenses and capital expenditures.</w:t>
      </w:r>
    </w:p>
    <w:p>
      <w:pPr>
        <w:spacing w:after="0" w:line="14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$103.5 million of cash was used for operating activities during the six months ended June 30, 2025.</w:t>
      </w:r>
    </w:p>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42424"/>
        </w:rPr>
        <w:t xml:space="preserve">During the six months ended June 30, 2025, the Company sold bitcoin for proceeds of approximately </w:t>
      </w:r>
      <w:r>
        <w:rPr>
          <w:rFonts w:ascii="Times New Roman" w:cs="Times New Roman" w:eastAsia="Times New Roman" w:hAnsi="Times New Roman"/>
          <w:sz w:val="18"/>
          <w:szCs w:val="18"/>
          <w:color w:val="000000"/>
        </w:rPr>
        <w:t>$121.4</w:t>
      </w:r>
      <w:r>
        <w:rPr>
          <w:rFonts w:ascii="Times New Roman" w:cs="Times New Roman" w:eastAsia="Times New Roman" w:hAnsi="Times New Roman"/>
          <w:sz w:val="18"/>
          <w:szCs w:val="18"/>
          <w:color w:val="242424"/>
        </w:rPr>
        <w:t xml:space="preserve"> million, paid approximately $162.4 million for deposits on equipment primarily related to new miner purchases, and paid approximately </w:t>
      </w:r>
      <w:r>
        <w:rPr>
          <w:rFonts w:ascii="Times New Roman" w:cs="Times New Roman" w:eastAsia="Times New Roman" w:hAnsi="Times New Roman"/>
          <w:sz w:val="18"/>
          <w:szCs w:val="18"/>
          <w:color w:val="000000"/>
        </w:rPr>
        <w:t>$55.9</w:t>
      </w:r>
      <w:r>
        <w:rPr>
          <w:rFonts w:ascii="Times New Roman" w:cs="Times New Roman" w:eastAsia="Times New Roman" w:hAnsi="Times New Roman"/>
          <w:sz w:val="18"/>
          <w:szCs w:val="18"/>
          <w:color w:val="242424"/>
        </w:rPr>
        <w:t xml:space="preserve"> million for property and equipment primarily related to the build-out of the Black Pearl Facility</w:t>
      </w:r>
      <w:r>
        <w:rPr>
          <w:rFonts w:ascii="Times New Roman" w:cs="Times New Roman" w:eastAsia="Times New Roman" w:hAnsi="Times New Roman"/>
          <w:sz w:val="18"/>
          <w:szCs w:val="18"/>
          <w:color w:val="EE2724"/>
        </w:rPr>
        <w:t>.</w:t>
      </w:r>
    </w:p>
    <w:p>
      <w:pPr>
        <w:spacing w:after="0" w:line="135"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7"/>
          <w:szCs w:val="17"/>
          <w:color w:val="auto"/>
        </w:rPr>
        <w:t xml:space="preserve">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and a term loan facility with Coinbase with a limit of $35.0 million and maximum period of one year (the “Term Loan Facility”). As described in more detail in </w:t>
      </w:r>
      <w:r>
        <w:rPr>
          <w:rFonts w:ascii="Times New Roman" w:cs="Times New Roman" w:eastAsia="Times New Roman" w:hAnsi="Times New Roman"/>
          <w:sz w:val="17"/>
          <w:szCs w:val="17"/>
          <w:i w:val="1"/>
          <w:iCs w:val="1"/>
          <w:color w:val="auto"/>
        </w:rPr>
        <w:t>Note 14. Debt</w:t>
      </w:r>
      <w:r>
        <w:rPr>
          <w:rFonts w:ascii="Times New Roman" w:cs="Times New Roman" w:eastAsia="Times New Roman" w:hAnsi="Times New Roman"/>
          <w:sz w:val="17"/>
          <w:szCs w:val="17"/>
          <w:color w:val="auto"/>
        </w:rPr>
        <w:t>, the borrowings are collateralized by bitcoin transferred to the Lending Service Provider’s platform.</w:t>
      </w:r>
    </w:p>
    <w:p>
      <w:pPr>
        <w:spacing w:after="0" w:line="12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On May 22, 2025, the Company issued $172.5 million principal amount of convertible notes due in 2030 with an interest rate of 1.75% (the “2030 Convertible Notes”). The 2030 Convertible Notes are senior, unsecured obligations with interest due semiannually on May 15 and November 15 each year beginning on November 15, 2025. Refer to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 xml:space="preserve"> for more details.</w:t>
      </w:r>
    </w:p>
    <w:p>
      <w:pPr>
        <w:spacing w:after="0" w:line="1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combined with projected cash and bitcoin inflows from its data centers, its ability to sell bitcoin received or earned, and its intent and ability to sell common stock through at-the-market offerings will be sufficient to enable the Company to meet its operating and capital requirements for at least 12 months from the date these condensed consolidated financial statements are issued.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FASB and pursuant to the accounting and disclosure rules and regulations of the Securities and Exchange Commission (“SEC”).</w:t>
      </w:r>
    </w:p>
    <w:p>
      <w:pPr>
        <w:spacing w:after="0" w:line="13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All intercompany transactions and balances have been eliminated.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Effective for the year ended December 31, 2024, the Company changed the presentation of its consolidated income statement to separately disclose Unrealized gains (losses) on fair value of bitcoin and Realized (losses) gains on sale of bitcoin. The Company believes this presentation provides increased transparency on the nature of the respective financial statement line items. As a result, the Company reported $21.2 million and $4.9 million as Unrealized losses on fair value of bitcoin and Realized gains on sale of bitcoin, respectively, for the three months ended June 30, 2024 and $19.4 million and $4.9 million as Unrealized gains on fair value of bitcoin and Realized gains on sale of bitcoin, respectively, for the six months ended June 30, 2024, which were previously reported aggregated in Gains on fair value of bitcoin.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level 3 asset, useful lives of property and equipment, the asset retirement obligation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detailed description of the Company’s significant accounting policies is included in the Company’s 2024 Form 10-K. You should read the unaudited condensed consolidated financial statements in conjunction with the Company’s audited consolidated financial statements and accompanying notes in the Company’s 2024 Form 10-K. There have been no material changes in the information disclosed in the notes to the Company’s audited consolidated financial statements included in the Company’s 2024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the same day that the control of the contracted service of providing hashrate transfers to the mining pool operator, which is the same day as contract inception. The noncash consideration received in the form of bitcoin is measured at 0:00:00 Coordinated Universal Time (“UTC”) using the Company’s principal market for bitcoin.</w:t>
      </w:r>
    </w:p>
    <w:p>
      <w:pPr>
        <w:spacing w:after="0" w:line="13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compensation due the Company. Given the terms of the contract, and the Company’s customary business practice, the contract effectively provides the Company with a contract that continuously renews throughout the day.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has one operating segment, Bitcoin Mining, which through operations produces bitcoin to generate revenue. The Chief Operating Decision Maker (“CODM”) for the Company consists of the chief executive officer (“CEO”), and chief financial officer (“CFO”). The CODM reviews the performance of its segment primarily based on operating income when deciding on allocating resources between reinvesting in Bitcoin Mining or exploring alternative deployment of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represents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8"/>
          <w:szCs w:val="18"/>
          <w:i w:val="1"/>
          <w:iCs w:val="1"/>
          <w:color w:val="auto"/>
        </w:rPr>
        <w:t>Note 4. Derivative Asset)</w:t>
      </w:r>
      <w:r>
        <w:rPr>
          <w:rFonts w:ascii="Times New Roman" w:cs="Times New Roman" w:eastAsia="Times New Roman" w:hAnsi="Times New Roman"/>
          <w:sz w:val="18"/>
          <w:szCs w:val="18"/>
          <w:color w:val="auto"/>
        </w:rPr>
        <w:t>. The collateral restrictions related to the Luminant Power Agreement will lapse upon termination of the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89"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Common Stock to settle convertible notes, as well as unvested restricted stock units (“RSUs”).</w:t>
      </w:r>
    </w:p>
    <w:p>
      <w:pPr>
        <w:spacing w:after="0" w:line="15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dilutive effect of RSUs was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9"/>
                <w:szCs w:val="19"/>
                <w:color w:val="auto"/>
              </w:rPr>
            </w:pPr>
          </w:p>
        </w:tc>
        <w:tc>
          <w:tcPr>
            <w:tcW w:w="322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386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8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(84,756)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24,609</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3"/>
        </w:trPr>
        <w:tc>
          <w:tcPr>
            <w:tcW w:w="38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375,052,248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367,823,593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305,497,621</w:t>
            </w:r>
          </w:p>
        </w:tc>
      </w:tr>
      <w:tr>
        <w:trPr>
          <w:trHeight w:val="25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6"/>
        </w:trPr>
        <w:tc>
          <w:tcPr>
            <w:tcW w:w="3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11,154,679</w:t>
            </w:r>
          </w:p>
        </w:tc>
      </w:tr>
      <w:tr>
        <w:trPr>
          <w:trHeight w:val="26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375,052,248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314,353,742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367,823,593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316,652,300</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5"/>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 per share - basic and 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-196850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-393700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-556895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-1182370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 equivalents that are excluded from the computation of diluted earnings (loss) per common share at June 30, 2025 and 2024, because including them would have been antidilutive.</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98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Borders>
              <w:bottom w:val="single" w:sz="8" w:color="auto"/>
            </w:tcBorders>
          </w:tcPr>
          <w:p>
            <w:pPr>
              <w:spacing w:after="0"/>
              <w:rPr>
                <w:sz w:val="19"/>
                <w:szCs w:val="19"/>
                <w:color w:val="auto"/>
              </w:rPr>
            </w:pPr>
          </w:p>
        </w:tc>
      </w:tr>
      <w:tr>
        <w:trPr>
          <w:trHeight w:val="237"/>
        </w:trPr>
        <w:tc>
          <w:tcPr>
            <w:tcW w:w="8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8,613,980</w:t>
            </w:r>
          </w:p>
        </w:tc>
      </w:tr>
      <w:tr>
        <w:trPr>
          <w:trHeight w:val="23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27,056,741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Conversion</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50,438,686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37"/>
        </w:trPr>
        <w:tc>
          <w:tcPr>
            <w:tcW w:w="810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86,109,407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8,613,980</w:t>
            </w:r>
          </w:p>
        </w:tc>
      </w:tr>
      <w:tr>
        <w:trPr>
          <w:trHeight w:val="27"/>
        </w:trPr>
        <w:tc>
          <w:tcPr>
            <w:tcW w:w="8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ASU 2023-09 seeks to improve transparency of income tax disclosures by requiring consistent categories and greater disaggregation of information in the rate reconciliation and income taxes paid disclosures. The Company adopted this standard on January 1, 2025 and it did not have a significant impact on its condensed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740" w:type="dxa"/>
            <w:vAlign w:val="bottom"/>
            <w:tcBorders>
              <w:bottom w:val="single" w:sz="8" w:color="auto"/>
            </w:tcBorders>
          </w:tcPr>
          <w:p>
            <w:pPr>
              <w:spacing w:after="0"/>
              <w:rPr>
                <w:sz w:val="19"/>
                <w:szCs w:val="19"/>
                <w:color w:val="auto"/>
              </w:rPr>
            </w:pPr>
          </w:p>
        </w:tc>
      </w:tr>
      <w:tr>
        <w:trPr>
          <w:trHeight w:val="236"/>
        </w:trPr>
        <w:tc>
          <w:tcPr>
            <w:tcW w:w="7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67,270</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85,281</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1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(121,352)</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sales of bitcoin, net</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gains on bitcoin</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w:t>
            </w:r>
          </w:p>
        </w:tc>
      </w:tr>
      <w:tr>
        <w:trPr>
          <w:trHeight w:val="27"/>
        </w:trPr>
        <w:tc>
          <w:tcPr>
            <w:tcW w:w="7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w:t>
            </w: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112,089</w:t>
            </w:r>
          </w:p>
        </w:tc>
        <w:tc>
          <w:tcPr>
            <w:tcW w:w="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138,079</w:t>
            </w:r>
          </w:p>
        </w:tc>
      </w:tr>
    </w:tbl>
    <w:p>
      <w:pPr>
        <w:spacing w:after="0" w:line="4" w:lineRule="exact"/>
        <w:rPr>
          <w:sz w:val="20"/>
          <w:szCs w:val="20"/>
          <w:color w:val="auto"/>
        </w:rPr>
      </w:pPr>
    </w:p>
    <w:p>
      <w:pPr>
        <w:ind w:left="260" w:hanging="207"/>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losses from sale of bitcoin were immaterial in all periods presented.</w:t>
      </w:r>
    </w:p>
    <w:p>
      <w:pPr>
        <w:spacing w:after="0" w:line="68" w:lineRule="exact"/>
        <w:rPr>
          <w:rFonts w:ascii="Times New Roman" w:cs="Times New Roman" w:eastAsia="Times New Roman" w:hAnsi="Times New Roman"/>
          <w:sz w:val="14"/>
          <w:szCs w:val="14"/>
          <w:color w:val="auto"/>
        </w:rPr>
      </w:pPr>
    </w:p>
    <w:p>
      <w:pPr>
        <w:ind w:left="260" w:hanging="207"/>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loss on bitcoin transferred to collateral, net is classified under other income (expense) on the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-104140</wp:posOffset>
            </wp:positionV>
            <wp:extent cx="709803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-241300</wp:posOffset>
            </wp:positionV>
            <wp:extent cx="25806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0640" cy="8890"/>
                    </a:xfrm>
                    <a:prstGeom prst="rect">
                      <a:avLst/>
                    </a:prstGeom>
                    <a:noFill/>
                  </pic:spPr>
                </pic:pic>
              </a:graphicData>
            </a:graphic>
          </wp:anchor>
        </w:drawing>
      </w:r>
    </w:p>
    <w:p>
      <w:pPr>
        <w:spacing w:after="0" w:line="2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held approximately 1,046 and 994 bitcoin at June 30, 2025, and December 31, 2024, respectively. The associated fair values and cost bases of bitcoin held were $112.1 million, and $102.2 million, respectively, at June 30, 2025, and $92.7 million, and $79.8 million, respectively at December 31, 2024. Fair value of bitcoin is estimated using the closing price at 23:59:59 UTC in the Company’s principal market, which is a Level 1 input (i.e., an observable input such as a quoted price in an active market for an identical asset). The Company accounts for bitcoin on a first-in-first-out (“FIFO”) basis.</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June 30, 2025, the Company had no bitcoin pledged as collateral related to the Coinbase Overnight Credit Facility. As of December 31, 2024, the Company had 345 bitcoin with a fair value of $32.2 million pledged as collateral related to the Coinbase Overnight Credit Facility. Restrictions on this bitcoin pledged as collateral lapse upon repayment of the outstanding balance drawn on this facility. The collateral pledged related to the Coinbase Overnight Credit Facility can be rehypothecated and therefore is derecognized from the Company’s ending bitcoin balance, and recorded in Receivable for bitcoin collateral on the Company’s consolidated balance sheet. Any difference in cost basis of the bitcoin transferred is recorded in Realized gains on sale of bitcoin on the Company’s consolidated statement of operations.</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the Company may pledge bitcoin as collateral related to bitcoin trading strategies. As of June 30, 2025, the Company had 8 bitcoin with a fair value of $0.9 million pledged relating to bitcoin trading strategies. Restrictions on this collateral will lapse in August 2025. As of December 31, 2024 the Company had no bitcoin pledged as part of trading strategies.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Luminant Power Agreement</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derivative asset in the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$1.4 million and $1.1 million for the three months ended June 30, 2025, and 2024, respectively, and $2.4 million and $2.3 million for the six months ended June 30, 2025, and 2024, respectively, and recorded this amount within Costs and operating (expenses) income on the condensed consolidated statement of operations, with the corresponding cost of the power sold recorded in Cost of revenue.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45"/>
        </w:trPr>
        <w:tc>
          <w:tcPr>
            <w:tcW w:w="7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342,111</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137,582</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49,021</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82,017</w:t>
            </w: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639,503</w:t>
            </w:r>
          </w:p>
        </w:tc>
      </w:tr>
      <w:tr>
        <w:trPr>
          <w:trHeight w:val="27"/>
        </w:trPr>
        <w:tc>
          <w:tcPr>
            <w:tcW w:w="7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(158,638)</w:t>
            </w:r>
          </w:p>
        </w:tc>
      </w:tr>
      <w:tr>
        <w:trPr>
          <w:trHeight w:val="236"/>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480,865</w:t>
            </w:r>
          </w:p>
        </w:tc>
      </w:tr>
      <w:tr>
        <w:trPr>
          <w:trHeight w:val="27"/>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approximately $11.9 million of construction-in-progress primarily related to the additional construction at the Black Pearl Facility. For the six months ended June 30, 2025, $126.3 million of Construction-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in-progress related to the build out of the Black Pearl Facility was reclassified primarily into Buildings of $53.2 million with a useful life of 20 years, and Infrastructure of $71.6 million with a useful live of 10-20 years.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June 2025, as part of placing the assets related to the Black Pearl Facility into service, the Company recorded an asset retirement obligation for the Black Pearl Facility to restore the land to its original condition at the end of the lease for $10.7 million, to be depreciated straight-line over the estimated remaining useful lives of the assets related to the facility.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Depreciation expense was approximately $43.9 million and $20.3 million respectively, for the three months ended June 30, 2025, and 2024, respectively, and included approximately $0.6 million and $0.6 million of accretion expense related to the Company’s asset retirement obligations, and $87.2 million and $37.2 million, respectively, for the six months ended June 30, 2025 and 2024, respectively, and included approximately $1.1 million and $0.9 million for the six months ended June 30, 2025 and 2024, of accretion expense related to the Company’s asset retirement obligations.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DEPOSITS ON EQUIPMENT</w:t>
      </w:r>
    </w:p>
    <w:p>
      <w:pPr>
        <w:spacing w:after="0" w:line="2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fourth quarter of 2023, the Company entered into an agreement with Bitmain to purchase 7.1 EH/s of miners to be delivered in the first half of 2025 (the “Future Sales and Purchase Agreement”), all of which have been delivered with no remaining amount to be paid. In addition to amending the agreement on June 5, 2024 (such amendment, the “Supplemental Agreement”) to upgrade the miners and accelerate the delivery from the first half of 2025 to the fourth quarter of 2024, the Future Sales and Purchase Agreement also has an option to purchase an additional 8.7 EH/s in 2024. The Company paid $12.2 million upon signing the agreement in the fourth quarter of 2023 as a deposit, which can be used towards purchases under this option. On July 10, 2024, the Company entered into an agreement to further amend the Future Sales and Purchase agreement (the “Amendment Agreement”). The Amendment Agreement upgraded the miners to be purchased under the option, and extended the option expiration from December 31, 2024 to June 30, 2025.</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May 16, 2025, the Amendment Agreement was subsequently amended to reduce the total amount due to Bitmain under the Future Sales and Purchase Agreement and Supplemental Agreement from $120.2 million to $108.2 million, accelerate payment due under these agreements from progress payments through November 2025 to one payment due within 14 days of the execution of the new amendment, and provide the Company with a call option to purchase 493 bitcoin for $60.1 million with an expiration of August 30, 2025 and a call option to purchase 493 bitcoin for $60.1 million with an expiration of November 30, 2025 contingent upon exercising the first option (the “Bitmain Bitcoin Options”). The Company has paid nonrefundable deposits for miners of $165.9 million for this order as of June 30, 2025. The Bitmain Bitcoin Options are accounted for as derivatives and are classified in Prepaid expenses and other current assets as the expiration is within one year, and are carried at fair value. The loss on fair value of the Bitmain Bitcoin Options for the three and six months ended June 30, 2025 was $3.8 million and is recorded in Other expense in the condensed consolidated statement of operations.</w:t>
      </w:r>
    </w:p>
    <w:p>
      <w:pPr>
        <w:spacing w:after="0" w:line="1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second quarter of 2024, the Company entered into an agreement with Canaan to purchase 1.25 EH/s of miners to be delivered in the fourth quarter of 2024, all of which have been delivered with no remaining amount to be paid. Additionally, the contract included an option to purchase up to 160 MW of miners which the Company can exercise on or before June 30, 2025. The Company paid a deposit of $5.3 million associated with the option. Subsequent to quarter end, on July 2, 2025, the Company reached an agreement with Canaan to exercise the option to obtain 25 MW of miners for $21.3 million, and the Company paid an additional $8.5 million in deposits related to this order.</w:t>
      </w:r>
    </w:p>
    <w:p>
      <w:pPr>
        <w:spacing w:after="0" w:line="1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made a nonrefundable deposit with American Electric Power Company, Inc. (“AEP”) for $5.3 million related to construction costs to energize a wholly-owned site in LaSalle, Texas (the “Reveille Facility”), as a Contributions in Aid of Construction (“CIAC”) payment.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EQUITY INVESTEES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accounts for its 49% equity ownership in each of Alborz LLC, Bear LLC and Chief Mountain LLC (the “Data Center LLCs”) using the equity method of accounting. The Company’s joint venture partner holds the remaining equity in each Data Center LLC entity.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year 2022, the Company contributed miners and mining equipment to the Data Center LLCs. The contributed miners had a fair value that was below the cost paid by the Company to obtain them. As such, the Company recognized a loss at the time of the contributions, resulting in basis differences of the miners between the Company and the Data Center LLCs, which recorded the contributions of equipment from the Company at historical cost. The Company accretes these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basis differences over the life of the miners and records the accretion amount for each reporting period within Equity in losses of equity investees on its statements of operations. As of June 30, 2025, the Company had remaining basis differences totaling approximately $7.1 million that have not yet been accreted.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Company’s investments in equity investees during the six months ended June 30, 2025, and 2024,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contributed mining equipment and other capital contributions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6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49,949</w:t>
            </w:r>
          </w:p>
        </w:tc>
        <w:tc>
          <w:tcPr>
            <w:tcW w:w="0" w:type="dxa"/>
            <w:vAlign w:val="bottom"/>
          </w:tcPr>
          <w:p>
            <w:pPr>
              <w:spacing w:after="0"/>
              <w:rPr>
                <w:sz w:val="1"/>
                <w:szCs w:val="1"/>
                <w:color w:val="auto"/>
              </w:rPr>
            </w:pPr>
          </w:p>
        </w:tc>
      </w:tr>
      <w:tr>
        <w:trPr>
          <w:trHeight w:val="21"/>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intangible assets consisted of the following (in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CFF"/>
            </w:tcBorders>
            <w:gridSpan w:val="2"/>
            <w:shd w:val="clear" w:color="auto" w:fill="CCECFF"/>
          </w:tcPr>
          <w:p>
            <w:pPr>
              <w:jc w:val="center"/>
              <w:ind w:left="81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C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10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Borders>
              <w:bottom w:val="single" w:sz="8" w:color="CCECFF"/>
            </w:tcBorders>
            <w:shd w:val="clear" w:color="auto" w:fill="CCECFF"/>
          </w:tcPr>
          <w:p>
            <w:pPr>
              <w:spacing w:after="0"/>
              <w:rPr>
                <w:sz w:val="24"/>
                <w:szCs w:val="24"/>
                <w:color w:val="auto"/>
              </w:rPr>
            </w:pPr>
          </w:p>
        </w:tc>
        <w:tc>
          <w:tcPr>
            <w:tcW w:w="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0" w:type="dxa"/>
            <w:vAlign w:val="bottom"/>
          </w:tcPr>
          <w:p>
            <w:pPr>
              <w:spacing w:after="0"/>
              <w:rPr>
                <w:sz w:val="1"/>
                <w:szCs w:val="1"/>
                <w:color w:val="auto"/>
              </w:rPr>
            </w:pPr>
          </w:p>
        </w:tc>
      </w:tr>
      <w:tr>
        <w:trPr>
          <w:trHeight w:val="20"/>
        </w:trPr>
        <w:tc>
          <w:tcPr>
            <w:tcW w:w="62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CCECFF"/>
              <w:bottom w:val="single" w:sz="8" w:color="auto"/>
            </w:tcBorders>
          </w:tcPr>
          <w:p>
            <w:pPr>
              <w:spacing w:after="0" w:line="20" w:lineRule="exact"/>
              <w:rPr>
                <w:sz w:val="1"/>
                <w:szCs w:val="1"/>
                <w:color w:val="auto"/>
              </w:rPr>
            </w:pPr>
          </w:p>
        </w:tc>
        <w:tc>
          <w:tcPr>
            <w:tcW w:w="1100" w:type="dxa"/>
            <w:vAlign w:val="bottom"/>
            <w:tcBorders>
              <w:top w:val="single" w:sz="8" w:color="CCECFF"/>
              <w:bottom w:val="single" w:sz="8" w:color="auto"/>
            </w:tcBorders>
          </w:tcPr>
          <w:p>
            <w:pPr>
              <w:spacing w:after="0" w:line="20" w:lineRule="exact"/>
              <w:rPr>
                <w:sz w:val="1"/>
                <w:szCs w:val="1"/>
                <w:color w:val="auto"/>
              </w:rPr>
            </w:pPr>
          </w:p>
        </w:tc>
        <w:tc>
          <w:tcPr>
            <w:tcW w:w="340" w:type="dxa"/>
            <w:vAlign w:val="bottom"/>
            <w:tcBorders>
              <w:top w:val="single" w:sz="8" w:color="CCEC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0" w:type="dxa"/>
            <w:vAlign w:val="bottom"/>
            <w:tcBorders>
              <w:top w:val="single" w:sz="8" w:color="CCECFF"/>
              <w:bottom w:val="single" w:sz="8" w:color="auto"/>
            </w:tcBorders>
            <w:gridSpan w:val="4"/>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bottom w:val="single" w:sz="8" w:color="auto"/>
            </w:tcBorders>
          </w:tcPr>
          <w:p>
            <w:pPr>
              <w:spacing w:after="0" w:line="20" w:lineRule="exact"/>
              <w:rPr>
                <w:sz w:val="1"/>
                <w:szCs w:val="1"/>
                <w:color w:val="auto"/>
              </w:rPr>
            </w:pPr>
          </w:p>
        </w:tc>
        <w:tc>
          <w:tcPr>
            <w:tcW w:w="1400" w:type="dxa"/>
            <w:vAlign w:val="bottom"/>
            <w:tcBorders>
              <w:top w:val="single" w:sz="8" w:color="CCEC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contract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40" w:type="dxa"/>
            <w:vAlign w:val="bottom"/>
          </w:tcPr>
          <w:p>
            <w:pPr>
              <w:spacing w:after="0"/>
              <w:rPr>
                <w:sz w:val="21"/>
                <w:szCs w:val="21"/>
                <w:color w:val="auto"/>
              </w:rPr>
            </w:pPr>
          </w:p>
        </w:tc>
        <w:tc>
          <w:tcPr>
            <w:tcW w:w="144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gridSpan w:val="2"/>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-33655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-33655</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-565150</wp:posOffset>
            </wp:positionV>
            <wp:extent cx="596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and $0.4 million for the three and six months ended June 30, 2025, respectively, and $0.2 million and $0.3 million for the three and six months ended June 30, 2024, respectively. The Company expects to record amortization expense as follows over the next five subsequent years: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9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w w:val="99"/>
              </w:rPr>
              <w:t>Remaining Year Ended December 31, 2025</w:t>
            </w:r>
          </w:p>
        </w:tc>
        <w:tc>
          <w:tcPr>
            <w:tcW w:w="2960" w:type="dxa"/>
            <w:vAlign w:val="bottom"/>
            <w:tcBorders>
              <w:bottom w:val="single" w:sz="8" w:color="CCECFF"/>
            </w:tcBorders>
            <w:shd w:val="clear" w:color="auto" w:fill="CCEC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34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34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96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34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9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34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1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2960" w:type="dxa"/>
            <w:vAlign w:val="bottom"/>
            <w:tcBorders>
              <w:bottom w:val="single" w:sz="8" w:color="CCECFF"/>
            </w:tcBorders>
            <w:shd w:val="clear" w:color="auto" w:fill="CCEC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340" w:type="dxa"/>
            <w:vAlign w:val="bottom"/>
          </w:tcPr>
          <w:p>
            <w:pPr>
              <w:spacing w:after="0"/>
              <w:rPr>
                <w:sz w:val="21"/>
                <w:szCs w:val="21"/>
                <w:color w:val="auto"/>
              </w:rPr>
            </w:pPr>
          </w:p>
        </w:tc>
      </w:tr>
      <w:tr>
        <w:trPr>
          <w:trHeight w:val="891"/>
        </w:trPr>
        <w:tc>
          <w:tcPr>
            <w:tcW w:w="2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9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w w:val="99"/>
              </w:rPr>
              <w:t>19</w:t>
            </w:r>
          </w:p>
        </w:tc>
        <w:tc>
          <w:tcPr>
            <w:tcW w:w="4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15"/>
        </w:trPr>
        <w:tc>
          <w:tcPr>
            <w:tcW w:w="23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Black Pearl Facility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Barber Lake Facility</w:t>
            </w:r>
          </w:p>
        </w:tc>
        <w:tc>
          <w:tcPr>
            <w:tcW w:w="2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 related to Stingray Facility</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7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-213995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-908050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As part of various transactions to acquire wholly-owned sites, the Company has deposits with Oncor Electric Delivery Company LLC (“Oncor”) to construct infrastructure to provide the ability to energize each data center. These deposits are eligible to be returned to the Company if the data centers energize an agreed upon capacity within an agreed upon timeframe. As of June 30, 2025 the Company believes these deposits will be returned.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were $7.4 million and $3.4 million as of June 30, 2025 and December 31, 2024, respectively, primarily consisting of the Bitmain Bitcoin Option as of June 30, 2025, and prepaid insurance as of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6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14,607</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Barber Lake site deposit payable</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w:t>
            </w:r>
          </w:p>
        </w:tc>
      </w:tr>
      <w:tr>
        <w:trPr>
          <w:trHeight w:val="24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Remaining payments for miners in service</w:t>
            </w:r>
          </w:p>
        </w:tc>
        <w:tc>
          <w:tcPr>
            <w:tcW w:w="260" w:type="dxa"/>
            <w:vAlign w:val="bottom"/>
          </w:tcPr>
          <w:p>
            <w:pPr>
              <w:spacing w:after="0"/>
              <w:rPr>
                <w:sz w:val="21"/>
                <w:szCs w:val="21"/>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30,221</w:t>
            </w:r>
          </w:p>
        </w:tc>
      </w:tr>
      <w:tr>
        <w:trPr>
          <w:trHeight w:val="27"/>
        </w:trPr>
        <w:tc>
          <w:tcPr>
            <w:tcW w:w="7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7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-33655</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Company recorded related party receivables of approximately $0.2 million and $2.1 million, as of June 30, 2025 and December 31, 2024, respectively, representing amounts owed to the Company from its equity method investees.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Observer Agreement</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April 8, 2022, the Company entered into an observer agreement (the “Board Observer Agreement”) with Bitfury Holding and Bitfury Top HoldCo (together with Bitfury Holding, the “Investors”), which provides that the Investors have the right to designate a representative to serve as an observer of the Board and any committees thereof (subject to exceptions and limitations specified in the Board Observer Agreement). The Board Observer Agreement was negotiated and approved by an independent committee of the Board. On July 22, 2025, the Company terminated the Board Observer Agreement with the Investors.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entered into a series of agreements with affiliates of Luminant, including the Lease Agreement dated June 29, 2021, with amendment and restatement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1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3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Black Pearl Facility Lease</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Black Pearl LLC (“Black Pearl”), assumed a lease for a 70 acre plot of land in Winkler County, Texas, for the purpose of constructing a data center, and ancillary infrastructure to construct the Black Pearl Facility. The initial term of the lease is ten years, and includes four consecutive renewal options for ten years each.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Reveille LLC (“Reveille”), assumed a lease for a 52 acre plot of land in LaSalle, Texas, for the purpose of constructing a data center, and ancillary infrastructure to construct the Reveille Facility. The initial term of the lease is ten years, and includes two consecutive renewal options for ten years 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and warehouse leases</w:t>
      </w:r>
    </w:p>
    <w:p>
      <w:pPr>
        <w:spacing w:after="0" w:line="202" w:lineRule="exact"/>
        <w:rPr>
          <w:sz w:val="20"/>
          <w:szCs w:val="20"/>
          <w:color w:val="auto"/>
        </w:rPr>
      </w:pPr>
    </w:p>
    <w:p>
      <w:pPr>
        <w:ind w:right="340"/>
        <w:spacing w:after="0" w:line="469" w:lineRule="auto"/>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 In April 2025, the Company entered into a commercial lease for a warehouse in Odessa, Texas All of the Company's office leases are classified as operating leases.</w:t>
      </w: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7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3"/>
                <w:szCs w:val="23"/>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27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7"/>
        </w:trPr>
        <w:tc>
          <w:tcPr>
            <w:tcW w:w="4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7"/>
        </w:trPr>
        <w:tc>
          <w:tcPr>
            <w:tcW w:w="4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6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top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22"/>
                <w:szCs w:val="22"/>
                <w:color w:val="auto"/>
              </w:rPr>
            </w:pPr>
          </w:p>
        </w:tc>
        <w:tc>
          <w:tcPr>
            <w:tcW w:w="1040" w:type="dxa"/>
            <w:vAlign w:val="bottom"/>
            <w:tcBorders>
              <w:top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22"/>
                <w:szCs w:val="22"/>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702056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056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-359410</wp:posOffset>
            </wp:positionV>
            <wp:extent cx="59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-359410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-1396365</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-1396365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500" w:hanging="386"/>
        <w:spacing w:after="0"/>
        <w:tabs>
          <w:tab w:leader="none" w:pos="50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Amortization of finance lease ROU asset is included within depreciation expense.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740" w:type="dxa"/>
            <w:vAlign w:val="bottom"/>
            <w:tcBorders>
              <w:bottom w:val="single" w:sz="8" w:color="auto"/>
            </w:tcBorders>
            <w:gridSpan w:val="7"/>
          </w:tcPr>
          <w:p>
            <w:pPr>
              <w:jc w:val="right"/>
              <w:ind w:right="8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460" w:type="dxa"/>
            <w:vAlign w:val="bottom"/>
            <w:tcBorders>
              <w:bottom w:val="single" w:sz="8" w:color="CCEEFF"/>
            </w:tcBorders>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20"/>
                <w:szCs w:val="20"/>
                <w:color w:val="auto"/>
              </w:rPr>
            </w:pPr>
          </w:p>
        </w:tc>
      </w:tr>
      <w:tr>
        <w:trPr>
          <w:trHeight w:val="250"/>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60" w:type="dxa"/>
            <w:vAlign w:val="bottom"/>
            <w:tcBorders>
              <w:bottom w:val="single" w:sz="8" w:color="CCEEFF"/>
            </w:tcBorders>
            <w:gridSpan w:val="3"/>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25"/>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operating</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4"/>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3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60"/>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Pr>
          <w:p>
            <w:pPr>
              <w:spacing w:after="0"/>
              <w:rPr>
                <w:sz w:val="24"/>
                <w:szCs w:val="24"/>
                <w:color w:val="auto"/>
              </w:rPr>
            </w:pPr>
          </w:p>
        </w:tc>
        <w:tc>
          <w:tcPr>
            <w:tcW w:w="2380" w:type="dxa"/>
            <w:vAlign w:val="bottom"/>
            <w:gridSpan w:val="5"/>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50"/>
        </w:trPr>
        <w:tc>
          <w:tcPr>
            <w:tcW w:w="460" w:type="dxa"/>
            <w:vAlign w:val="bottom"/>
          </w:tcPr>
          <w:p>
            <w:pPr>
              <w:spacing w:after="0"/>
              <w:rPr>
                <w:sz w:val="21"/>
                <w:szCs w:val="21"/>
                <w:color w:val="auto"/>
              </w:rPr>
            </w:pPr>
          </w:p>
        </w:tc>
        <w:tc>
          <w:tcPr>
            <w:tcW w:w="5240" w:type="dxa"/>
            <w:vAlign w:val="bottom"/>
            <w:tcBorders>
              <w:top w:val="single" w:sz="8" w:color="CCECFF"/>
              <w:bottom w:val="single" w:sz="8" w:color="CCECFF"/>
            </w:tcBorders>
            <w:gridSpan w:val="4"/>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360" w:type="dxa"/>
            <w:vAlign w:val="bottom"/>
            <w:tcBorders>
              <w:top w:val="single" w:sz="8" w:color="CCECFF"/>
              <w:bottom w:val="single" w:sz="8" w:color="CCECFF"/>
            </w:tcBorders>
            <w:shd w:val="clear" w:color="auto" w:fill="CCECFF"/>
          </w:tcPr>
          <w:p>
            <w:pPr>
              <w:spacing w:after="0"/>
              <w:rPr>
                <w:sz w:val="21"/>
                <w:szCs w:val="21"/>
                <w:color w:val="auto"/>
              </w:rPr>
            </w:pPr>
          </w:p>
        </w:tc>
        <w:tc>
          <w:tcPr>
            <w:tcW w:w="680" w:type="dxa"/>
            <w:vAlign w:val="bottom"/>
            <w:tcBorders>
              <w:top w:val="single" w:sz="8" w:color="CCECFF"/>
              <w:bottom w:val="single" w:sz="8" w:color="CCECFF"/>
            </w:tcBorders>
            <w:shd w:val="clear" w:color="auto" w:fill="CCECFF"/>
          </w:tcPr>
          <w:p>
            <w:pPr>
              <w:spacing w:after="0"/>
              <w:rPr>
                <w:sz w:val="21"/>
                <w:szCs w:val="21"/>
                <w:color w:val="auto"/>
              </w:rPr>
            </w:pPr>
          </w:p>
        </w:tc>
        <w:tc>
          <w:tcPr>
            <w:tcW w:w="480" w:type="dxa"/>
            <w:vAlign w:val="bottom"/>
            <w:tcBorders>
              <w:top w:val="single" w:sz="8" w:color="auto"/>
              <w:bottom w:val="single" w:sz="8" w:color="CCECFF"/>
            </w:tcBorders>
            <w:shd w:val="clear" w:color="auto" w:fill="CCECFF"/>
          </w:tcPr>
          <w:p>
            <w:pPr>
              <w:spacing w:after="0"/>
              <w:rPr>
                <w:sz w:val="21"/>
                <w:szCs w:val="21"/>
                <w:color w:val="auto"/>
              </w:rPr>
            </w:pPr>
          </w:p>
        </w:tc>
        <w:tc>
          <w:tcPr>
            <w:tcW w:w="1460" w:type="dxa"/>
            <w:vAlign w:val="bottom"/>
            <w:tcBorders>
              <w:top w:val="single" w:sz="8" w:color="auto"/>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460" w:type="dxa"/>
            <w:vAlign w:val="bottom"/>
            <w:tcBorders>
              <w:top w:val="single" w:sz="8" w:color="auto"/>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CCECFF"/>
            </w:tcBorders>
            <w:shd w:val="clear" w:color="auto" w:fill="CCECFF"/>
          </w:tcPr>
          <w:p>
            <w:pPr>
              <w:spacing w:after="0"/>
              <w:rPr>
                <w:sz w:val="21"/>
                <w:szCs w:val="21"/>
                <w:color w:val="auto"/>
              </w:rPr>
            </w:pPr>
          </w:p>
        </w:tc>
        <w:tc>
          <w:tcPr>
            <w:tcW w:w="420" w:type="dxa"/>
            <w:vAlign w:val="bottom"/>
            <w:tcBorders>
              <w:top w:val="single" w:sz="8" w:color="auto"/>
              <w:bottom w:val="single" w:sz="8" w:color="CCECFF"/>
            </w:tcBorders>
            <w:shd w:val="clear" w:color="auto" w:fill="CCECFF"/>
          </w:tcPr>
          <w:p>
            <w:pPr>
              <w:spacing w:after="0"/>
              <w:rPr>
                <w:sz w:val="21"/>
                <w:szCs w:val="21"/>
                <w:color w:val="auto"/>
              </w:rPr>
            </w:pPr>
          </w:p>
        </w:tc>
        <w:tc>
          <w:tcPr>
            <w:tcW w:w="96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460" w:type="dxa"/>
            <w:vAlign w:val="bottom"/>
          </w:tcPr>
          <w:p>
            <w:pPr>
              <w:spacing w:after="0"/>
              <w:rPr>
                <w:sz w:val="21"/>
                <w:szCs w:val="21"/>
                <w:color w:val="auto"/>
              </w:rPr>
            </w:pPr>
          </w:p>
        </w:tc>
        <w:tc>
          <w:tcPr>
            <w:tcW w:w="37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300" w:type="dxa"/>
            <w:vAlign w:val="bottom"/>
            <w:tcBorders>
              <w:bottom w:val="single" w:sz="8" w:color="CCECFF"/>
            </w:tcBorders>
            <w:shd w:val="clear" w:color="auto" w:fill="CCECFF"/>
          </w:tcPr>
          <w:p>
            <w:pPr>
              <w:spacing w:after="0"/>
              <w:rPr>
                <w:sz w:val="21"/>
                <w:szCs w:val="21"/>
                <w:color w:val="auto"/>
              </w:rPr>
            </w:pPr>
          </w:p>
        </w:tc>
        <w:tc>
          <w:tcPr>
            <w:tcW w:w="108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360" w:type="dxa"/>
            <w:vAlign w:val="bottom"/>
            <w:tcBorders>
              <w:bottom w:val="single" w:sz="8" w:color="CCECFF"/>
            </w:tcBorders>
            <w:shd w:val="clear" w:color="auto" w:fill="CCECFF"/>
          </w:tcPr>
          <w:p>
            <w:pPr>
              <w:spacing w:after="0"/>
              <w:rPr>
                <w:sz w:val="21"/>
                <w:szCs w:val="21"/>
                <w:color w:val="auto"/>
              </w:rPr>
            </w:pPr>
          </w:p>
        </w:tc>
        <w:tc>
          <w:tcPr>
            <w:tcW w:w="680" w:type="dxa"/>
            <w:vAlign w:val="bottom"/>
            <w:tcBorders>
              <w:bottom w:val="single" w:sz="8" w:color="CCECFF"/>
            </w:tcBorders>
            <w:shd w:val="clear" w:color="auto" w:fill="CCECFF"/>
          </w:tcPr>
          <w:p>
            <w:pPr>
              <w:spacing w:after="0"/>
              <w:rPr>
                <w:sz w:val="21"/>
                <w:szCs w:val="21"/>
                <w:color w:val="auto"/>
              </w:rPr>
            </w:pPr>
          </w:p>
        </w:tc>
        <w:tc>
          <w:tcPr>
            <w:tcW w:w="480" w:type="dxa"/>
            <w:vAlign w:val="bottom"/>
            <w:tcBorders>
              <w:bottom w:val="single" w:sz="8" w:color="CCECFF"/>
            </w:tcBorders>
            <w:shd w:val="clear" w:color="auto" w:fill="CCECFF"/>
          </w:tcPr>
          <w:p>
            <w:pPr>
              <w:spacing w:after="0"/>
              <w:rPr>
                <w:sz w:val="21"/>
                <w:szCs w:val="21"/>
                <w:color w:val="auto"/>
              </w:rPr>
            </w:pPr>
          </w:p>
        </w:tc>
        <w:tc>
          <w:tcPr>
            <w:tcW w:w="1460" w:type="dxa"/>
            <w:vAlign w:val="bottom"/>
            <w:tcBorders>
              <w:bottom w:val="single" w:sz="8" w:color="CCECFF"/>
            </w:tcBorders>
            <w:gridSpan w:val="3"/>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CCECFF"/>
            </w:tcBorders>
            <w:shd w:val="clear" w:color="auto" w:fill="CCECFF"/>
          </w:tcPr>
          <w:p>
            <w:pPr>
              <w:spacing w:after="0"/>
              <w:rPr>
                <w:sz w:val="21"/>
                <w:szCs w:val="21"/>
                <w:color w:val="auto"/>
              </w:rPr>
            </w:pPr>
          </w:p>
        </w:tc>
        <w:tc>
          <w:tcPr>
            <w:tcW w:w="9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440" w:type="dxa"/>
            <w:vAlign w:val="bottom"/>
          </w:tcPr>
          <w:p>
            <w:pPr>
              <w:spacing w:after="0"/>
              <w:rPr>
                <w:sz w:val="21"/>
                <w:szCs w:val="21"/>
                <w:color w:val="auto"/>
              </w:rPr>
            </w:pPr>
          </w:p>
        </w:tc>
      </w:tr>
      <w:tr>
        <w:trPr>
          <w:trHeight w:val="243"/>
        </w:trPr>
        <w:tc>
          <w:tcPr>
            <w:tcW w:w="46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460" w:type="dxa"/>
            <w:vAlign w:val="bottom"/>
          </w:tcPr>
          <w:p>
            <w:pPr>
              <w:spacing w:after="0"/>
              <w:rPr>
                <w:sz w:val="23"/>
                <w:szCs w:val="23"/>
                <w:color w:val="auto"/>
              </w:rPr>
            </w:pPr>
          </w:p>
        </w:tc>
        <w:tc>
          <w:tcPr>
            <w:tcW w:w="37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CFF"/>
          </w:tcPr>
          <w:p>
            <w:pPr>
              <w:spacing w:after="0"/>
              <w:rPr>
                <w:sz w:val="23"/>
                <w:szCs w:val="23"/>
                <w:color w:val="auto"/>
              </w:rPr>
            </w:pPr>
          </w:p>
        </w:tc>
        <w:tc>
          <w:tcPr>
            <w:tcW w:w="108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360" w:type="dxa"/>
            <w:vAlign w:val="bottom"/>
            <w:shd w:val="clear" w:color="auto" w:fill="CCECFF"/>
          </w:tcPr>
          <w:p>
            <w:pPr>
              <w:spacing w:after="0"/>
              <w:rPr>
                <w:sz w:val="23"/>
                <w:szCs w:val="23"/>
                <w:color w:val="auto"/>
              </w:rPr>
            </w:pPr>
          </w:p>
        </w:tc>
        <w:tc>
          <w:tcPr>
            <w:tcW w:w="1160" w:type="dxa"/>
            <w:vAlign w:val="bottom"/>
            <w:gridSpan w:val="2"/>
            <w:shd w:val="clear" w:color="auto" w:fill="CCEC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CFF"/>
          </w:tcPr>
          <w:p>
            <w:pPr>
              <w:jc w:val="right"/>
              <w:ind w:right="139"/>
              <w:spacing w:after="0"/>
              <w:rPr>
                <w:sz w:val="20"/>
                <w:szCs w:val="20"/>
                <w:color w:val="auto"/>
              </w:rPr>
            </w:pPr>
            <w:r>
              <w:rPr>
                <w:rFonts w:ascii="Times New Roman" w:cs="Times New Roman" w:eastAsia="Times New Roman" w:hAnsi="Times New Roman"/>
                <w:sz w:val="18"/>
                <w:szCs w:val="18"/>
                <w:color w:val="auto"/>
              </w:rPr>
              <w:t>6,595</w:t>
            </w:r>
          </w:p>
        </w:tc>
        <w:tc>
          <w:tcPr>
            <w:tcW w:w="560" w:type="dxa"/>
            <w:vAlign w:val="bottom"/>
            <w:gridSpan w:val="2"/>
            <w:shd w:val="clear" w:color="auto" w:fill="CCEC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23"/>
                <w:szCs w:val="23"/>
                <w:color w:val="auto"/>
              </w:rPr>
            </w:pPr>
          </w:p>
        </w:tc>
        <w:tc>
          <w:tcPr>
            <w:tcW w:w="420" w:type="dxa"/>
            <w:vAlign w:val="bottom"/>
            <w:shd w:val="clear" w:color="auto" w:fill="CCECFF"/>
          </w:tcPr>
          <w:p>
            <w:pPr>
              <w:spacing w:after="0"/>
              <w:rPr>
                <w:sz w:val="23"/>
                <w:szCs w:val="23"/>
                <w:color w:val="auto"/>
              </w:rPr>
            </w:pPr>
          </w:p>
        </w:tc>
        <w:tc>
          <w:tcPr>
            <w:tcW w:w="96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8"/>
                <w:szCs w:val="18"/>
                <w:color w:val="auto"/>
              </w:rPr>
              <w:t>8,117</w:t>
            </w:r>
          </w:p>
        </w:tc>
        <w:tc>
          <w:tcPr>
            <w:tcW w:w="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-1696720</wp:posOffset>
            </wp:positionV>
            <wp:extent cx="60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-1696720</wp:posOffset>
            </wp:positionV>
            <wp:extent cx="603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ind w:left="360" w:right="160" w:hanging="352"/>
        <w:spacing w:after="0" w:line="232" w:lineRule="auto"/>
        <w:tabs>
          <w:tab w:leader="none" w:pos="34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June 30, 2025, the Company recorded accumulated amortization of $5.8 million for the finance lease ROU asset. Finance lease ROU assets are recorded within property and equipment, net on the Company’s consolidated balance sheets.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future minimum lease payments during the next five years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Year Ended December 31, 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June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0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of $25.0 million. The Company will not incur commitment fees for unused portions of the Coinbase Overnight Credit Facility. The borrowing rate on amounts drawn against the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derecognized the bitcoin transferred. The Company has the right to receive the bitcoin back from the Lender upon repayment of the Coinbase Overnight Credit Facility, and as such recognized a receivable for bitcoin collateral measured at fair value of the bitcoin to be received upon repayment. The Company may also withdraw bitcoin if the loan becomes over-collateralized due to increases in bitcoin price.</w:t>
      </w:r>
    </w:p>
    <w:p>
      <w:pPr>
        <w:spacing w:after="0" w:line="1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Under the Coinbase Master Loan Agreement, the Company also established the “Term Loan Facility” with a limit of $35.0 million and maximum period of one year, with an interest rate to be determined upon drawdown.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nothing outstanding on the Coinbase Overnight Credit Facility. The Company had $25.0 million balance outstanding on the Coinbase Overnight Credit Facility at a weighted average interest rate of 9.5% as of December 31, 2024. The Company had no balance outstanding on the Term Loan Facility as of June 30, 2025 or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Luxor Purchase and Sale Agreement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has the ability to enter into agreements with Luxor Technology Corporation (“Luxor”) to borrow bitcoin to be repaid at a fixed amount of bitcoin per day over fixed periods. The Company records the outstanding balance at fair value in Short-term borrowings based on the current bitcoin price, with changes in fair value recorded in Other income.</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no ongoing transactions with Luxor under the Luxor Purchase and Sales Agreement. As of December 31, 2024 the Company owed approximately 80.3 bitcoin valued at $7.3 million related to this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debt issuance costs: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5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4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0" w:type="dxa"/>
            <w:vAlign w:val="bottom"/>
          </w:tcPr>
          <w:p>
            <w:pPr>
              <w:spacing w:after="0"/>
              <w:rPr>
                <w:sz w:val="17"/>
                <w:szCs w:val="17"/>
                <w:color w:val="auto"/>
              </w:rPr>
            </w:pPr>
          </w:p>
        </w:tc>
        <w:tc>
          <w:tcPr>
            <w:tcW w:w="9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3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Deferred Debt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right"/>
              <w:ind w:right="400"/>
              <w:spacing w:after="0" w:line="196" w:lineRule="exact"/>
              <w:rPr>
                <w:sz w:val="20"/>
                <w:szCs w:val="20"/>
                <w:color w:val="auto"/>
              </w:rPr>
            </w:pPr>
            <w:r>
              <w:rPr>
                <w:rFonts w:ascii="Times New Roman" w:cs="Times New Roman" w:eastAsia="Times New Roman" w:hAnsi="Times New Roman"/>
                <w:sz w:val="18"/>
                <w:szCs w:val="18"/>
                <w:b w:val="1"/>
                <w:bCs w:val="1"/>
                <w:color w:val="auto"/>
                <w:w w:val="97"/>
              </w:rPr>
              <w:t>Outstanding</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140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1520" w:type="dxa"/>
            <w:vAlign w:val="bottom"/>
            <w:gridSpan w:val="4"/>
            <w:vMerge w:val="continue"/>
          </w:tcPr>
          <w:p>
            <w:pPr>
              <w:spacing w:after="0"/>
              <w:rPr>
                <w:sz w:val="17"/>
                <w:szCs w:val="17"/>
                <w:color w:val="auto"/>
              </w:rPr>
            </w:pPr>
          </w:p>
        </w:tc>
        <w:tc>
          <w:tcPr>
            <w:tcW w:w="140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34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Issuance Costs</w:t>
            </w:r>
          </w:p>
        </w:tc>
        <w:tc>
          <w:tcPr>
            <w:tcW w:w="180" w:type="dxa"/>
            <w:vAlign w:val="bottom"/>
          </w:tcPr>
          <w:p>
            <w:pPr>
              <w:spacing w:after="0"/>
              <w:rPr>
                <w:sz w:val="17"/>
                <w:szCs w:val="17"/>
                <w:color w:val="auto"/>
              </w:rPr>
            </w:pPr>
          </w:p>
        </w:tc>
        <w:tc>
          <w:tcPr>
            <w:tcW w:w="1580" w:type="dxa"/>
            <w:vAlign w:val="bottom"/>
            <w:gridSpan w:val="5"/>
          </w:tcPr>
          <w:p>
            <w:pPr>
              <w:jc w:val="right"/>
              <w:ind w:right="280"/>
              <w:spacing w:after="0" w:line="196" w:lineRule="exact"/>
              <w:rPr>
                <w:sz w:val="20"/>
                <w:szCs w:val="20"/>
                <w:color w:val="auto"/>
              </w:rPr>
            </w:pPr>
            <w:r>
              <w:rPr>
                <w:rFonts w:ascii="Times New Roman" w:cs="Times New Roman" w:eastAsia="Times New Roman" w:hAnsi="Times New Roman"/>
                <w:sz w:val="18"/>
                <w:szCs w:val="18"/>
                <w:b w:val="1"/>
                <w:bCs w:val="1"/>
                <w:color w:val="auto"/>
              </w:rPr>
              <w:t>Borrowings, net</w:t>
            </w:r>
          </w:p>
        </w:tc>
        <w:tc>
          <w:tcPr>
            <w:tcW w:w="0" w:type="dxa"/>
            <w:vAlign w:val="bottom"/>
          </w:tcPr>
          <w:p>
            <w:pPr>
              <w:spacing w:after="0"/>
              <w:rPr>
                <w:sz w:val="1"/>
                <w:szCs w:val="1"/>
                <w:color w:val="auto"/>
              </w:rPr>
            </w:pPr>
          </w:p>
        </w:tc>
      </w:tr>
      <w:tr>
        <w:trPr>
          <w:trHeight w:val="48"/>
        </w:trPr>
        <w:tc>
          <w:tcPr>
            <w:tcW w:w="27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2030 Convertible Notes</w:t>
            </w:r>
          </w:p>
        </w:tc>
        <w:tc>
          <w:tcPr>
            <w:tcW w:w="120" w:type="dxa"/>
            <w:vAlign w:val="bottom"/>
          </w:tcPr>
          <w:p>
            <w:pPr>
              <w:spacing w:after="0"/>
              <w:rPr>
                <w:sz w:val="21"/>
                <w:szCs w:val="21"/>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May 2030</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172,500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5,387</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167,113</w:t>
            </w: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172,500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5,387</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167,113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5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600" w:type="dxa"/>
            <w:vAlign w:val="bottom"/>
            <w:gridSpan w:val="5"/>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9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5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Deferred Debt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3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Pr>
          <w:p>
            <w:pPr>
              <w:spacing w:after="0"/>
              <w:rPr>
                <w:sz w:val="17"/>
                <w:szCs w:val="17"/>
                <w:color w:val="auto"/>
              </w:rPr>
            </w:pPr>
          </w:p>
        </w:tc>
        <w:tc>
          <w:tcPr>
            <w:tcW w:w="1520" w:type="dxa"/>
            <w:vAlign w:val="bottom"/>
            <w:gridSpan w:val="4"/>
            <w:vMerge w:val="continue"/>
          </w:tcPr>
          <w:p>
            <w:pPr>
              <w:spacing w:after="0"/>
              <w:rPr>
                <w:sz w:val="17"/>
                <w:szCs w:val="17"/>
                <w:color w:val="auto"/>
              </w:rPr>
            </w:pPr>
          </w:p>
        </w:tc>
        <w:tc>
          <w:tcPr>
            <w:tcW w:w="1600" w:type="dxa"/>
            <w:vAlign w:val="bottom"/>
            <w:gridSpan w:val="5"/>
            <w:vMerge w:val="continue"/>
          </w:tcPr>
          <w:p>
            <w:pPr>
              <w:spacing w:after="0"/>
              <w:rPr>
                <w:sz w:val="17"/>
                <w:szCs w:val="17"/>
                <w:color w:val="auto"/>
              </w:rPr>
            </w:pPr>
          </w:p>
        </w:tc>
        <w:tc>
          <w:tcPr>
            <w:tcW w:w="9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500" w:type="dxa"/>
            <w:vAlign w:val="bottom"/>
            <w:gridSpan w:val="3"/>
          </w:tcPr>
          <w:p>
            <w:pPr>
              <w:spacing w:after="0"/>
              <w:rPr>
                <w:sz w:val="17"/>
                <w:szCs w:val="17"/>
                <w:color w:val="auto"/>
              </w:rPr>
            </w:pPr>
          </w:p>
        </w:tc>
        <w:tc>
          <w:tcPr>
            <w:tcW w:w="1720" w:type="dxa"/>
            <w:vAlign w:val="bottom"/>
            <w:gridSpan w:val="7"/>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Issuance Costs</w:t>
            </w:r>
          </w:p>
        </w:tc>
        <w:tc>
          <w:tcPr>
            <w:tcW w:w="1580" w:type="dxa"/>
            <w:vAlign w:val="bottom"/>
            <w:gridSpan w:val="5"/>
          </w:tcPr>
          <w:p>
            <w:pPr>
              <w:jc w:val="center"/>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Borrowings, net</w:t>
            </w:r>
          </w:p>
        </w:tc>
        <w:tc>
          <w:tcPr>
            <w:tcW w:w="0" w:type="dxa"/>
            <w:vAlign w:val="bottom"/>
          </w:tcPr>
          <w:p>
            <w:pPr>
              <w:spacing w:after="0"/>
              <w:rPr>
                <w:sz w:val="1"/>
                <w:szCs w:val="1"/>
                <w:color w:val="auto"/>
              </w:rPr>
            </w:pPr>
          </w:p>
        </w:tc>
      </w:tr>
      <w:tr>
        <w:trPr>
          <w:trHeight w:val="48"/>
        </w:trPr>
        <w:tc>
          <w:tcPr>
            <w:tcW w:w="27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top w:val="single" w:sz="8" w:color="auto"/>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110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9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4"/>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principal amount of the 2030 Convertible Notes with an interest rate of 1.75% (the “2030 Notes”). The 2030 Convertible Notes are senior, unsecured obligations with interest due semiannually on May 15 and November 15 each year beginning on November 15, 2025. The 2030 Notes will mature on May 15, 2030, unless earlier repurchased, redeemed or converted.</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Before February 15, 2030, noteholders will have the right to convert their 2030 Convertible Notes only upon the occurrence of certain events. From and after February 15, 2030, noteholders may convert their 2030 Convertible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As the Company has the option to settle in shares, these shares are considered potentially dilutive for the calculation of diluted earnings per share. The initial conversion rate is 224.9213 shares of the Company’s common stock per $1,000 principal amount of 2030 Convertible Notes, which represents an initial conversion price of approximately $4.45 per share of the Company’s common stock.</w:t>
      </w:r>
    </w:p>
    <w:p>
      <w:pPr>
        <w:spacing w:after="0" w:line="1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2030 Convertible Notes will be redeemable, in whole or in part (subject to certain limitations), at the Company’s option at any time, and from time to time, on or after May 22, 2028 and on or before the 30th scheduled trading day immediately before the maturity date, but only if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However, the Company may not redeem less than all of the outstanding 2030 Convertible Notes unless at least $50.0 million aggregate principal amount of 2030 Convertible Notes are outstanding and not called for redemption as of the time the Company sends the related redemption notice.</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0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2025, 510,000,000 shares with a par value of $0.001 per share are authorized, of which, 500,000,000 shares are designated as Common Stock and 10,000,000 shares are designated as preferred stock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consolidated financial statements,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 for which there currently are none outstanding.</w:t>
      </w:r>
    </w:p>
    <w:p>
      <w:pPr>
        <w:spacing w:after="0" w:line="15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2025, the Company issued 2,998,232 shares of Common Stock to officers, employees and consultants in settlement of an equal number of fully vested RSUs awarded to these individuals, and 358,206 shares of Common Stock to directors, pursuant to grants made under the Cipher Mining Inc. 2021 Incentive Award Plan (the “Incentive Award Plan”). The Company immediately repurchased 1,154,823 of these shares of Common Stock from officers and employees, with a fair value of approximately $4.3 million, to cover taxes related to the settlement of vested RSUs, as permitted by the Incentive Award Plan. The Company placed the repurchased shares in treasury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w:t>
      </w:r>
    </w:p>
    <w:p>
      <w:pPr>
        <w:spacing w:after="0" w:line="185"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(i) up to $125.7 million remaining as authorized under the Company’s Registration Statement, the base prospectus contained within the Registration Statement, and the Prospectus Supplement, as amended on September 3, 2024 and (ii)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During the six months ended June 30, 2025, in connection with the Amended and Restated Sales Agreement, the Company received proceeds of $85,664,967, net of issuance costs, from the sale of 23,334,701 shares of common stock, with an average net selling price of $3.67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assumed Common Stock warrants that were originally issued in GWAC’s initial public offering (the “Public Warrants”), as well as warrants that were issued in a private placement that closed concurrently with GWAC’s initial public offering (the “Private Placement Warrants”). The Public and Private Placement Warrants entitle the holder to purchase one share of Common Stock at an exercise price of $11.50 per share, subject to adjustment. There were 8,613,980 Public Warrants and no Private Placement Warrants outstanding as of December 31, 2024, and June 30, 2025. The exercise price and number of shares of Common Stock issuable on exercise of the warrants may be adjusted in certain circumstances including in the event of a stock 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2025, this resulted in an increase of 10,523,515 shares of Common Stock available for issuance under the Incentive Award Plan. As of June 30, 2025, 13,246,079 shares of Common Stock were available for issuance under the Incentive Award Plan.</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condensed consolidated statements of operations for the following categories of awards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60" w:type="dxa"/>
            <w:vAlign w:val="bottom"/>
          </w:tcPr>
          <w:p>
            <w:pPr>
              <w:spacing w:after="0"/>
              <w:rPr>
                <w:sz w:val="20"/>
                <w:szCs w:val="20"/>
                <w:color w:val="auto"/>
              </w:rPr>
            </w:pPr>
          </w:p>
        </w:tc>
        <w:tc>
          <w:tcPr>
            <w:tcW w:w="4420" w:type="dxa"/>
            <w:vAlign w:val="bottom"/>
            <w:tcBorders>
              <w:bottom w:val="single" w:sz="8" w:color="CCEC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20"/>
                <w:szCs w:val="20"/>
                <w:color w:val="auto"/>
              </w:rPr>
            </w:pPr>
          </w:p>
        </w:tc>
      </w:tr>
      <w:tr>
        <w:trPr>
          <w:trHeight w:val="250"/>
        </w:trPr>
        <w:tc>
          <w:tcPr>
            <w:tcW w:w="60" w:type="dxa"/>
            <w:vAlign w:val="bottom"/>
          </w:tcPr>
          <w:p>
            <w:pPr>
              <w:spacing w:after="0"/>
              <w:rPr>
                <w:sz w:val="21"/>
                <w:szCs w:val="21"/>
                <w:color w:val="auto"/>
              </w:rPr>
            </w:pPr>
          </w:p>
        </w:tc>
        <w:tc>
          <w:tcPr>
            <w:tcW w:w="4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44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Common stock, fully-vested</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40" w:type="dxa"/>
            <w:vAlign w:val="bottom"/>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40" w:type="dxa"/>
            <w:vAlign w:val="bottom"/>
          </w:tcPr>
          <w:p>
            <w:pPr>
              <w:spacing w:after="0"/>
              <w:rPr>
                <w:sz w:val="22"/>
                <w:szCs w:val="22"/>
                <w:color w:val="auto"/>
              </w:rPr>
            </w:pPr>
          </w:p>
        </w:tc>
      </w:tr>
      <w:tr>
        <w:trPr>
          <w:trHeight w:val="20"/>
        </w:trPr>
        <w:tc>
          <w:tcPr>
            <w:tcW w:w="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8"/>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-1396365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-1396365</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six months ended June 30, 2025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r>
      <w:tr>
        <w:trPr>
          <w:trHeight w:val="239"/>
        </w:trPr>
        <w:tc>
          <w:tcPr>
            <w:tcW w:w="636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15,922,220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4,270,421</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7"/>
        </w:trPr>
        <w:tc>
          <w:tcPr>
            <w:tcW w:w="6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(2,998,232)</w:t>
            </w: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June 30, 2025</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17,194,409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r>
      <w:tr>
        <w:trPr>
          <w:trHeight w:val="121"/>
        </w:trPr>
        <w:tc>
          <w:tcPr>
            <w:tcW w:w="63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(1) Does not include RSUs that have not settled as of June 30, 2025</w:t>
            </w:r>
          </w:p>
        </w:tc>
        <w:tc>
          <w:tcPr>
            <w:tcW w:w="2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r>
      <w:tr>
        <w:trPr>
          <w:trHeight w:val="36"/>
        </w:trPr>
        <w:tc>
          <w:tcPr>
            <w:tcW w:w="636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r>
    </w:tbl>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2025, there was approximately $23.6 million of unrecognized compensation expense related to unvested Service-Based RSUs, which is expected to be recognized over a weighted-average vesting period of approximately 1.0 years.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installments as determined by the Board.</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2021, the Company issued 4,257,710 performance-based RSUs (the “2021 Performance-Based RSUs”) at a weighted average grant date fair value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$7.76. None of the 2021 Performance-Based RSUs were vested as of June 30, 2025. There was no unrecognized compensation expense related to unvested performance-based RSUs at June 30, 2025.</w:t>
      </w:r>
    </w:p>
    <w:p>
      <w:pPr>
        <w:spacing w:after="0" w:line="1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One-third of the outstanding 2021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2021 Performance-Based RSUs that do not vest prior to the CEO’s termination of service or, if earlier, in connection with a change in control will be forfeited for no consideration.</w:t>
      </w:r>
    </w:p>
    <w:p>
      <w:pPr>
        <w:spacing w:after="0" w:line="14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February 26, 2025, the Company issued an additional 2,490,943 Performance-Based RSUs (the “2025 Performance-Based RSUs”) to the Company’s senior management team under the Incentive Award Plan at a weighted average grant date fair value of $5.01. None of the 2025 Performance-Based RSUs were vested as of June 30, 2025. There was approximately $9.2 million in unrecognized compensation expense related to the 2025 Performance-Based RSUs at June 30, 2025, which is expected to be recognized over a weighted-average vesting period of approximately 1.25 years, regardless of whether the market conditions required for vesting are achieved.</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31, 2025 the Company will calculate the number of PSUs expected to vest (the “Earned PSUs”), based upon the Company’s common stock achieving certain Total Shareholder Return (TSR) relative to the TSR of peer companies identified in the grant agreements and the overall TSR of the Company for the 2025 calendar year. The number of Earned PSUs will range from 0% to 225% of the number of 2025 Performance-Based RSU’s originally granted. Subject to the employee’s continuous service through the vesting date, one-third of the Earned PSUs will vest on December 31, 2025 and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remaining two-thirds of the Earned PSUs will vest in equal quarterly installments over the following two years with the first such vesting date occurring on March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2025 Performance-Based RSUs was measured using a Monte Carlo simulation model based on the following assumptions:</w:t>
      </w:r>
    </w:p>
    <w:p>
      <w:pPr>
        <w:spacing w:after="0" w:line="284" w:lineRule="exact"/>
        <w:rPr>
          <w:sz w:val="20"/>
          <w:szCs w:val="20"/>
          <w:color w:val="auto"/>
        </w:rPr>
      </w:pPr>
    </w:p>
    <w:tbl>
      <w:tblPr>
        <w:tblLayout w:type="fixed"/>
        <w:tblInd w:w="3580" w:type="dxa"/>
        <w:tblCellMar>
          <w:top w:w="0" w:type="dxa"/>
          <w:left w:w="0" w:type="dxa"/>
          <w:bottom w:w="0" w:type="dxa"/>
          <w:right w:w="0" w:type="dxa"/>
        </w:tblCellMar>
      </w:tblPr>
      <w:tr>
        <w:trPr>
          <w:trHeight w:val="27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4.14%</w:t>
            </w:r>
          </w:p>
        </w:tc>
      </w:tr>
      <w:tr>
        <w:trPr>
          <w:trHeight w:val="243"/>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Fair Value Measured as of June 30, 2025</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20"/>
                <w:szCs w:val="20"/>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Bitmain Bitcoin Options</w:t>
            </w:r>
          </w:p>
        </w:tc>
        <w:tc>
          <w:tcPr>
            <w:tcW w:w="2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8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149,635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2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-676275</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-676275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-676275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-856615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-856615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-856615</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-2571115</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-2571115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-2571115</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2024</w:t>
            </w:r>
          </w:p>
        </w:tc>
        <w:tc>
          <w:tcPr>
            <w:tcW w:w="800" w:type="dxa"/>
            <w:vAlign w:val="bottom"/>
            <w:tcBorders>
              <w:bottom w:val="single" w:sz="8" w:color="auto"/>
            </w:tcBorders>
          </w:tcPr>
          <w:p>
            <w:pPr>
              <w:spacing w:after="0"/>
              <w:rPr>
                <w:sz w:val="19"/>
                <w:szCs w:val="19"/>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92,651</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for bitcoin collateral</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32,248</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111,953</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229,871</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not subject to fair value measurement on a recurring basis and the level of inputs used for such measurements were as follows as of the dates indicated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00"/>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9"/>
        </w:trPr>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Convertible Notes</w:t>
            </w:r>
          </w:p>
        </w:tc>
        <w:tc>
          <w:tcPr>
            <w:tcW w:w="260" w:type="dxa"/>
            <w:vAlign w:val="bottom"/>
            <w:tcBorders>
              <w:bottom w:val="single" w:sz="8" w:color="CCEEFF"/>
            </w:tcBorders>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4"/>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222,380</w:t>
            </w:r>
          </w:p>
        </w:tc>
      </w:tr>
      <w:tr>
        <w:trPr>
          <w:trHeight w:val="237"/>
        </w:trPr>
        <w:tc>
          <w:tcPr>
            <w:tcW w:w="474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0"/>
                <w:szCs w:val="20"/>
                <w:color w:val="auto"/>
              </w:rPr>
            </w:pPr>
          </w:p>
        </w:tc>
        <w:tc>
          <w:tcPr>
            <w:tcW w:w="240" w:type="dxa"/>
            <w:vAlign w:val="bottom"/>
            <w:tcBorders>
              <w:top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222,380</w:t>
            </w: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222,380</w:t>
            </w:r>
          </w:p>
        </w:tc>
      </w:tr>
      <w:tr>
        <w:trPr>
          <w:trHeight w:val="27"/>
        </w:trPr>
        <w:tc>
          <w:tcPr>
            <w:tcW w:w="4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27"/>
        </w:trPr>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00"/>
        </w:trPr>
        <w:tc>
          <w:tcPr>
            <w:tcW w:w="4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9"/>
        </w:trPr>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20"/>
                <w:szCs w:val="20"/>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2030 Convertible Notes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4"/>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asset</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derivative asset, related to the Luminant Power Agreement, is divided between current and noncurrent assets, and was initially recorded on its consolidated balance sheets on the derivative asset’s effective date of July 1, 2022, with an offsetting amount recorded to change in fair value of derivative asset in costs and operating expenses on the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(i.e., unobservable inputs) due to a lack of</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2.1 years. The valuations performed by the third-party valuation firm engaged by the Company utilized pre-tax discount rates of 5.33% and 5.96% as of June 30, 2025 and December 31, 2024, respectively, and include observable market inputs, but also include unobservable inputs based on qualitative judgment related to company-specific risk factors. Unrealized gains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1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derivative asset measured using significant unobservable inputs (Level 3) for the six months ended June 30, 2025 and 2024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3280" w:type="dxa"/>
            <w:vAlign w:val="bottom"/>
            <w:tcBorders>
              <w:bottom w:val="single" w:sz="8" w:color="auto"/>
            </w:tcBorders>
            <w:gridSpan w:val="5"/>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7960" w:type="dxa"/>
            <w:vAlign w:val="bottom"/>
            <w:tcBorders>
              <w:bottom w:val="single" w:sz="8" w:color="CCEC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85,670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93,591</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000" w:type="dxa"/>
            <w:vAlign w:val="bottom"/>
          </w:tcPr>
          <w:p>
            <w:pPr>
              <w:spacing w:after="0"/>
              <w:rPr>
                <w:sz w:val="21"/>
                <w:szCs w:val="21"/>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(8,150)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7"/>
        </w:trPr>
        <w:tc>
          <w:tcPr>
            <w:tcW w:w="7960" w:type="dxa"/>
            <w:vAlign w:val="bottom"/>
            <w:tcBorders>
              <w:bottom w:val="single" w:sz="8" w:color="CCEC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000" w:type="dxa"/>
            <w:vAlign w:val="bottom"/>
            <w:tcBorders>
              <w:bottom w:val="single" w:sz="8" w:color="auto"/>
            </w:tcBorders>
            <w:shd w:val="clear" w:color="auto" w:fill="CCEC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77,520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122,930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1000" w:type="dxa"/>
            <w:vAlign w:val="bottom"/>
            <w:tcBorders>
              <w:top w:val="single" w:sz="8" w:color="CCECFF"/>
              <w:bottom w:val="single" w:sz="8" w:color="auto"/>
            </w:tcBorders>
          </w:tcPr>
          <w:p>
            <w:pPr>
              <w:spacing w:after="0" w:line="20" w:lineRule="exact"/>
              <w:rPr>
                <w:sz w:val="1"/>
                <w:szCs w:val="1"/>
                <w:color w:val="auto"/>
              </w:rPr>
            </w:pPr>
          </w:p>
        </w:tc>
        <w:tc>
          <w:tcPr>
            <w:tcW w:w="60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liability</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Private Placement Warrants (as defined in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 were its only liability classified within Level 3 of the fair value hierarchy because the fair value is based on significant inputs that are unobservable in the market. The valuation of the Private Placement Warrants used assumptions and estimates the Company believes would be made by a market participant in making the same valuation. As of March 31, 2024, all Private Placement Warrants were converted to Public Warrants, and as such no Private Placement Warrants were outstanding as of June 30, 2025.</w:t>
      </w:r>
    </w:p>
    <w:p>
      <w:pPr>
        <w:spacing w:after="0" w:line="15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engaged a valuation firm to determine the fair value of the Private Placement Warrants using a Black-Scholes option-pricing model and the quoted price of Common Stock. The following table presents significant assumptions utilized in the valuations of the Private Placement Warrants as of the dates indicated: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7"/>
        </w:trPr>
        <w:tc>
          <w:tcPr>
            <w:tcW w:w="9560" w:type="dxa"/>
            <w:vAlign w:val="bottom"/>
            <w:tcBorders>
              <w:bottom w:val="single" w:sz="8" w:color="CCEC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5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7"/>
        </w:trPr>
        <w:tc>
          <w:tcPr>
            <w:tcW w:w="95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rPr>
              <w:t>124.0%</w:t>
            </w:r>
          </w:p>
        </w:tc>
      </w:tr>
      <w:tr>
        <w:trPr>
          <w:trHeight w:val="24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r>
      <w:tr>
        <w:trPr>
          <w:trHeight w:val="27"/>
        </w:trPr>
        <w:tc>
          <w:tcPr>
            <w:tcW w:w="95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95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6"/>
              </w:rPr>
              <w:t>$11.50</w:t>
            </w:r>
          </w:p>
        </w:tc>
      </w:tr>
      <w:tr>
        <w:trPr>
          <w:trHeight w:val="27"/>
        </w:trPr>
        <w:tc>
          <w:tcPr>
            <w:tcW w:w="9560" w:type="dxa"/>
            <w:vAlign w:val="bottom"/>
            <w:shd w:val="clear" w:color="auto" w:fill="CCECFF"/>
          </w:tcPr>
          <w:p>
            <w:pPr>
              <w:spacing w:after="0"/>
              <w:rPr>
                <w:sz w:val="2"/>
                <w:szCs w:val="2"/>
                <w:color w:val="auto"/>
              </w:rPr>
            </w:pPr>
          </w:p>
        </w:tc>
        <w:tc>
          <w:tcPr>
            <w:tcW w:w="1600" w:type="dxa"/>
            <w:vAlign w:val="bottom"/>
            <w:shd w:val="clear" w:color="auto" w:fill="CCEC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Private Placement Warrants (amounts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9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59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59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43"/>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w:t>
            </w:r>
          </w:p>
        </w:tc>
        <w:tc>
          <w:tcPr>
            <w:tcW w:w="5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59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tc>
        <w:tc>
          <w:tcPr>
            <w:tcW w:w="5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200" w:type="dxa"/>
            <w:vAlign w:val="bottom"/>
            <w:vMerge w:val="continue"/>
          </w:tcPr>
          <w:p>
            <w:pPr>
              <w:spacing w:after="0"/>
              <w:rPr>
                <w:sz w:val="24"/>
                <w:szCs w:val="24"/>
                <w:color w:val="auto"/>
              </w:rPr>
            </w:pPr>
          </w:p>
        </w:tc>
        <w:tc>
          <w:tcPr>
            <w:tcW w:w="5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4200" w:type="dxa"/>
            <w:vAlign w:val="bottom"/>
          </w:tcPr>
          <w:p>
            <w:pPr>
              <w:spacing w:after="0"/>
              <w:rPr>
                <w:sz w:val="24"/>
                <w:szCs w:val="24"/>
                <w:color w:val="auto"/>
              </w:rPr>
            </w:pPr>
          </w:p>
        </w:tc>
        <w:tc>
          <w:tcPr>
            <w:tcW w:w="5220" w:type="dxa"/>
            <w:vAlign w:val="bottom"/>
          </w:tcPr>
          <w:p>
            <w:pPr>
              <w:jc w:val="right"/>
              <w:ind w:right="3610"/>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Bitcoin Mining, which through operations produce bitcoin to generate revenue. The Chief Operating Decision Maker (“CODM”) for the Company consists of the CEO and CFO. The CODM reviews the performance of its segment primarily based on operating income when deciding on allocating resources between reinvesting in Bitcoin Mining or exploring alternative deployment of resources. Asset information is not regularly provided to the CODM for resource allocation as a large portion of assets are property and equipment that cannot be repurposed for other revenue streams.</w:t>
      </w:r>
    </w:p>
    <w:p>
      <w:pPr>
        <w:spacing w:after="0" w:line="15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six months ended June 30, 2025 and 2024 is summarized in the following table (in thousands):</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34" w:name="page35"/>
    <w:bookmarkEnd w:id="34"/>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7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240" w:type="dxa"/>
            <w:vAlign w:val="bottom"/>
          </w:tcPr>
          <w:p>
            <w:pPr>
              <w:spacing w:after="0"/>
              <w:rPr>
                <w:sz w:val="23"/>
                <w:szCs w:val="23"/>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(20,506)</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(24,737)</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(45,243)</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(44,864)</w:t>
            </w:r>
          </w:p>
        </w:tc>
      </w:tr>
      <w:tr>
        <w:trPr>
          <w:trHeight w:val="21"/>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240" w:type="dxa"/>
            <w:vAlign w:val="bottom"/>
          </w:tcPr>
          <w:p>
            <w:pPr>
              <w:spacing w:after="0"/>
              <w:rPr>
                <w:sz w:val="20"/>
                <w:szCs w:val="20"/>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97"/>
        </w:trPr>
        <w:tc>
          <w:tcPr>
            <w:tcW w:w="7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 bitcoin mining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36,808</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(24,650)</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7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6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(14,763)</w:t>
            </w:r>
          </w:p>
        </w:tc>
      </w:tr>
      <w:tr>
        <w:trPr>
          <w:trHeight w:val="21"/>
        </w:trPr>
        <w:tc>
          <w:tcPr>
            <w:tcW w:w="7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80" w:hanging="254"/>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gains.</w:t>
      </w:r>
    </w:p>
    <w:p>
      <w:pPr>
        <w:spacing w:after="0" w:line="63"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six months ended June 30, 2025 and 2024 is summarized in the following table (in thousands):</w:t>
      </w:r>
    </w:p>
    <w:p>
      <w:pPr>
        <w:sectPr>
          <w:pgSz w:w="11900" w:h="16838" w:orient="portrait"/>
          <w:cols w:equalWidth="0" w:num="1">
            <w:col w:w="10660"/>
          </w:cols>
          <w:pgMar w:left="320" w:top="225" w:right="91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25" w:right="919" w:bottom="1440" w:gutter="0" w:footer="0" w:header="0"/>
          <w:type w:val="continuous"/>
        </w:sectPr>
      </w:pPr>
    </w:p>
    <w:bookmarkStart w:id="35" w:name="page36"/>
    <w:bookmarkEnd w:id="3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92,524</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(35,340)</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(47,991)</w:t>
            </w: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(83,331)</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6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(83,695)</w:t>
            </w:r>
          </w:p>
        </w:tc>
      </w:tr>
      <w:tr>
        <w:trPr>
          <w:trHeight w:val="21"/>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225" w:right="559" w:bottom="1440" w:gutter="0" w:footer="0" w:header="0"/>
        </w:sectPr>
      </w:pPr>
    </w:p>
    <w:p>
      <w:pPr>
        <w:spacing w:after="0" w:line="48"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Bitcoin Mining</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84,945</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(29,101)</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(37,495)</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19,378</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74,378</w:t>
            </w:r>
          </w:p>
        </w:tc>
      </w:tr>
      <w:tr>
        <w:trPr>
          <w:trHeight w:val="3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-1920875</wp:posOffset>
            </wp:positionV>
            <wp:extent cx="684911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-1577975</wp:posOffset>
            </wp:positionV>
            <wp:extent cx="684911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-1235075</wp:posOffset>
            </wp:positionV>
            <wp:extent cx="684911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-892175</wp:posOffset>
            </wp:positionV>
            <wp:extent cx="684911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-549275</wp:posOffset>
            </wp:positionV>
            <wp:extent cx="684911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-197485</wp:posOffset>
            </wp:positionV>
            <wp:extent cx="684911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21590</wp:posOffset>
            </wp:positionV>
            <wp:extent cx="684911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34290</wp:posOffset>
            </wp:positionV>
            <wp:extent cx="684911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before taxes</w:t>
      </w:r>
    </w:p>
    <w:p>
      <w:pPr>
        <w:spacing w:after="0" w:line="327" w:lineRule="exact"/>
        <w:rPr>
          <w:sz w:val="20"/>
          <w:szCs w:val="20"/>
          <w:color w:val="auto"/>
        </w:rPr>
      </w:pPr>
    </w:p>
    <w:p>
      <w:pPr>
        <w:ind w:left="500" w:hanging="251"/>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gains.</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67" w:lineRule="exact"/>
        <w:rPr>
          <w:sz w:val="20"/>
          <w:szCs w:val="20"/>
          <w:color w:val="auto"/>
        </w:rPr>
      </w:pPr>
    </w:p>
    <w:p>
      <w:pPr>
        <w:ind w:left="869" w:hanging="869"/>
        <w:spacing w:after="0"/>
        <w:tabs>
          <w:tab w:leader="none" w:pos="8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1405890</wp:posOffset>
            </wp:positionV>
            <wp:extent cx="9175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74,378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(43,763)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30,615</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1,839</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(772)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ind w:left="869" w:hanging="869"/>
        <w:spacing w:after="0"/>
        <w:tabs>
          <w:tab w:leader="none" w:pos="8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60325</wp:posOffset>
            </wp:positionV>
            <wp:extent cx="91757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816" w:lineRule="exact"/>
        <w:rPr>
          <w:sz w:val="20"/>
          <w:szCs w:val="20"/>
          <w:color w:val="auto"/>
        </w:rPr>
      </w:pPr>
    </w:p>
    <w:p>
      <w:pPr>
        <w:sectPr>
          <w:pgSz w:w="11900" w:h="16838" w:orient="portrait"/>
          <w:cols w:equalWidth="0" w:num="2">
            <w:col w:w="9420" w:space="171"/>
            <w:col w:w="1429"/>
          </w:cols>
          <w:pgMar w:left="320" w:top="225" w:right="559" w:bottom="1440" w:gutter="0" w:footer="0" w:header="0"/>
          <w:type w:val="continuous"/>
        </w:sectPr>
      </w:pP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w:t>
      </w:r>
    </w:p>
    <w:p>
      <w:pPr>
        <w:sectPr>
          <w:pgSz w:w="11900" w:h="16838" w:orient="portrait"/>
          <w:cols w:equalWidth="0" w:num="1">
            <w:col w:w="11020"/>
          </w:cols>
          <w:pgMar w:left="320" w:top="225" w:right="5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25" w:right="559" w:bottom="1440" w:gutter="0" w:footer="0" w:header="0"/>
          <w:type w:val="continuous"/>
        </w:sectPr>
      </w:pPr>
    </w:p>
    <w:bookmarkStart w:id="36" w:name="page37"/>
    <w:bookmarkEnd w:id="3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period in which they occur. The Company recorded an income tax expense of approximately 2.0% of loss before taxes for the three months ended June 30, 2025 and 3.6% of loss before taxes for the three months ended June 30, 2024, and 1.3% of loss before taxes for the six months ended June 30, 2025 and 19.8% of income before taxes for the six months ended June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No subsequent events have been identified other than those disclosed in these condensed consolidated financial statements except for the following:</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President Donald Trump signed the “One Big Beautiful Bill Act” (OBBBA) into law, which is considered the enactment date under U.S. GAAP. Key corporate tax provisions include the restoration of 100% bonus depreciation, immediate expensing for domestic research and experimental expenditures, changes to Section 163(j) interest limitations, updates to GILTI and FDII rules, and expanded Section 162(m) aggregation requirements. In accordance with ASC 740, the effects of the new tax law will be recognized in the period of enactment. The Company is currently evaluating the impact of the OBBBA, and an estimate of the financial effect is not yet available.</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7" w:name="page38"/>
    <w:bookmarkEnd w:id="3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II, Item 1A, “Risk Factors” and other factors set forth in other parts of this Quarterly Report.</w:t>
      </w:r>
    </w:p>
    <w:p>
      <w:pPr>
        <w:spacing w:after="0" w:line="156"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Mining,” “we,” “us” or “our” refers to Cipher Mining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develop and operate industrial-scale data centers. Our active portfolio and development pipeline is expected to consist of more than 3.0 GW of capacity across 11 sites. We currently operate two wholly-owned bitcoin mining data centers, a 207 MW site located in Odessa, Texas that draws fixed priced power from a power purchase agreement with its electricity provider (the “Odessa Facility”), and a 300 MW data center in Wink, Texas, of which 150 MW is operational as a bitcoin mining data center, that draws power from the power grid (the “Black Pearl Facility”), have equity investments in three partially-owned 40 MW bitcoin mining data centers, and have a pipeline of approximately 2.6 GW of potential capacity across seven sites in Texas. As we develop the sites in our pipeline and source future sites, locations and partnerships, we evaluate their suitability for either bitcoin mining or high-performance computing (“HPC”).</w:t>
      </w:r>
    </w:p>
    <w:p>
      <w:pPr>
        <w:spacing w:after="0" w:line="1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current intention is to continue expanding our business by developing and operating industrial-scale data centers for bitcoin mining and HPC, expanding capacity at our current data centers, continuing to execute our treasury management strategy and entering into other strategic arrangements, such as joint ventures, data center hosting and leasing agreements, or software licensing arrangements. We aim to be a market leader in innovation, including in bitcoin mining growth, data center construction and as a hosting partner to HPC companies.</w:t>
      </w:r>
    </w:p>
    <w:p>
      <w:pPr>
        <w:spacing w:after="0" w:line="153"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As of July 31, 2025, the hashrate capacity of the Odessa Facility was approximately 11.3 EH/s and the hashrate capacity of the Black Pearl Facility was approximately 6.9 EH/s. Our joint ventures, in which we have a 49% equity interest, have a combined hashrate capacity of approximately 4.4 EH/s.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May 16, 2025, we amended our Future Sales and Purchase Agreement with Bitmain to reduce the total amount due to Bitmain, accelerate payments thereunder, and provide us with call options to purchase bitcoin. Refer to Note 6 - Deposits on equipment in the notes to our condensed consolidated financial statements included in this Quarterly Report, for further information. By prepaying those obligations that would come due between May and November, we reduced the cost of miners purchased for Phase I of the Black Pearl data center, and offset a portion of expected tariffs.</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22, 2025, we issued an aggregate principal amount of $172.5 million of 1.75% Convertible Senior Notes due 2030 (the “2030 Notes”). Refer to Note 14 - Debt in the notes to our Consolidated Financial Statements included in this Quarterly Report, for further information. With the net proceeds of the 2030 Notes, we completed Phase 1 of the Black Pearl Facility.</w:t>
      </w:r>
    </w:p>
    <w:p>
      <w:pPr>
        <w:spacing w:after="0" w:line="13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June 2025, we energized and commenced bitcoin mining operations at Phase I of the Black Pearl facility. As of July 31, 2025, the facility is delivering approximately 6.9 EH/s of self-mining capacity.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22, 2025, we terminated the Board Observer Agreement with Bitfury Top HoldCo B.V. and Bitfury Holding B.V.</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2024 Form 10-K. Our financial position and results of operations depend to a significant extent on those factors.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Inventory</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inventory for the six months ended June 30, 2025,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67,270</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loan payments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(121,352)</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8,557</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gains on bitcoin</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on bitcoin transferred to collateral, net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40,925</w:t>
            </w: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components of our results of operations, refer to the “Management’s Discussion and Analysis of Financial Condition and Results of Operations” section of our 2024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4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4260" w:type="dxa"/>
            <w:vAlign w:val="bottom"/>
          </w:tcPr>
          <w:p>
            <w:pPr>
              <w:spacing w:after="0"/>
              <w:rPr>
                <w:sz w:val="19"/>
                <w:szCs w:val="19"/>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6"/>
        </w:trPr>
        <w:tc>
          <w:tcPr>
            <w:tcW w:w="42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43,565</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84,945</w:t>
            </w:r>
          </w:p>
        </w:tc>
      </w:tr>
      <w:tr>
        <w:trPr>
          <w:trHeight w:val="213"/>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(29,101)</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(29,321)</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(9,078)</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(14,442)</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(87,553)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(37,495)</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asset</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21,980</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29,339</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income of equity investees</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19,378</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(losses) gains on sale of bitcoin</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237"/>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losses</w:t>
            </w: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(88,808)</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(52,979)</w:t>
            </w:r>
          </w:p>
        </w:tc>
        <w:tc>
          <w:tcPr>
            <w:tcW w:w="1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(175,855)</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(54,330)</w:t>
            </w:r>
          </w:p>
        </w:tc>
      </w:tr>
      <w:tr>
        <w:trPr>
          <w:trHeight w:val="237"/>
        </w:trPr>
        <w:tc>
          <w:tcPr>
            <w:tcW w:w="4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 income</w:t>
            </w: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(45,243)</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(16,171)</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(83,331)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30,615</w:t>
            </w:r>
          </w:p>
        </w:tc>
      </w:tr>
      <w:tr>
        <w:trPr>
          <w:trHeight w:val="230"/>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5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33"/>
        </w:trPr>
        <w:tc>
          <w:tcPr>
            <w:tcW w:w="4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4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w:t>
            </w: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37"/>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43"/>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income before taxes</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(14,763)</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30,701</w:t>
            </w:r>
          </w:p>
        </w:tc>
      </w:tr>
      <w:tr>
        <w:trPr>
          <w:trHeight w:val="233"/>
        </w:trPr>
        <w:tc>
          <w:tcPr>
            <w:tcW w:w="4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46"/>
        </w:trPr>
        <w:tc>
          <w:tcPr>
            <w:tcW w:w="4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r>
      <w:tr>
        <w:trPr>
          <w:trHeight w:val="236"/>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(6,092)</w:t>
            </w:r>
          </w:p>
        </w:tc>
      </w:tr>
      <w:tr>
        <w:trPr>
          <w:trHeight w:val="268"/>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(15,291)</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June 30,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June 30, 2025 was $43.6 million compared to $36.8 million for the three months ended June 30, 2024 and was generated from bitcoin mining operations at the Odessa and Black Pearl Facilities. The increase year over year was primarily driven by higher bitcoin prices in the current quarter compared to the prior year quarter, partially offset by less bitcoin mined as a result of the halving in April of 2024, which reduced the bitcoin received for mining a block from 6.25 bitcoin to 3.125 bitcoin.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June 30, 2025 was $15.3 million, compared with $14.3 million for the three months ended June 30, 2024, and consisted primarily of power costs at the Odessa Facility under the Luminant Power Agreement. The increase in the three months ended June 30, 2025 is driven primarily by additional power costs from the energization of the Black Pearl and Barber Lake facilities in the second quarter of 2025.</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Compensation and benefits for the three months ended June 30, 2025 was $15.7 million, a decrease of $0.6 million compared to $16.3 million for the three months ended June 30, 2024. The decrease was primarily due to the expiration of the expense on certain Share-based compensation awards in the first quarter of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to $9.1 million during the three months ended June 30, 2025 from $8.4 million for the three months ended June 30, 2024. The increase was primarily driven by an increase in legal fees related to strategic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Depreciation for the three months ended June 30, 2025 was $44.1 million, an increase of $23.8 million compared to Depreciation and amortization of $20.3 million for the three months ended June 30, 2024. The increase was primarily due to additional depreciation expense on miners acquired as part of the Odessa fleet upgrade.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$15.5 million loss for the three months ended June 30, 2025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At the Odessa Facility we sold excess electricity that was available under the Luminant Power Agreement back to the ERCOT market through Luminant. We sold power for proceeds of $1.4 million and $1.1 million for the three months ended June 30, 2025, and 2024, respectively. Power sales fluctuate each period based on power and bitcoin prices which are both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Equity in losses of equity investees totaled $1.7 million for the three months ended June 30, 2025 compared to losses of $0.6 million for the three months ended June 30, 2024. Equity in losses of equity investees consists of our 49% 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Unrealized gains on fair value of bitcoin totaled $17.1 million for the three months ended June 30, 2025, compared to losses of $21.2 million for the three months ended June 30, 2024. Unrealized (losses) gains on fair value of bitcoin is driven by the cost of bitcoin mined compared to the price of bitcoin at the end of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(losses) gains on sale of bitcoin</w:t>
      </w:r>
    </w:p>
    <w:p>
      <w:pPr>
        <w:spacing w:after="0" w:line="20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Realized losses on sale of bitcoin totaled $3.6 million for the three months ended June 30, 2025 compared to gains of $4.9 million for the three months ended June 30, 2024. Realized gains and losses on sale of bitcoin is a result of selling bitcoin at prices different from the cost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Other income totaled $0.4 million for the three months ended June 30, 2025, compared to Other expense of $1.4 million for three months ended June 30, 2024. The decrease is primarily related to interest expense incurred from the Coinbase Loan Facility and the 2030 Convertible Note issuance in the current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for income taxes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2025, we recorded a benefit for income taxes of $0.9 million primarily driven by net losses in the current period. For the three months ended June 30, 2024, we recorded a benefit for income taxes of $0.5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Six Months Ended June 30,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ind w:right="180" w:firstLine="648"/>
        <w:spacing w:after="0" w:line="289" w:lineRule="auto"/>
        <w:rPr>
          <w:sz w:val="20"/>
          <w:szCs w:val="20"/>
          <w:color w:val="auto"/>
        </w:rPr>
      </w:pPr>
      <w:r>
        <w:rPr>
          <w:rFonts w:ascii="Times New Roman" w:cs="Times New Roman" w:eastAsia="Times New Roman" w:hAnsi="Times New Roman"/>
          <w:sz w:val="17"/>
          <w:szCs w:val="17"/>
          <w:color w:val="auto"/>
        </w:rPr>
        <w:t>Revenue for the six months ended June 30, 2025 was $92.5 million, compared to $84.9 million for the six months ended June 30, 2024, and was generated from bitcoin mining operations at the Odessa and Black Pearl Facilities. The increase year over year was primarily driven by an increase in the average bitcoin price in the current year, partially offset by a decrease in the amount of bitcoin mined as a result of the bitcoin halving in April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Cost of revenue for the six months ended June 30, 2025 was $30.2 million, compared with $29.1 million for the six months ended June 30, 2024, and consisted primarily of power costs at the Odessa Facility. The increase is primarily due to power draw at the Black Pearl and Barber Lake Facilities .</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six months ended June 30, 2025 was $30.0 million, compared to $29.3 million for the six months ended June 30, 2024. The increase was primarily due to an increase in headcount year-over-year.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for the six months ended June 30, 2025 was $18.0 million, an increase of $3.6 million compared to $14.4 million for the six months ended June 30, 2024. The increase was primarily driven by an increase in legal fees related to strategic initiatives.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six months ended June 30, 2025 was $87.6 million, an increase of $50.1 million compared to Depreciation and amortization of $37.5 million for the six months ended June 30, 2024. The increase was primarily due to increased miners, and mining equipment at the Odessa Facility as a result of the Odessa fleet upgrade in the fourth quarter of 2024, as well as the change in the estimated useful life of our miners from five years to three years as of June 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asset</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Change in fair value of derivative asset was a $8.2 million decrease for the six months ended June 30, 2025 and was driven by the fair value of the Luminant Power Agreement. The estimated fair value of our derivative asset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At our Odessa Facility, we sell excess electricity that was available under the Luminant Power Agreement, but not needed in our mining operations, back to the ERCOT market through Luminant. We sold power for proceeds of $2.4 million and $2.3 million for the six months ended June 30, 2025, and 2024, respectively. Power sales fluctuate each period based on power and bitcoin prices, which are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income (losses) of equity investees</w:t>
      </w:r>
    </w:p>
    <w:p>
      <w:pPr>
        <w:spacing w:after="0" w:line="2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Equity in losses of equity investees totaled $7.0 million for the six months ended June 30, 2025 compared to income of $0.2 million for the six months ended June 30, 2024. Equity in losses of equity investees consists of our 49%</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share in the earnings (losses) generated by our three partially-owned mining sites, and the accretion of the basis differences in our investments in the equity investees that resulted from contributions of miners during the year ended December 31, 2022. We are accreting these basis differences over the five-year useful life of the miners. For the six months ended June 30, 2025, we recognized roughly $4 million as our 49% share of a one-time impairment charge on the miners of Alborz LLC, net of accretion.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Unrealized losses on fair value of bitcoin totaled $3.0 million for the six months ended June 30, 2025, compared to Unrealized gains on fair value of bitcoin of $19.4 million for the six months ended June 30, 2024. Unrealized (losses) gains on fair value of bitcoin is driven by the cost of bitcoin mined compared to the price of bitcoin at the end of the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on sale of bitcoin</w:t>
      </w:r>
    </w:p>
    <w:p>
      <w:pPr>
        <w:spacing w:after="0" w:line="187"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Realized gains on sale of bitcoin totaled $8.6 million for the six months ended June 30, 2025 compared to $4.9 million in the prior year period. In both periods, this is driven by selling bitcoin above our cost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20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Other expense totaled $0.4 million for the six months ended June 30, 2025, compared to $0.1 million of Other income for the six months ended June 30, 2024. The increase of Other expense in the current year is driven primarily from an increase in interest expense related to the Coinbase Loan Facility and the 2030 Convertible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8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2025, we recorded a provision for income taxes of $1.1 million as a result of projected income for the current year in the jurisdictions which we operate. For the six months ended June 30, 2024, we recorded a provision for income taxes of $6.1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had cash used in operations of $103.5 million for the six months ended June 30, 2025. As of June 30, 2025, we had cash and cash equivalents of $62.7 million, total stockholders’ equity of $748.9 million and an accumulated deficit of $266.2 million. We fund operations primarily through a combination of at-the-market stock issuances, short-term and long-term financing arrangements, and bitcoin sales.</w:t>
      </w:r>
    </w:p>
    <w:p>
      <w:pPr>
        <w:spacing w:after="0" w:line="135"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established an at-the-market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three months ended June 30, 2025, we received net proceeds on sales of 14.2 million shares of common stock under the Amended and Restated Sales Agreement of approximately $51.5 million (net of commissions and expenses) at an average net selling price of $3.63 per share. For more information on our at-the-market sales agreement and our at-the-market offerings, see </w:t>
      </w:r>
      <w:r>
        <w:rPr>
          <w:rFonts w:ascii="Times New Roman" w:cs="Times New Roman" w:eastAsia="Times New Roman" w:hAnsi="Times New Roman"/>
          <w:sz w:val="18"/>
          <w:szCs w:val="18"/>
          <w:i w:val="1"/>
          <w:iCs w:val="1"/>
          <w:color w:val="auto"/>
        </w:rPr>
        <w:t>Note 15. Stockholders’ Equity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a master loan agreement with Coinbase Credit, Inc., as lender, and Coinbase, Inc., as lending service provider. Pursuant to the master loan agreement, we currently have a secured line of credit up to $25.0 million (the “Coinbase Overnight Credit Facility”).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June 30, 2025 we had nothing drawn on the Coinbase Overnight Credit Facility. Additionally, we have a term loan facility with Coinbase with a limit of $35.0 million and maximum period of one year (the “Term Loan Facility”). As of June 30, 2025, we were in compliance with the covenants under the Coinbase Overnight Credit Facility.</w:t>
      </w:r>
    </w:p>
    <w:p>
      <w:pPr>
        <w:spacing w:after="0" w:line="15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enter into agreements with Luxor Technology Corporation (“Luxor”) when needed to borrow bitcoin for short-term periods, which we are able to use as a source of short-term financing.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May 22, 2025, we issued $172.5 million principal amount of convertible notes due in 2030 with an interest rate of 1.75% (the “2030 Convertible Notes”). The 2030 Convertible Notes are senior, unsecured obligations with interest due semiannually on May 15 and November 15 each year beginning on November 15, 2025. For more information on our 2030 Convertible Notes, see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condensed consolidated financial statements included in this Quarterly Report are issued and the foreseeable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764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(103,455)</w:t>
            </w:r>
          </w:p>
        </w:tc>
        <w:tc>
          <w:tcPr>
            <w:tcW w:w="10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(51,988)</w:t>
            </w:r>
          </w:p>
        </w:tc>
      </w:tr>
      <w:tr>
        <w:trPr>
          <w:trHeight w:val="243"/>
        </w:trPr>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(62,313)</w:t>
            </w:r>
          </w:p>
        </w:tc>
      </w:tr>
      <w:tr>
        <w:trPr>
          <w:trHeight w:val="27"/>
        </w:trPr>
        <w:tc>
          <w:tcPr>
            <w:tcW w:w="7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6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271,044</w:t>
            </w:r>
          </w:p>
        </w:tc>
        <w:tc>
          <w:tcPr>
            <w:tcW w:w="100" w:type="dxa"/>
            <w:vAlign w:val="bottom"/>
            <w:tcBorders>
              <w:bottom w:val="single" w:sz="8" w:color="CCECFF"/>
            </w:tcBorders>
            <w:shd w:val="clear" w:color="auto" w:fill="CCECFF"/>
          </w:tcPr>
          <w:p>
            <w:pPr>
              <w:spacing w:after="0"/>
              <w:rPr>
                <w:sz w:val="23"/>
                <w:szCs w:val="23"/>
                <w:color w:val="auto"/>
              </w:rPr>
            </w:pP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150,753</w:t>
            </w:r>
          </w:p>
        </w:tc>
      </w:tr>
      <w:tr>
        <w:trPr>
          <w:trHeight w:val="237"/>
        </w:trPr>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36,452</w:t>
            </w:r>
          </w:p>
        </w:tc>
      </w:tr>
      <w:tr>
        <w:trPr>
          <w:trHeight w:val="27"/>
        </w:trPr>
        <w:tc>
          <w:tcPr>
            <w:tcW w:w="76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increased by $51.5 million to $103.5 million for the six months ended June 30, 2025 from $52.0 million for the six months ended June 30, 2024. We incurred a net loss of $84.8 million for the six months ended June 30, 2025, compared to net income of</w:t>
      </w:r>
    </w:p>
    <w:p>
      <w:pPr>
        <w:ind w:right="40"/>
        <w:spacing w:after="0" w:line="253" w:lineRule="auto"/>
        <w:rPr>
          <w:sz w:val="20"/>
          <w:szCs w:val="20"/>
          <w:color w:val="auto"/>
        </w:rPr>
      </w:pPr>
      <w:r>
        <w:rPr>
          <w:rFonts w:ascii="Times New Roman" w:cs="Times New Roman" w:eastAsia="Times New Roman" w:hAnsi="Times New Roman"/>
          <w:sz w:val="18"/>
          <w:szCs w:val="18"/>
          <w:color w:val="auto"/>
        </w:rPr>
        <w:t>$24.6 million for the six months ended June 30, 2024, representing a decrease of $109.4 million. Cash flows used in operating activities was impacted by a $96.7 million increase in non-cash items, primarily driven a $37.5 million increase in the fair value of derivative asset, an $18.7 million increase in gains on the fair value of bitcoin, and a $50.0 million increase in depreciation. Additionally, changes in assets and liabilities resulted in an increase in cash used of $38.8 million between the six months ended June 30,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increased by $48.2 million to $110.5 million of net cash used in investing activities for the six months ended June 30, 2025 compared to $62.3 million of net cash used in investing activities for the six months ended June 30, 2024. This change primarily related to a $126.6 million increase in deposits related to new miner purchases, and a $40.1 million increase in purchases of Property and equipment related to building out the Black Pearl facility, partially offset by an increase of $111.0 million of proceeds from sale of Bitcoin, and a $7.6 million decrease in contributions to equity investees related to our joint ventures.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Cash flows provided by financing activities increased by $120.3 million to $271.0 million net cash provided by financing activities for the six months ended June 30, 2025 from $150.8 million net cash provided by financing activities for the six months ended June 30, 2024. This change was primarily driven by a $50.0 million increase in proceeds from treasury stock reissued for PIPE investment and a $167.1 million increase in proceeds from issuance of convertible notes, net of issuance costs, partially offset by a $76.5 million decrease in proceeds from the issuance of common stock during the six months ended June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office space, amended in the second quarter of 2024, with a term through May 2029. Monthly rent payments associated with the amended lease are approximately $0.2 million.</w:t>
      </w:r>
    </w:p>
    <w:p>
      <w:pPr>
        <w:spacing w:after="0" w:line="13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entered into a series of agreements with affiliates of Luminant ET Services Company LLC ( “Luminant”), including the Lease Agreement dated June 29, 2021, with amendment and restatement on July 9, 2021 (as amended and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4" w:name="page45"/>
    <w:bookmarkEnd w:id="44"/>
    <w:p>
      <w:pPr>
        <w:spacing w:after="0" w:line="1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(collectively, the “Combined Luminant Lease Agreement”) and that amounts exchanged under the combined contract should be allocated to the various components of the overall transaction based on relative fair values.</w:t>
      </w:r>
    </w:p>
    <w:p>
      <w:pPr>
        <w:spacing w:after="0" w:line="14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consolidated balance sheet.</w:t>
      </w:r>
    </w:p>
    <w:p>
      <w:pPr>
        <w:spacing w:after="0" w:line="15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condensed consolidated financial statements.</w:t>
      </w:r>
    </w:p>
    <w:p>
      <w:pPr>
        <w:spacing w:after="0" w:line="13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Earnings (Loss) and Adjusted Earnings (Loss) per share - diluted, in each case that exclude the impact of (i) the non-cash change in fair value of derivative asset, (ii) share-based compensation expense, (iii) depreciation and amortization, (iv) deferred income tax expense, (v) nonrecurring gains and losses and (vi) the non-cash change in fair value of warrant liability. These supplemental financial measures are not measurements of financial performance under accounting principles generally accepted in the United States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1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51"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to the most directly comparable GAAP measure for the periods indicated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9"/>
                <w:szCs w:val="19"/>
                <w:color w:val="auto"/>
              </w:rPr>
            </w:pPr>
          </w:p>
        </w:tc>
        <w:tc>
          <w:tcPr>
            <w:tcW w:w="264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52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24,609</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43"/>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21,654</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37,495</w:t>
            </w:r>
          </w:p>
        </w:tc>
      </w:tr>
      <w:tr>
        <w:trPr>
          <w:trHeight w:val="243"/>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r>
      <w:tr>
        <w:trPr>
          <w:trHeight w:val="27"/>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 nonrecurring</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5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earnings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Earnings (loss) per share - diluted to the most directly comparable GAAP measure for the periods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20" w:type="dxa"/>
            <w:vAlign w:val="bottom"/>
          </w:tcPr>
          <w:p>
            <w:pPr>
              <w:spacing w:after="0"/>
              <w:rPr>
                <w:sz w:val="19"/>
                <w:szCs w:val="19"/>
                <w:color w:val="auto"/>
              </w:rPr>
            </w:pPr>
          </w:p>
        </w:tc>
        <w:tc>
          <w:tcPr>
            <w:tcW w:w="2640" w:type="dxa"/>
            <w:vAlign w:val="bottom"/>
            <w:gridSpan w:val="4"/>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37"/>
        </w:trPr>
        <w:tc>
          <w:tcPr>
            <w:tcW w:w="5240" w:type="dxa"/>
            <w:vAlign w:val="bottom"/>
            <w:tcBorders>
              <w:bottom w:val="single" w:sz="8" w:color="CCEEFF"/>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Adjusted Earnings per share - diluted:</w:t>
            </w: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asset per diluted share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per diluted share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per diluted share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 per diluted share</w:t>
            </w:r>
          </w:p>
        </w:tc>
        <w:tc>
          <w:tcPr>
            <w:tcW w:w="90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losses - nonrecurring per diluted share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 per diluted share</w:t>
            </w:r>
          </w:p>
        </w:tc>
        <w:tc>
          <w:tcPr>
            <w:tcW w:w="90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(loss) per diluted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Policies and Estimates" of Part II, Item 7 "Management's Discussion and Analysis of Financial Condition and Results of Operations" in our 2024 Form 10-K. During the three months ended June 30, 2025, there were no significant changes in our critical accounting policies and estimates or the application or the results of the application of those policies to our unaudited condensed consolidated financial statements from those previously disclosed in our 2024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pronouncements applicable to us, adopted and not yet adopted as of the date of this report, is included in Note 2 to our unaudited condensed consolidated financial statements located in “Part I - Financial Information, Item 1. Financial Statements” in this Quarterly Report.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Quarterly Report, see the Cautionary Note Regarding Forward-Looking Statements at the forepart of this Quarterly Report.</w:t>
      </w:r>
    </w:p>
    <w:p>
      <w:pPr>
        <w:spacing w:after="0" w:line="13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primary market risks are described below. We use various strategies to manage these risks; however, they may still from time to time impact our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Price Risk</w:t>
      </w:r>
    </w:p>
    <w:p>
      <w:pPr>
        <w:spacing w:after="0" w:line="18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hold bitcoin on our inventory at fair value, and as such we are exposed to the impact of the change in bitcoin price. As of June 30, 2025, we had 1,046 bitcoin in inventory. A 10% decrease in the price of bitcoin would result in an estimated $11.2 million increase in Net loss for the six months ended June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Price Risk</w:t>
      </w:r>
    </w:p>
    <w:p>
      <w:pPr>
        <w:spacing w:after="0" w:line="20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estimated fair value of our Derivative asset related to our power purchase agreement is derived from Level 2 and Level 3 inputs. Specifically, the discounted cash flow estimation models contain quoted spot and forward prices for electricity. A 10% decrease in power prices would result in an estimated $14.8 million decrease in the estimated fair value of the Derivative asset and increase in Net loss for the six months ended June 30, 2025.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by Rules 13a-15(e) and 15d-15(e) of the Exchange Act, as of June 30, 2025, the end of the period covered by this Quarterly Report. This evaluation was done under the supervision and with the participation of management, including our Chief Executive Officer and Chief Financial Officer.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not effective at the reasonable assurance level as of June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Material Weakness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noted in the 2024 Form 10-K, during management’s assessment of internal controls over financial reporting, a material weakness was identified related to certain Information Technology General Controls (“ITGCs”) over change management controls.</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management is responsible for maintaining effective internal control over financial reporting, and for its assessment of the effectiveness of internal control over financial reporting, we understand the importance of developing a resolution plan aligned with management and overseen by the Audit Committee of our Board of Directors.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the material weakness related to certain ITGCs over change management controls and lack of related compensating automated process-level and manual controls was identified, management began implementing and has continued to implement and refine measures designed to ensure that control deficiencies contributing to the material weakness are remediated, such that these controls are designed, implemented, and operating effectively. During the three months ended June 30, 2025, management continued implementing its enhanced program change management controls for certain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47" w:name="page48"/>
    <w:bookmarkEnd w:id="47"/>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systems impacting the Company’s processes around revenue recognition and design of manual key reconciliation processes. The Company continued to make progress but work still remains to ensure reliability of such controls. Our plan continues to include the following, and management will continue to assess additional opportunities for remediation on an ongoing basis:</w:t>
      </w:r>
    </w:p>
    <w:p>
      <w:pPr>
        <w:spacing w:after="0" w:line="176" w:lineRule="exact"/>
        <w:rPr>
          <w:sz w:val="20"/>
          <w:szCs w:val="20"/>
          <w:color w:val="auto"/>
        </w:rPr>
      </w:pPr>
    </w:p>
    <w:p>
      <w:pPr>
        <w:ind w:left="1300" w:right="260" w:hanging="942"/>
        <w:spacing w:after="0" w:line="282" w:lineRule="auto"/>
        <w:tabs>
          <w:tab w:leader="none" w:pos="12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advancing our remediation efforts by devoting resources throughout 2025 to key areas of financial reporting and information technology.</w:t>
      </w:r>
    </w:p>
    <w:p>
      <w:pPr>
        <w:spacing w:after="0" w:line="53" w:lineRule="exact"/>
        <w:rPr>
          <w:rFonts w:ascii="Times New Roman" w:cs="Times New Roman" w:eastAsia="Times New Roman" w:hAnsi="Times New Roman"/>
          <w:sz w:val="18"/>
          <w:szCs w:val="18"/>
          <w:color w:val="auto"/>
        </w:rPr>
      </w:pPr>
    </w:p>
    <w:p>
      <w:pPr>
        <w:ind w:left="1300" w:right="580" w:hanging="942"/>
        <w:spacing w:after="0" w:line="282" w:lineRule="auto"/>
        <w:tabs>
          <w:tab w:leader="none" w:pos="12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engagement with advisory firms to support the evaluation and enhancement of the Company’s controls related to the material weakness described above.</w:t>
      </w:r>
    </w:p>
    <w:p>
      <w:pPr>
        <w:spacing w:after="0" w:line="53" w:lineRule="exact"/>
        <w:rPr>
          <w:rFonts w:ascii="Times New Roman" w:cs="Times New Roman" w:eastAsia="Times New Roman" w:hAnsi="Times New Roman"/>
          <w:sz w:val="18"/>
          <w:szCs w:val="18"/>
          <w:color w:val="auto"/>
        </w:rPr>
      </w:pPr>
    </w:p>
    <w:p>
      <w:pPr>
        <w:ind w:left="1300" w:right="300" w:hanging="942"/>
        <w:spacing w:after="0" w:line="282" w:lineRule="auto"/>
        <w:tabs>
          <w:tab w:leader="none" w:pos="12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 and refine processes and controls and engage external resources as needed to ensure that controls are appropriately designed, implemented, and operating effectively.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that the material weakness in our internal control over financial reporting will not be considered remediated until the remediated controls operate for a sufficient period of time and can be tested and concluded by management to be designed and operating effectively. Because our remediation efforts involve our outsourced service providers, we cannot provide any assurance that these remediation efforts will be successful or that our internal control over financial reporting will be effective as a result of these efforts.</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evaluate and work to improve our internal control over financial reporting related to the identified material weakness and management may determine to take additional measures to address control deficiencies or determine to modify the remediation plan described above. In addition, we report the progress and status of the above remediation efforts to the Audit Committee on a periodic basis.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(as defined in Rules 13a-15(f) and 15d-15(f) under the Exchange Act) during the three months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48" w:name="page49"/>
    <w:bookmarkEnd w:id="48"/>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 There have been no material changes to such proceedings previously disclosed in our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300"/>
        <w:spacing w:after="0" w:line="289" w:lineRule="auto"/>
        <w:rPr>
          <w:sz w:val="20"/>
          <w:szCs w:val="20"/>
          <w:color w:val="auto"/>
        </w:rPr>
      </w:pPr>
      <w:r>
        <w:rPr>
          <w:rFonts w:ascii="Times New Roman" w:cs="Times New Roman" w:eastAsia="Times New Roman" w:hAnsi="Times New Roman"/>
          <w:sz w:val="17"/>
          <w:szCs w:val="17"/>
          <w:color w:val="auto"/>
        </w:rPr>
        <w:t>Our business, financial condition and operating results can be affected by a number of factors, whether currently known or unknown, including but not limited to the risk factors as previously disclosed in Part I, Item 1A, “Risk Factors” of our 2024 Form 10-K, which is incorporated herein by reference. Other than the additional risk factors herein, there have been no material changes to the risk factors previously disclosed in our 2024 Form 10-K.</w:t>
      </w:r>
    </w:p>
    <w:p>
      <w:pPr>
        <w:spacing w:after="0" w:line="12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2030 Notes.</w:t>
      </w:r>
    </w:p>
    <w:p>
      <w:pPr>
        <w:spacing w:after="0" w:line="1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incurred $172.5 million principal amount of additional indebtedness as a result of the 2030 Notes offering completed in May 2025.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8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2030 Notes;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2030 Notes, and our cash needs may increase in the future. In addition,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5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raise the funds necessary to repurchase the 2030 Notes for cash following a fundamental change or on a specified optional repurchase date or to pay any cash amounts due upon maturity or conversion of the 2030 Notes, and our other indebtedness may limit our ability to repurchase the 2030 Notes or to pay any cash amounts due upon their maturity or conversion.</w:t>
      </w:r>
    </w:p>
    <w:p>
      <w:pPr>
        <w:spacing w:after="0" w:line="1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Holders of the 2030 Notes may, subject to limited exceptions, require us to repurchase their 2030 Notes on May 15, 2028, and following a fundamental change, at a cash repurchase price generally equal to the principal amount of the 2030 Notes to be repurchased, plus accrued and unpaid interest, if any. Upon maturity of the 2030 Notes, we must pay their principal amount and accrued and unpaid interest in cash, unless they have been previously repurchased, redeemed or converted.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2030 Notes or pay any cash amounts due upon their maturity or conversion. In</w:t>
      </w:r>
    </w:p>
    <w:p>
      <w:pPr>
        <w:spacing w:after="0" w:line="200" w:lineRule="exact"/>
        <w:rPr>
          <w:sz w:val="20"/>
          <w:szCs w:val="20"/>
          <w:color w:val="auto"/>
        </w:rPr>
      </w:pPr>
    </w:p>
    <w:p>
      <w:pPr>
        <w:spacing w:after="0" w:line="3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9" w:name="page50"/>
    <w:bookmarkEnd w:id="49"/>
    <w:p>
      <w:pPr>
        <w:ind w:right="80"/>
        <w:spacing w:after="0" w:line="258" w:lineRule="auto"/>
        <w:rPr>
          <w:sz w:val="20"/>
          <w:szCs w:val="20"/>
          <w:color w:val="auto"/>
        </w:rPr>
      </w:pPr>
      <w:r>
        <w:rPr>
          <w:rFonts w:ascii="Times New Roman" w:cs="Times New Roman" w:eastAsia="Times New Roman" w:hAnsi="Times New Roman"/>
          <w:sz w:val="18"/>
          <w:szCs w:val="18"/>
          <w:color w:val="auto"/>
        </w:rPr>
        <w:t>addition, applicable law, regulatory authorities and the agreements that we may have in the future governing our other indebtedness may restrict our ability to repurchase the 2030 Notes or to pay any cash amounts due upon their maturity or conversion. Our failure to repurchase 2030 Notes or to pay any cash amounts due upon their maturity or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2030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the 2030 Notes indenture could delay or prevent an otherwise beneficial takeover of us.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Certain provisions in the 2030 Notes and related indenture could make a third-party attempt to acquire us more difficult or expensive. For example, if a takeover constitutes a fundamental change, then noteholders will have the right to require us to repurchase their 2030 Notes for cash. In addition, if a takeover constitutes a make-whole fundamental change, then we may be required to temporarily increase the conversion rate. In either case, and in other cases, our obligations under the 2030 Notes and the indenture could increase the cost of acquiring us or otherwise discourage a third party from acquiring us or removing incumbent management, including in a transaction that noteholders or holders of our common stock may view as favorable.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2030 Notes, if triggered, may adversely affect our financial condition and operating results.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2030 Notes is triggered, holders of such notes will be entitled to convert the 2030 Notes at any time during specified periods at their option. If one or more holders elect to convert their 2030 Notes, we may elect to settle all or a portion of our conversion obligation through the payment of cash, which could adversely affect our liquidity. In addition, even if holders do not elect to convert their 2030 Notes, we could be required under applicable accounting rules to reclassify all or a portion of the outstanding principal of the 2030 Notes as a current rather than long-term liability, which would result in a material reduction of our net working capital.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the 2030 Notes could adversely affect our reported financial condition and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method for the 2030 may adversely affect our reported earnings and financial condition.</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issuance costs for the 2030 Notes are treated as a debt discount for accounting purposes and will be amortized into interest expense over the term of the 2030 Notes. As a result of this amortization, the interest expense that we expect to recognize for the 2030 Notes for accounting purposes will be greater than the cash interest payments we will pay on the 2030 Notes, which will result in lower reported income.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if any of the conditions to the convertibility of the 2030 Notes is satisfied, then we may be required under applicable accounting standards to reclassify the liability carrying value of the 2030 Notes as a current, rather than a long-term, liability. This reclassification could be required even if no investors convert their 2030 Notes and could materially reduce our reported working capital.</w:t>
      </w:r>
    </w:p>
    <w:p>
      <w:pPr>
        <w:spacing w:after="0" w:line="14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shares of our common stock upon conversion of the 2030 Notes will dilute the ownership interests of our stockholders and could depress the trading price of our common stock.</w:t>
      </w:r>
    </w:p>
    <w:p>
      <w:pPr>
        <w:spacing w:after="0" w:line="11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Upon conversion of the 2030 Notes being offered in the 2030 Notes offering, we will satisfy part or all of our conversion obligations in shares of our common stock, unless we elect to settle conversions solely in cash. The issuance of shares of our common stock upon conversion of the 2030 Notes will dilute the ownership interests of our stockholders, which could depress the trading price of our common stock. In addition, the market’s expectation that conversions may occur could depress the trading price of our common stock even in the absence of actual conversions. Moreover, the expectation of conversions could encourage the short selling of our common stock, which could place further downward pressure on the trading price of our common stock.</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jc w:val="center"/>
        <w:ind w:right="86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1300" w:right="5560" w:hanging="644"/>
        <w:spacing w:after="0" w:line="461" w:lineRule="auto"/>
        <w:tabs>
          <w:tab w:leader="none" w:pos="8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300" w:right="2000" w:hanging="644"/>
        <w:spacing w:after="0" w:line="453" w:lineRule="auto"/>
        <w:tabs>
          <w:tab w:leader="none" w:pos="9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98" w:lineRule="exact"/>
        <w:rPr>
          <w:sz w:val="20"/>
          <w:szCs w:val="20"/>
          <w:color w:val="auto"/>
        </w:rPr>
      </w:pPr>
    </w:p>
    <w:p>
      <w:pPr>
        <w:ind w:left="660" w:firstLine="648"/>
        <w:spacing w:after="0" w:line="253" w:lineRule="auto"/>
        <w:rPr>
          <w:sz w:val="20"/>
          <w:szCs w:val="20"/>
          <w:color w:val="auto"/>
        </w:rPr>
      </w:pPr>
      <w:r>
        <w:rPr>
          <w:rFonts w:ascii="Times New Roman" w:cs="Times New Roman" w:eastAsia="Times New Roman" w:hAnsi="Times New Roman"/>
          <w:sz w:val="18"/>
          <w:szCs w:val="18"/>
          <w:color w:val="auto"/>
        </w:rPr>
        <w:t>Our officers and directors from time to time may adopt trading plans to transact in our common stock for a variety of reasons, including tax considerations, investment diversification, or other personal reasons. During the three months ended June 30, 2025, certain of our officers and directors adopted a pre-arranged stock trading plan intended to satisfy the affirmative defense of Rule 10b5-1(c) under the Securities Exchange Act of 1934, as amended (each such plan, a “Rule 10b5-1 Plan”), as described below. On May 12, 2025, Patrick Kelly, Co-President and Chief Operating Officer, adopted a Rule 10b5-1 Plan that is intended to satisfy the affirmative defense of Rule 10b5-1(c) for the sale of up to 414,204 shares of our common stock until August 7, 2026. On June 5, 2025, William Iwaschuk, Co-President, Chief Legal Officer and Corporate Secretary, adopted a Rule 10b5-1 Plan that is intended to satisfy the affirmative defense of Rule 10b5-1(c) for the sale of up to 487,956 shares of our common stock until May 8, 2026. No other directors or “officers” (as defined in Section 16a-1(f) of the Securities Exchange Act of 1934, as amended) adopted, terminated, or modified a “Rule 10b5-1 trading arrangement” or a “non-Rule 10b5-1 trading arrangement,” as each term is defined in Item 408(a) of Regulation S-K, during the three months ended June 30, 2025.</w:t>
      </w: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9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20"/>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300" w:type="dxa"/>
            <w:vAlign w:val="bottom"/>
            <w:tcBorders>
              <w:bottom w:val="single" w:sz="8" w:color="0000FF"/>
            </w:tcBorders>
            <w:gridSpan w:val="16"/>
          </w:tcPr>
          <w:p>
            <w:pPr>
              <w:spacing w:after="0"/>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Agreement and Plan of Merger, dated as of March 4, 2021, by and</w:t>
              </w:r>
            </w:hyperlink>
          </w:p>
        </w:tc>
        <w:tc>
          <w:tcPr>
            <w:tcW w:w="440" w:type="dxa"/>
            <w:vAlign w:val="bottom"/>
            <w:gridSpan w:val="9"/>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5"/>
          </w:tcPr>
          <w:p>
            <w:pPr>
              <w:spacing w:after="0" w:line="183"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among Good Works Acquisition Corp., Currency Merger Sub, Inc. and</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22"/>
          </w:tcPr>
          <w:p>
            <w:pPr>
              <w:spacing w:after="0" w:line="169"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Cipher Mining Technologies Inc.</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Second Amended and Restated Certificate of Incorporation of Cipher</w:t>
              </w:r>
            </w:hyperlink>
          </w:p>
        </w:tc>
        <w:tc>
          <w:tcPr>
            <w:tcW w:w="240" w:type="dxa"/>
            <w:vAlign w:val="bottom"/>
            <w:gridSpan w:val="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5"/>
          </w:tcPr>
          <w:p>
            <w:pPr>
              <w:spacing w:after="0" w:line="183"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Mining 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0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Amended and Restated Bylaws of Cipher Mining Inc.</w:t>
              </w:r>
            </w:hyperlink>
          </w:p>
        </w:tc>
        <w:tc>
          <w:tcPr>
            <w:tcW w:w="1240" w:type="dxa"/>
            <w:vAlign w:val="bottom"/>
            <w:gridSpan w:val="18"/>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8/31/21</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Specimen Warrant Certificate of Good Works Acquisition Corp.</w:t>
              </w:r>
            </w:hyperlink>
          </w:p>
        </w:tc>
        <w:tc>
          <w:tcPr>
            <w:tcW w:w="580" w:type="dxa"/>
            <w:vAlign w:val="bottom"/>
            <w:gridSpan w:val="13"/>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333-248333</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10/9/20</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5"/>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Warrant Agreement, dated as of October 19, 2020, by and between</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10/28/20</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tcBorders>
              <w:top w:val="single" w:sz="8" w:color="0000FF"/>
            </w:tcBorders>
            <w:gridSpan w:val="17"/>
          </w:tcPr>
          <w:p>
            <w:pPr>
              <w:spacing w:after="0" w:line="183"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Continental Stock Transfer &amp; Trust Company and Good Works</w:t>
              </w:r>
            </w:hyperlink>
          </w:p>
        </w:tc>
        <w:tc>
          <w:tcPr>
            <w:tcW w:w="42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Borders>
              <w:top w:val="single" w:sz="8" w:color="0000FF"/>
            </w:tcBorders>
            <w:gridSpan w:val="11"/>
          </w:tcPr>
          <w:p>
            <w:pPr>
              <w:spacing w:after="0" w:line="169"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Acquisition Corp.</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5"/>
          </w:tcPr>
          <w:p>
            <w:pPr>
              <w:spacing w:after="0"/>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Indenture, dated May 22, 2025, by and between Cipher Mining Inc.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4"/>
          </w:tcPr>
          <w:p>
            <w:pPr>
              <w:spacing w:after="0" w:line="183"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and U.S. Bank Trust Company, National Association, as Trustee.</w:t>
              </w:r>
            </w:hyperlink>
          </w:p>
        </w:tc>
        <w:tc>
          <w:tcPr>
            <w:tcW w:w="160" w:type="dxa"/>
            <w:vAlign w:val="bottom"/>
            <w:tcBorders>
              <w:top w:val="single" w:sz="8" w:color="0000FF"/>
            </w:tcBorders>
            <w:gridSpan w:val="4"/>
          </w:tcPr>
          <w:p>
            <w:pPr>
              <w:spacing w:after="0"/>
              <w:rPr>
                <w:sz w:val="15"/>
                <w:szCs w:val="15"/>
                <w:color w:val="auto"/>
              </w:rPr>
            </w:pPr>
          </w:p>
        </w:tc>
        <w:tc>
          <w:tcPr>
            <w:tcW w:w="36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First Supplemental Indenture, dated as of May 22, 2025, between</w:t>
              </w:r>
            </w:hyperlink>
          </w:p>
        </w:tc>
        <w:tc>
          <w:tcPr>
            <w:tcW w:w="500" w:type="dxa"/>
            <w:vAlign w:val="bottom"/>
            <w:gridSpan w:val="10"/>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25"/>
          </w:tcPr>
          <w:p>
            <w:pPr>
              <w:spacing w:after="0" w:line="183"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Cipher Mining Inc. and U.S. Bank Trust Company, National</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Association, as Trustee.</w:t>
              </w:r>
            </w:hyperlink>
          </w:p>
        </w:tc>
        <w:tc>
          <w:tcPr>
            <w:tcW w:w="3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5"/>
          </w:tcPr>
          <w:p>
            <w:pPr>
              <w:spacing w:after="0"/>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Form of 1.75% Convertible Senior Note Due 2030 (included as Exhibit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5/22/25</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w w:val="99"/>
              </w:rPr>
            </w:pPr>
            <w:hyperlink r:id="rId121">
              <w:r>
                <w:rPr>
                  <w:rFonts w:ascii="Times New Roman" w:cs="Times New Roman" w:eastAsia="Times New Roman" w:hAnsi="Times New Roman"/>
                  <w:sz w:val="16"/>
                  <w:szCs w:val="16"/>
                  <w:color w:val="0000FF"/>
                  <w:w w:val="99"/>
                </w:rPr>
                <w:t>A to Exhibit 4.4).</w:t>
              </w:r>
            </w:hyperlink>
          </w:p>
        </w:tc>
        <w:tc>
          <w:tcPr>
            <w:tcW w:w="3460" w:type="dxa"/>
            <w:vAlign w:val="bottom"/>
            <w:tcBorders>
              <w:top w:val="single" w:sz="8" w:color="0000FF"/>
            </w:tcBorders>
            <w:gridSpan w:val="20"/>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9"/>
                <w:szCs w:val="19"/>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Amendment Agreement and Deed of Novation to the Future Sales and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FF"/>
            </w:tcBorders>
            <w:gridSpan w:val="21"/>
          </w:tcPr>
          <w:p>
            <w:pPr>
              <w:spacing w:after="0" w:line="183" w:lineRule="exact"/>
              <w:rPr>
                <w:sz w:val="20"/>
                <w:szCs w:val="20"/>
                <w:color w:val="auto"/>
              </w:rPr>
            </w:pPr>
            <w:r>
              <w:rPr>
                <w:rFonts w:ascii="Times New Roman" w:cs="Times New Roman" w:eastAsia="Times New Roman" w:hAnsi="Times New Roman"/>
                <w:sz w:val="16"/>
                <w:szCs w:val="16"/>
                <w:color w:val="0000FF"/>
              </w:rPr>
              <w:t>Purchase Agreement, dated May 16, 2025, by and among Cipher</w:t>
            </w: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0" w:type="dxa"/>
            <w:vAlign w:val="bottom"/>
            <w:tcBorders>
              <w:top w:val="single" w:sz="8" w:color="0000FF"/>
              <w:bottom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6"/>
                <w:szCs w:val="16"/>
                <w:color w:val="0000FF"/>
                <w:w w:val="99"/>
              </w:rPr>
              <w:t>Mining Infrastructure LLC, Cipher Black Pearl LLC and Bitmain</w:t>
            </w:r>
          </w:p>
        </w:tc>
        <w:tc>
          <w:tcPr>
            <w:tcW w:w="40" w:type="dxa"/>
            <w:vAlign w:val="bottom"/>
            <w:tcBorders>
              <w:bottom w:val="single" w:sz="8" w:color="0000FF"/>
            </w:tcBorders>
            <w:gridSpan w:val="2"/>
          </w:tcPr>
          <w:p>
            <w:pPr>
              <w:spacing w:after="0"/>
              <w:rPr>
                <w:sz w:val="14"/>
                <w:szCs w:val="14"/>
                <w:color w:val="auto"/>
              </w:rPr>
            </w:pPr>
          </w:p>
        </w:tc>
        <w:tc>
          <w:tcPr>
            <w:tcW w:w="2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bottom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6"/>
                <w:szCs w:val="16"/>
                <w:color w:val="0000FF"/>
              </w:rPr>
              <w:t>Technologies Delaware Limited</w:t>
            </w:r>
          </w:p>
        </w:tc>
        <w:tc>
          <w:tcPr>
            <w:tcW w:w="2100" w:type="dxa"/>
            <w:vAlign w:val="bottom"/>
            <w:gridSpan w:val="9"/>
          </w:tcPr>
          <w:p>
            <w:pPr>
              <w:spacing w:after="0"/>
              <w:rPr>
                <w:sz w:val="14"/>
                <w:szCs w:val="14"/>
                <w:color w:val="auto"/>
              </w:rPr>
            </w:pPr>
          </w:p>
        </w:tc>
        <w:tc>
          <w:tcPr>
            <w:tcW w:w="28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5"/>
          </w:tcPr>
          <w:p>
            <w:pPr>
              <w:spacing w:after="0"/>
              <w:rPr>
                <w:sz w:val="15"/>
                <w:szCs w:val="15"/>
                <w:color w:val="auto"/>
              </w:rPr>
            </w:pPr>
          </w:p>
        </w:tc>
        <w:tc>
          <w:tcPr>
            <w:tcW w:w="820" w:type="dxa"/>
            <w:vAlign w:val="bottom"/>
            <w:gridSpan w:val="11"/>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4"/>
          </w:tcPr>
          <w:p>
            <w:pPr>
              <w:spacing w:after="0"/>
              <w:rPr>
                <w:sz w:val="15"/>
                <w:szCs w:val="15"/>
                <w:color w:val="auto"/>
              </w:rPr>
            </w:pPr>
          </w:p>
        </w:tc>
        <w:tc>
          <w:tcPr>
            <w:tcW w:w="860" w:type="dxa"/>
            <w:vAlign w:val="bottom"/>
            <w:gridSpan w:val="12"/>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1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160" w:type="dxa"/>
            <w:vAlign w:val="bottom"/>
            <w:gridSpan w:val="19"/>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2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380" w:type="dxa"/>
            <w:vAlign w:val="bottom"/>
            <w:gridSpan w:val="2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1"/>
                <w:szCs w:val="21"/>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474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20" w:right="4720" w:hanging="1094"/>
        <w:spacing w:after="0" w:line="298" w:lineRule="auto"/>
        <w:tabs>
          <w:tab w:leader="none" w:pos="11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center"/>
        <w:ind w:right="200"/>
        <w:spacing w:after="0" w:line="283" w:lineRule="auto"/>
        <w:rPr>
          <w:sz w:val="20"/>
          <w:szCs w:val="20"/>
          <w:color w:val="auto"/>
        </w:rPr>
      </w:pPr>
      <w:r>
        <w:rPr>
          <w:rFonts w:ascii="Times New Roman" w:cs="Times New Roman" w:eastAsia="Times New Roman" w:hAnsi="Times New Roman"/>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-2540</wp:posOffset>
            </wp:positionV>
            <wp:extent cx="7200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p>
    <w:p>
      <w:pPr>
        <w:spacing w:after="0" w:line="324" w:lineRule="exact"/>
        <w:rPr>
          <w:sz w:val="20"/>
          <w:szCs w:val="20"/>
          <w:color w:val="auto"/>
        </w:rPr>
      </w:pPr>
    </w:p>
    <w:p>
      <w:pPr>
        <w:sectPr>
          <w:pgSz w:w="11900" w:h="16838" w:orient="portrait"/>
          <w:cols w:equalWidth="0" w:num="2">
            <w:col w:w="10020" w:space="340"/>
            <w:col w:w="820"/>
          </w:cols>
          <w:pgMar w:left="320" w:top="1292" w:right="39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4"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Certain confidential portions (indicated by brackets and asterisks) have been omitted from this exhibit pursuant to Item 601(b)(10)(iv) of Regulation S-K</w:t>
      </w:r>
    </w:p>
    <w:p>
      <w:pPr>
        <w:spacing w:after="0" w:line="2" w:lineRule="exact"/>
        <w:rPr>
          <w:sz w:val="20"/>
          <w:szCs w:val="20"/>
          <w:color w:val="auto"/>
        </w:rPr>
      </w:pPr>
    </w:p>
    <w:p>
      <w:pPr>
        <w:ind w:left="180" w:right="40"/>
        <w:spacing w:after="0" w:line="249" w:lineRule="auto"/>
        <w:rPr>
          <w:sz w:val="20"/>
          <w:szCs w:val="20"/>
          <w:color w:val="auto"/>
        </w:rPr>
      </w:pPr>
      <w:r>
        <w:rPr>
          <w:rFonts w:ascii="Times New Roman" w:cs="Times New Roman" w:eastAsia="Times New Roman" w:hAnsi="Times New Roman"/>
          <w:sz w:val="18"/>
          <w:szCs w:val="18"/>
          <w:color w:val="auto"/>
        </w:rPr>
        <w:t>because such information is (i) non-material, (ii) is of the type that the registrant customarily and actually treats as private or confidential and (iii) would be competitively harmful if publicly disclosed.</w:t>
      </w:r>
    </w:p>
    <w:p>
      <w:pPr>
        <w:spacing w:after="0" w:line="1" w:lineRule="exact"/>
        <w:rPr>
          <w:sz w:val="20"/>
          <w:szCs w:val="20"/>
          <w:color w:val="auto"/>
        </w:rPr>
      </w:pPr>
    </w:p>
    <w:p>
      <w:pPr>
        <w:ind w:left="180" w:right="20" w:hanging="172"/>
        <w:spacing w:after="0" w:line="260" w:lineRule="auto"/>
        <w:tabs>
          <w:tab w:leader="none" w:pos="1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provide copies of any of the omitted schedules or exhibits upon request by the Securities and Exchange Commission.</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type w:val="continuous"/>
        </w:sectPr>
      </w:pPr>
    </w:p>
    <w:bookmarkStart w:id="52" w:name="page53"/>
    <w:bookmarkEnd w:id="5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MINING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80"/>
          </w:cols>
          <w:pgMar w:left="320" w:top="1292" w:right="39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2598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2125980" cy="274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360" w:hanging="288"/>
        <w:spacing w:after="0"/>
        <w:tabs>
          <w:tab w:leader="none" w:pos="36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confidential portions (indicated by brackets and asterisks) have been omitted from this exhibit because such information is both (i) non-material and</w:t>
      </w:r>
    </w:p>
    <w:p>
      <w:pPr>
        <w:spacing w:after="0" w:line="25" w:lineRule="exact"/>
        <w:rPr>
          <w:rFonts w:ascii="Times New Roman" w:cs="Times New Roman" w:eastAsia="Times New Roman" w:hAnsi="Times New Roman"/>
          <w:sz w:val="16"/>
          <w:szCs w:val="16"/>
          <w:b w:val="1"/>
          <w:bCs w:val="1"/>
          <w:color w:val="auto"/>
        </w:rPr>
      </w:pPr>
    </w:p>
    <w:p>
      <w:pPr>
        <w:ind w:left="3920" w:hanging="236"/>
        <w:spacing w:after="0"/>
        <w:tabs>
          <w:tab w:leader="none" w:pos="3920" w:val="left"/>
        </w:tabs>
        <w:numPr>
          <w:ilvl w:val="1"/>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would be competitively harmful if publicly disclosed.</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DATED May 16, 2025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AMENDMENT AGREEMENT</w:t>
      </w: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AND</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DEED OF NOVATION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(“BITMAIN/Continuing Party”)</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(“CMI/Outgoing Party”)</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CIPHER BLACK PEARL LLC</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(“PURCHASER/Incoming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relating to</w:t>
      </w: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FUTURE SALES AND PURCHASE AGREEMENT</w:t>
      </w:r>
    </w:p>
    <w:p>
      <w:pPr>
        <w:spacing w:after="0" w:line="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(T21, dated December 16, 2023 and amended June 4, 2024 and July 5, 2024)</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(S21 XP, dated February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V2.0.20250225 (US)</w:t>
      </w:r>
    </w:p>
    <w:p>
      <w:pPr>
        <w:sectPr>
          <w:pgSz w:w="11900" w:h="16838" w:orient="portrait"/>
          <w:cols w:equalWidth="0" w:num="1">
            <w:col w:w="11180"/>
          </w:cols>
          <w:pgMar w:left="320" w:top="1440" w:right="399" w:bottom="1440" w:gutter="0" w:footer="0" w:header="0"/>
          <w:type w:val="continuous"/>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BM Ref: SALES-20250506-01</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019"/>
          </w:cols>
          <w:pgMar w:left="1440" w:top="1440" w:right="1440" w:bottom="1440" w:gutter="0" w:footer="0" w:header="0"/>
          <w:type w:val="continuous"/>
        </w:sectPr>
      </w:pPr>
    </w:p>
    <w:bookmarkStart w:id="55" w:name="page56"/>
    <w:bookmarkEnd w:id="55"/>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THIS Amendment Agreement and Deed of Novation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“Deed”) </w:t>
      </w:r>
      <w:r>
        <w:rPr>
          <w:rFonts w:ascii="Times New Roman" w:cs="Times New Roman" w:eastAsia="Times New Roman" w:hAnsi="Times New Roman"/>
          <w:sz w:val="22"/>
          <w:szCs w:val="22"/>
          <w:color w:val="auto"/>
        </w:rPr>
        <w:t>is made on May 16, 2025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AMONG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hanging="652"/>
        <w:spacing w:after="0" w:line="275"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BITMAIN TECHNOLOGIES DELAWARE LIMITED</w:t>
      </w:r>
      <w:r>
        <w:rPr>
          <w:rFonts w:ascii="Times New Roman" w:cs="Times New Roman" w:eastAsia="Times New Roman" w:hAnsi="Times New Roman"/>
          <w:sz w:val="22"/>
          <w:szCs w:val="22"/>
          <w:color w:val="auto"/>
        </w:rPr>
        <w:t>, a company incorporated and existing under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Delaware, the United States (File Number: 6096946) (“</w:t>
      </w:r>
      <w:r>
        <w:rPr>
          <w:rFonts w:ascii="Times New Roman" w:cs="Times New Roman" w:eastAsia="Times New Roman" w:hAnsi="Times New Roman"/>
          <w:sz w:val="22"/>
          <w:szCs w:val="22"/>
          <w:b w:val="1"/>
          <w:bCs w:val="1"/>
          <w:color w:val="auto"/>
        </w:rPr>
        <w:t>BITMAIN/Continuing Party</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left="660" w:right="20" w:hanging="652"/>
        <w:spacing w:after="0" w:line="275"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CIPHER MINING INFRASTRUCTURE LLC</w:t>
      </w:r>
      <w:r>
        <w:rPr>
          <w:rFonts w:ascii="Times New Roman" w:cs="Times New Roman" w:eastAsia="Times New Roman" w:hAnsi="Times New Roman"/>
          <w:sz w:val="22"/>
          <w:szCs w:val="22"/>
          <w:color w:val="auto"/>
        </w:rPr>
        <w:t>, a company incorporated and existing under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the United States (File Number: 93-4777486) (“</w:t>
      </w:r>
      <w:r>
        <w:rPr>
          <w:rFonts w:ascii="Times New Roman" w:cs="Times New Roman" w:eastAsia="Times New Roman" w:hAnsi="Times New Roman"/>
          <w:sz w:val="22"/>
          <w:szCs w:val="22"/>
          <w:b w:val="1"/>
          <w:bCs w:val="1"/>
          <w:color w:val="auto"/>
        </w:rPr>
        <w:t>CMI/Outgoing Party</w:t>
      </w:r>
      <w:r>
        <w:rPr>
          <w:rFonts w:ascii="Times New Roman" w:cs="Times New Roman" w:eastAsia="Times New Roman" w:hAnsi="Times New Roman"/>
          <w:sz w:val="22"/>
          <w:szCs w:val="22"/>
          <w:color w:val="auto"/>
        </w:rPr>
        <w:t>”); and</w:t>
      </w:r>
    </w:p>
    <w:p>
      <w:pPr>
        <w:spacing w:after="0" w:line="149" w:lineRule="exact"/>
        <w:rPr>
          <w:rFonts w:ascii="Times New Roman" w:cs="Times New Roman" w:eastAsia="Times New Roman" w:hAnsi="Times New Roman"/>
          <w:sz w:val="22"/>
          <w:szCs w:val="22"/>
          <w:color w:val="auto"/>
        </w:rPr>
      </w:pPr>
    </w:p>
    <w:p>
      <w:pPr>
        <w:ind w:left="660" w:hanging="652"/>
        <w:spacing w:after="0" w:line="287" w:lineRule="auto"/>
        <w:tabs>
          <w:tab w:leader="none" w:pos="65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CIPHER BLACK PEARL LLC</w:t>
      </w:r>
      <w:r>
        <w:rPr>
          <w:rFonts w:ascii="Times New Roman" w:cs="Times New Roman" w:eastAsia="Times New Roman" w:hAnsi="Times New Roman"/>
          <w:sz w:val="22"/>
          <w:szCs w:val="22"/>
          <w:color w:val="auto"/>
        </w:rPr>
        <w:t>, a company incorporated and existing under the laws of the State of Delaware,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United States (File Number: 93-4486965) (“</w:t>
      </w:r>
      <w:r>
        <w:rPr>
          <w:rFonts w:ascii="Times New Roman" w:cs="Times New Roman" w:eastAsia="Times New Roman" w:hAnsi="Times New Roman"/>
          <w:sz w:val="22"/>
          <w:szCs w:val="22"/>
          <w:b w:val="1"/>
          <w:bCs w:val="1"/>
          <w:color w:val="auto"/>
        </w:rPr>
        <w:t>Purchaser/Incoming Party</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(together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2" w:lineRule="exact"/>
        <w:rPr>
          <w:sz w:val="20"/>
          <w:szCs w:val="20"/>
          <w:color w:val="auto"/>
        </w:rPr>
      </w:pPr>
    </w:p>
    <w:p>
      <w:pPr>
        <w:ind w:left="640" w:hanging="632"/>
        <w:spacing w:after="0"/>
        <w:tabs>
          <w:tab w:leader="none" w:pos="6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BITMAIN and CMI have entered into a Future Sales and Purchase Agreement (Model: ANTMINER T21) (BM Ref: T21-</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XS-00120231216005) dated December 16, 2023 as amended pursuant to a </w:t>
      </w:r>
      <w:r>
        <w:rPr>
          <w:rFonts w:ascii="Times New Roman" w:cs="Times New Roman" w:eastAsia="Times New Roman" w:hAnsi="Times New Roman"/>
          <w:sz w:val="22"/>
          <w:szCs w:val="22"/>
          <w:i w:val="1"/>
          <w:iCs w:val="1"/>
          <w:color w:val="auto"/>
        </w:rPr>
        <w:t>Supplemental Agreement</w:t>
      </w:r>
      <w:r>
        <w:rPr>
          <w:rFonts w:ascii="Times New Roman" w:cs="Times New Roman" w:eastAsia="Times New Roman" w:hAnsi="Times New Roman"/>
          <w:sz w:val="22"/>
          <w:szCs w:val="22"/>
          <w:color w:val="auto"/>
        </w:rPr>
        <w:t xml:space="preserve"> (BM Ref: SALES-</w:t>
      </w:r>
    </w:p>
    <w:p>
      <w:pPr>
        <w:spacing w:after="0" w:line="3" w:lineRule="exact"/>
        <w:rPr>
          <w:rFonts w:ascii="Times New Roman" w:cs="Times New Roman" w:eastAsia="Times New Roman" w:hAnsi="Times New Roman"/>
          <w:sz w:val="21"/>
          <w:szCs w:val="21"/>
          <w:color w:val="auto"/>
        </w:rPr>
      </w:pPr>
    </w:p>
    <w:p>
      <w:pPr>
        <w:jc w:val="both"/>
        <w:ind w:left="660"/>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20240602-01) by and between BITMAIN dated June 4, 2024 and pursuant to a </w:t>
      </w:r>
      <w:r>
        <w:rPr>
          <w:rFonts w:ascii="Times New Roman" w:cs="Times New Roman" w:eastAsia="Times New Roman" w:hAnsi="Times New Roman"/>
          <w:sz w:val="22"/>
          <w:szCs w:val="22"/>
          <w:i w:val="1"/>
          <w:iCs w:val="1"/>
          <w:color w:val="auto"/>
        </w:rPr>
        <w:t>Supplemental Agreement</w:t>
      </w:r>
      <w:r>
        <w:rPr>
          <w:rFonts w:ascii="Times New Roman" w:cs="Times New Roman" w:eastAsia="Times New Roman" w:hAnsi="Times New Roman"/>
          <w:sz w:val="22"/>
          <w:szCs w:val="22"/>
          <w:color w:val="auto"/>
        </w:rPr>
        <w:t xml:space="preserve"> (BM Ref: SALES-20240627-01) by and between BITMAIN and CMI dated July 5, 2024 (the “</w:t>
      </w:r>
      <w:r>
        <w:rPr>
          <w:rFonts w:ascii="Times New Roman" w:cs="Times New Roman" w:eastAsia="Times New Roman" w:hAnsi="Times New Roman"/>
          <w:sz w:val="22"/>
          <w:szCs w:val="22"/>
          <w:b w:val="1"/>
          <w:bCs w:val="1"/>
          <w:color w:val="auto"/>
        </w:rPr>
        <w:t>S21 Pro Agreements</w:t>
      </w:r>
      <w:r>
        <w:rPr>
          <w:rFonts w:ascii="Times New Roman" w:cs="Times New Roman" w:eastAsia="Times New Roman" w:hAnsi="Times New Roman"/>
          <w:sz w:val="22"/>
          <w:szCs w:val="22"/>
          <w:color w:val="auto"/>
        </w:rPr>
        <w:t>”) in respect of HASH Super Computing Servers (Model: S21 Pro) of a reference quantity of 30,364 to be delivered in September and October 2024 (the “</w:t>
      </w:r>
      <w:r>
        <w:rPr>
          <w:rFonts w:ascii="Times New Roman" w:cs="Times New Roman" w:eastAsia="Times New Roman" w:hAnsi="Times New Roman"/>
          <w:sz w:val="22"/>
          <w:szCs w:val="22"/>
          <w:b w:val="1"/>
          <w:bCs w:val="1"/>
          <w:color w:val="auto"/>
        </w:rPr>
        <w:t>S21 Pro Products</w:t>
      </w:r>
      <w:r>
        <w:rPr>
          <w:rFonts w:ascii="Times New Roman" w:cs="Times New Roman" w:eastAsia="Times New Roman" w:hAnsi="Times New Roman"/>
          <w:sz w:val="22"/>
          <w:szCs w:val="22"/>
          <w:color w:val="auto"/>
        </w:rPr>
        <w:t>”) with an estimated total purchase price of US$134,287,826.40. As of the date hereof, all such S21 Pro Products under the S21 Pro Agreements have been delivered by BITMAIN to CMI.</w:t>
      </w:r>
    </w:p>
    <w:p>
      <w:pPr>
        <w:spacing w:after="0" w:line="186" w:lineRule="exact"/>
        <w:rPr>
          <w:rFonts w:ascii="Times New Roman" w:cs="Times New Roman" w:eastAsia="Times New Roman" w:hAnsi="Times New Roman"/>
          <w:sz w:val="21"/>
          <w:szCs w:val="21"/>
          <w:color w:val="auto"/>
        </w:rPr>
      </w:pPr>
    </w:p>
    <w:p>
      <w:pPr>
        <w:jc w:val="both"/>
        <w:ind w:left="660" w:hanging="652"/>
        <w:spacing w:after="0" w:line="249" w:lineRule="auto"/>
        <w:tabs>
          <w:tab w:leader="none" w:pos="65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S21 Pro Agreements (as amended), CMI has options to purchase an additional HASH Super Computing Servers (Model: S21 XP) of a maximum quantity of 32,164 by June 30, 2025, with an estimated total purchase price of US$ 186,712,020.00. CMI has exercised call options to purchase 32,164 units of S21 XP Products to be delivered between May 2025 and June 2025 (the “</w:t>
      </w:r>
      <w:r>
        <w:rPr>
          <w:rFonts w:ascii="Times New Roman" w:cs="Times New Roman" w:eastAsia="Times New Roman" w:hAnsi="Times New Roman"/>
          <w:sz w:val="22"/>
          <w:szCs w:val="22"/>
          <w:b w:val="1"/>
          <w:bCs w:val="1"/>
          <w:color w:val="auto"/>
        </w:rPr>
        <w:t>Forward Deliverables</w:t>
      </w:r>
      <w:r>
        <w:rPr>
          <w:rFonts w:ascii="Times New Roman" w:cs="Times New Roman" w:eastAsia="Times New Roman" w:hAnsi="Times New Roman"/>
          <w:sz w:val="22"/>
          <w:szCs w:val="22"/>
          <w:color w:val="auto"/>
        </w:rPr>
        <w:t>”) with a total purchase price of US$186,712,020.00 through issuing a Notice of Exercise dated February 5, 2025 (the “</w:t>
      </w:r>
      <w:r>
        <w:rPr>
          <w:rFonts w:ascii="Times New Roman" w:cs="Times New Roman" w:eastAsia="Times New Roman" w:hAnsi="Times New Roman"/>
          <w:sz w:val="22"/>
          <w:szCs w:val="22"/>
          <w:b w:val="1"/>
          <w:bCs w:val="1"/>
          <w:color w:val="auto"/>
        </w:rPr>
        <w:t>Notice of Exercise</w:t>
      </w:r>
      <w:r>
        <w:rPr>
          <w:rFonts w:ascii="Times New Roman" w:cs="Times New Roman" w:eastAsia="Times New Roman" w:hAnsi="Times New Roman"/>
          <w:sz w:val="22"/>
          <w:szCs w:val="22"/>
          <w:color w:val="auto"/>
        </w:rPr>
        <w:t>”, together with S21 Pro Agreements, the “</w:t>
      </w:r>
      <w:r>
        <w:rPr>
          <w:rFonts w:ascii="Times New Roman" w:cs="Times New Roman" w:eastAsia="Times New Roman" w:hAnsi="Times New Roman"/>
          <w:sz w:val="22"/>
          <w:szCs w:val="22"/>
          <w:b w:val="1"/>
          <w:bCs w:val="1"/>
          <w:color w:val="auto"/>
        </w:rPr>
        <w:t>Original Agreements</w:t>
      </w:r>
      <w:r>
        <w:rPr>
          <w:rFonts w:ascii="Times New Roman" w:cs="Times New Roman" w:eastAsia="Times New Roman" w:hAnsi="Times New Roman"/>
          <w:sz w:val="22"/>
          <w:szCs w:val="22"/>
          <w:color w:val="auto"/>
        </w:rPr>
        <w:t xml:space="preserve">”, a copy of which is attached to this Deed as Schedule II). </w:t>
      </w:r>
      <w:r>
        <w:rPr>
          <w:rFonts w:ascii="Times New Roman" w:cs="Times New Roman" w:eastAsia="Times New Roman" w:hAnsi="Times New Roman"/>
          <w:sz w:val="22"/>
          <w:szCs w:val="22"/>
          <w:color w:val="24292F"/>
        </w:rPr>
        <w:t>As</w:t>
      </w:r>
      <w:r>
        <w:rPr>
          <w:rFonts w:ascii="Times New Roman" w:cs="Times New Roman" w:eastAsia="Times New Roman" w:hAnsi="Times New Roman"/>
          <w:sz w:val="22"/>
          <w:szCs w:val="22"/>
          <w:color w:val="auto"/>
        </w:rPr>
        <w:t xml:space="preserve"> of the date hereof, CMI has paid 10% of the purchase price of the Forward Deliverables as the Call Purchase Fee, 10% of the purchase price of the Forward Deliverables as the Down Payment and 30% of the purchase price of the Forward Deliverables as the Interim Payment, being equal to an amount of US$93,356,010 in total. As of the date hereof, none of the Forward Deliverables has been delivered by BITMAIN to CMI.</w:t>
      </w:r>
    </w:p>
    <w:p>
      <w:pPr>
        <w:spacing w:after="0" w:line="183" w:lineRule="exact"/>
        <w:rPr>
          <w:rFonts w:ascii="Times New Roman" w:cs="Times New Roman" w:eastAsia="Times New Roman" w:hAnsi="Times New Roman"/>
          <w:sz w:val="22"/>
          <w:szCs w:val="22"/>
          <w:color w:val="auto"/>
        </w:rPr>
      </w:pPr>
    </w:p>
    <w:p>
      <w:pPr>
        <w:ind w:left="660" w:hanging="652"/>
        <w:spacing w:after="0" w:line="271" w:lineRule="auto"/>
        <w:tabs>
          <w:tab w:leader="none" w:pos="65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an amount of US$120,213,575.28 of the total purchase price (consisting of 6 payments) under the Original Agreements has not been paid by CMI</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ind w:left="660"/>
        <w:spacing w:after="0" w:line="287"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Remaining Payments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Remaining Payment</w:t>
      </w:r>
      <w:r>
        <w:rPr>
          <w:rFonts w:ascii="Times New Roman" w:cs="Times New Roman" w:eastAsia="Times New Roman" w:hAnsi="Times New Roman"/>
          <w:sz w:val="22"/>
          <w:szCs w:val="22"/>
          <w:color w:val="auto"/>
        </w:rPr>
        <w:t xml:space="preserve">”). The details of the Remaining Payments under the Original Agreements are specified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this Deed.</w:t>
      </w:r>
    </w:p>
    <w:p>
      <w:pPr>
        <w:spacing w:after="0" w:line="141" w:lineRule="exact"/>
        <w:rPr>
          <w:sz w:val="20"/>
          <w:szCs w:val="20"/>
          <w:color w:val="auto"/>
        </w:rPr>
      </w:pPr>
    </w:p>
    <w:p>
      <w:pPr>
        <w:jc w:val="both"/>
        <w:ind w:left="660" w:hanging="652"/>
        <w:spacing w:after="0" w:line="257" w:lineRule="auto"/>
        <w:tabs>
          <w:tab w:leader="none" w:pos="64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wish to amend the Original Agreements regarding (i) the payment arrangements for the Remaining Payments, and (ii) the shipping arrangement for the Forward Deliverables. Unless the context otherwise requires, terms defined in the Original Agreements shall have the same meaning in this Deed.</w:t>
      </w:r>
    </w:p>
    <w:p>
      <w:pPr>
        <w:spacing w:after="0" w:line="172" w:lineRule="exact"/>
        <w:rPr>
          <w:rFonts w:ascii="Times New Roman" w:cs="Times New Roman" w:eastAsia="Times New Roman" w:hAnsi="Times New Roman"/>
          <w:sz w:val="22"/>
          <w:szCs w:val="22"/>
          <w:color w:val="auto"/>
        </w:rPr>
      </w:pPr>
    </w:p>
    <w:p>
      <w:pPr>
        <w:ind w:left="660" w:right="20" w:hanging="652"/>
        <w:spacing w:after="0" w:line="271" w:lineRule="auto"/>
        <w:tabs>
          <w:tab w:leader="none" w:pos="65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Outgoing Party wishes to transfer all of its rights and obligations under the Original Agreements as amended herein to the Incoming Party.</w:t>
      </w:r>
    </w:p>
    <w:p>
      <w:pPr>
        <w:spacing w:after="0" w:line="171" w:lineRule="exact"/>
        <w:rPr>
          <w:rFonts w:ascii="Times New Roman" w:cs="Times New Roman" w:eastAsia="Times New Roman" w:hAnsi="Times New Roman"/>
          <w:sz w:val="22"/>
          <w:szCs w:val="22"/>
          <w:color w:val="auto"/>
        </w:rPr>
      </w:pPr>
    </w:p>
    <w:p>
      <w:pPr>
        <w:ind w:left="660" w:hanging="652"/>
        <w:spacing w:after="0" w:line="271" w:lineRule="auto"/>
        <w:tabs>
          <w:tab w:leader="none" w:pos="65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Outgoing Party shall continue to be liable for any failure by it to perform its obligations under the Original Agreements before the Effective Date and its obligations other than those transferred to the Incoming Party.</w:t>
      </w:r>
    </w:p>
    <w:p>
      <w:pPr>
        <w:spacing w:after="0" w:line="157" w:lineRule="exact"/>
        <w:rPr>
          <w:rFonts w:ascii="Times New Roman" w:cs="Times New Roman" w:eastAsia="Times New Roman" w:hAnsi="Times New Roman"/>
          <w:sz w:val="22"/>
          <w:szCs w:val="22"/>
          <w:color w:val="auto"/>
        </w:rPr>
      </w:pPr>
    </w:p>
    <w:p>
      <w:pPr>
        <w:ind w:left="660" w:hanging="652"/>
        <w:spacing w:after="0" w:line="271" w:lineRule="auto"/>
        <w:tabs>
          <w:tab w:leader="none" w:pos="64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therefore agreed to novate the Outgoing Party's rights and obligations under the Original Agreements as amended herein to the Incoming Party on the terms of this Deed with effect from the date of this Deed.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 IS AGREED AS FOLLOWS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to the Original Agreements</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color w:val="auto"/>
        </w:rPr>
        <w:t>Remaining Payments.</w:t>
      </w:r>
      <w:r>
        <w:rPr>
          <w:rFonts w:ascii="Times New Roman" w:cs="Times New Roman" w:eastAsia="Times New Roman" w:hAnsi="Times New Roman"/>
          <w:sz w:val="22"/>
          <w:szCs w:val="22"/>
          <w:color w:val="auto"/>
        </w:rPr>
        <w:t xml:space="preserve"> The Original Agreements are hereby amended as follows:</w:t>
      </w:r>
    </w:p>
    <w:p>
      <w:pPr>
        <w:spacing w:after="0" w:line="223" w:lineRule="exact"/>
        <w:rPr>
          <w:rFonts w:ascii="Times New Roman" w:cs="Times New Roman" w:eastAsia="Times New Roman" w:hAnsi="Times New Roman"/>
          <w:sz w:val="22"/>
          <w:szCs w:val="22"/>
          <w:color w:val="auto"/>
        </w:rPr>
      </w:pPr>
    </w:p>
    <w:p>
      <w:pPr>
        <w:jc w:val="both"/>
        <w:ind w:left="1680" w:hanging="376"/>
        <w:spacing w:after="0" w:line="257" w:lineRule="auto"/>
        <w:tabs>
          <w:tab w:leader="none" w:pos="167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shall settle the Remaining Payments in full in a lump-sum payment within fourteen (14) days of the execution of this Deed (the “</w:t>
      </w:r>
      <w:r>
        <w:rPr>
          <w:rFonts w:ascii="Times New Roman" w:cs="Times New Roman" w:eastAsia="Times New Roman" w:hAnsi="Times New Roman"/>
          <w:sz w:val="22"/>
          <w:szCs w:val="22"/>
          <w:b w:val="1"/>
          <w:bCs w:val="1"/>
          <w:color w:val="auto"/>
        </w:rPr>
        <w:t>Revised Payment Date</w:t>
      </w:r>
      <w:r>
        <w:rPr>
          <w:rFonts w:ascii="Times New Roman" w:cs="Times New Roman" w:eastAsia="Times New Roman" w:hAnsi="Times New Roman"/>
          <w:sz w:val="22"/>
          <w:szCs w:val="22"/>
          <w:color w:val="auto"/>
        </w:rPr>
        <w:t>”), which, for the avoidance of doubt, amends any agreed payment schedule in the Original Agreements.</w:t>
      </w:r>
    </w:p>
    <w:p>
      <w:pPr>
        <w:spacing w:after="0" w:line="186" w:lineRule="exact"/>
        <w:rPr>
          <w:rFonts w:ascii="Times New Roman" w:cs="Times New Roman" w:eastAsia="Times New Roman" w:hAnsi="Times New Roman"/>
          <w:sz w:val="22"/>
          <w:szCs w:val="22"/>
          <w:color w:val="auto"/>
        </w:rPr>
      </w:pPr>
    </w:p>
    <w:p>
      <w:pPr>
        <w:jc w:val="both"/>
        <w:ind w:left="1680" w:hanging="376"/>
        <w:spacing w:after="0" w:line="252" w:lineRule="auto"/>
        <w:tabs>
          <w:tab w:leader="none" w:pos="1675"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Purchaser agrees that it shall make a lump-sum payment of the Remaining Payments in full in Bitcoin (“</w:t>
      </w:r>
      <w:r>
        <w:rPr>
          <w:rFonts w:ascii="Times New Roman" w:cs="Times New Roman" w:eastAsia="Times New Roman" w:hAnsi="Times New Roman"/>
          <w:sz w:val="22"/>
          <w:szCs w:val="22"/>
          <w:b w:val="1"/>
          <w:bCs w:val="1"/>
          <w:color w:val="auto"/>
        </w:rPr>
        <w:t>BTC</w:t>
      </w:r>
      <w:r>
        <w:rPr>
          <w:rFonts w:ascii="Times New Roman" w:cs="Times New Roman" w:eastAsia="Times New Roman" w:hAnsi="Times New Roman"/>
          <w:sz w:val="22"/>
          <w:szCs w:val="22"/>
          <w:color w:val="auto"/>
        </w:rPr>
        <w:t xml:space="preserve">”) pursuant to this </w:t>
      </w:r>
      <w:r>
        <w:rPr>
          <w:rFonts w:ascii="Times New Roman" w:cs="Times New Roman" w:eastAsia="Times New Roman" w:hAnsi="Times New Roman"/>
          <w:sz w:val="22"/>
          <w:szCs w:val="22"/>
          <w:u w:val="single" w:color="auto"/>
          <w:color w:val="auto"/>
        </w:rPr>
        <w:t>Section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BTC Payment</w:t>
      </w:r>
      <w:r>
        <w:rPr>
          <w:rFonts w:ascii="Times New Roman" w:cs="Times New Roman" w:eastAsia="Times New Roman" w:hAnsi="Times New Roman"/>
          <w:sz w:val="22"/>
          <w:szCs w:val="22"/>
          <w:color w:val="auto"/>
        </w:rPr>
        <w:t>”) to BITMAIN before the Revised Payment Date. The date on which the payment of BTC is completed by the Purchaser shall be referred to as the “</w:t>
      </w:r>
      <w:r>
        <w:rPr>
          <w:rFonts w:ascii="Times New Roman" w:cs="Times New Roman" w:eastAsia="Times New Roman" w:hAnsi="Times New Roman"/>
          <w:sz w:val="22"/>
          <w:szCs w:val="22"/>
          <w:b w:val="1"/>
          <w:bCs w:val="1"/>
          <w:color w:val="auto"/>
        </w:rPr>
        <w:t>BTC 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680" w:hanging="376"/>
        <w:spacing w:after="0" w:line="252" w:lineRule="auto"/>
        <w:tabs>
          <w:tab w:leader="none" w:pos="1677"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exchange rate between BTC and USD shall be mutually confirmed in writing by both Parties based on the market rate, which refers to the applicable BRR - CME CF Bitcoin Reference Rate (settlement time: CME CF 4PM UK) of Bitcoin on the BTC Payment Date (the “</w:t>
      </w:r>
      <w:r>
        <w:rPr>
          <w:rFonts w:ascii="Times New Roman" w:cs="Times New Roman" w:eastAsia="Times New Roman" w:hAnsi="Times New Roman"/>
          <w:sz w:val="22"/>
          <w:szCs w:val="22"/>
          <w:b w:val="1"/>
          <w:bCs w:val="1"/>
          <w:color w:val="auto"/>
        </w:rPr>
        <w:t>Reference BTC Price</w:t>
      </w:r>
      <w:r>
        <w:rPr>
          <w:rFonts w:ascii="Times New Roman" w:cs="Times New Roman" w:eastAsia="Times New Roman" w:hAnsi="Times New Roman"/>
          <w:sz w:val="22"/>
          <w:szCs w:val="22"/>
          <w:color w:val="auto"/>
        </w:rPr>
        <w:t xml:space="preserve">”). For the purposes of the BTC Payment, the quantity of BTC to be paid by the Purchaser shall be (x) the total amount of the Remaining Payments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(y) 111.11% of the Reference BTC Price (the “</w:t>
      </w:r>
      <w:r>
        <w:rPr>
          <w:rFonts w:ascii="Times New Roman" w:cs="Times New Roman" w:eastAsia="Times New Roman" w:hAnsi="Times New Roman"/>
          <w:sz w:val="22"/>
          <w:szCs w:val="22"/>
          <w:b w:val="1"/>
          <w:bCs w:val="1"/>
          <w:color w:val="auto"/>
        </w:rPr>
        <w:t>Total Paid BTC</w:t>
      </w:r>
      <w:r>
        <w:rPr>
          <w:rFonts w:ascii="Times New Roman" w:cs="Times New Roman" w:eastAsia="Times New Roman" w:hAnsi="Times New Roman"/>
          <w:sz w:val="22"/>
          <w:szCs w:val="22"/>
          <w:color w:val="auto"/>
        </w:rPr>
        <w:t>”). The Reference BTC Price will then be used for the BTC Transaction (as defined hereunder) and all future repurchase of BTC under this Deed.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jc w:val="both"/>
        <w:ind w:left="1020"/>
        <w:spacing w:after="0" w:line="253" w:lineRule="auto"/>
        <w:rPr>
          <w:sz w:val="20"/>
          <w:szCs w:val="20"/>
          <w:color w:val="auto"/>
        </w:rPr>
      </w:pPr>
      <w:r>
        <w:rPr>
          <w:rFonts w:ascii="Times New Roman" w:cs="Times New Roman" w:eastAsia="Times New Roman" w:hAnsi="Times New Roman"/>
          <w:sz w:val="22"/>
          <w:szCs w:val="22"/>
          <w:color w:val="auto"/>
        </w:rPr>
        <w:t xml:space="preserve">To fulfill the BTC Payment, the Purchaser will purchase the Total Paid BTC from BITMAIN using the amount of USD equivalent to (x) the quantity of the Total Paid BTC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(y) the Reference BTC Price in a lump-sum payment of US$108,192,217.75 (the “</w:t>
      </w:r>
      <w:r>
        <w:rPr>
          <w:rFonts w:ascii="Times New Roman" w:cs="Times New Roman" w:eastAsia="Times New Roman" w:hAnsi="Times New Roman"/>
          <w:sz w:val="22"/>
          <w:szCs w:val="22"/>
          <w:b w:val="1"/>
          <w:bCs w:val="1"/>
          <w:color w:val="auto"/>
        </w:rPr>
        <w:t>BTC Transaction</w:t>
      </w:r>
      <w:r>
        <w:rPr>
          <w:rFonts w:ascii="Times New Roman" w:cs="Times New Roman" w:eastAsia="Times New Roman" w:hAnsi="Times New Roman"/>
          <w:sz w:val="22"/>
          <w:szCs w:val="22"/>
          <w:color w:val="auto"/>
        </w:rPr>
        <w:t>”). The Parties acknowledge and agree that BTC purchased by the Purchaser through this BTC Transaction shall only be used for the fulfillment of the Purchaser’s BTC Payment obligations under this Deed.</w:t>
      </w:r>
    </w:p>
    <w:p>
      <w:pPr>
        <w:spacing w:after="0" w:line="200" w:lineRule="exact"/>
        <w:rPr>
          <w:sz w:val="20"/>
          <w:szCs w:val="20"/>
          <w:color w:val="auto"/>
        </w:rPr>
      </w:pPr>
    </w:p>
    <w:p>
      <w:pPr>
        <w:spacing w:after="0" w:line="222" w:lineRule="exact"/>
        <w:rPr>
          <w:sz w:val="20"/>
          <w:szCs w:val="20"/>
          <w:color w:val="auto"/>
        </w:rPr>
      </w:pPr>
    </w:p>
    <w:p>
      <w:pPr>
        <w:ind w:left="1020" w:hanging="376"/>
        <w:spacing w:after="0"/>
        <w:tabs>
          <w:tab w:leader="none" w:pos="10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Option.</w:t>
      </w:r>
    </w:p>
    <w:p>
      <w:pPr>
        <w:spacing w:after="0" w:line="215" w:lineRule="exact"/>
        <w:rPr>
          <w:rFonts w:ascii="Times New Roman" w:cs="Times New Roman" w:eastAsia="Times New Roman" w:hAnsi="Times New Roman"/>
          <w:sz w:val="22"/>
          <w:szCs w:val="22"/>
          <w:color w:val="auto"/>
        </w:rPr>
      </w:pPr>
    </w:p>
    <w:p>
      <w:pPr>
        <w:jc w:val="both"/>
        <w:ind w:left="102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August 30, 2025 (the “</w:t>
      </w:r>
      <w:r>
        <w:rPr>
          <w:rFonts w:ascii="Times New Roman" w:cs="Times New Roman" w:eastAsia="Times New Roman" w:hAnsi="Times New Roman"/>
          <w:sz w:val="22"/>
          <w:szCs w:val="22"/>
          <w:b w:val="1"/>
          <w:bCs w:val="1"/>
          <w:color w:val="auto"/>
        </w:rPr>
        <w:t>First Option Period</w:t>
      </w:r>
      <w:r>
        <w:rPr>
          <w:rFonts w:ascii="Times New Roman" w:cs="Times New Roman" w:eastAsia="Times New Roman" w:hAnsi="Times New Roman"/>
          <w:sz w:val="22"/>
          <w:szCs w:val="22"/>
          <w:color w:val="auto"/>
        </w:rPr>
        <w:t>”), the Purchaser shall have the right, but not the obligation, to repurchase half of the Total Paid BTC as per the table below (the “</w:t>
      </w:r>
      <w:r>
        <w:rPr>
          <w:rFonts w:ascii="Times New Roman" w:cs="Times New Roman" w:eastAsia="Times New Roman" w:hAnsi="Times New Roman"/>
          <w:sz w:val="22"/>
          <w:szCs w:val="22"/>
          <w:b w:val="1"/>
          <w:bCs w:val="1"/>
          <w:color w:val="auto"/>
        </w:rPr>
        <w:t>First Option</w:t>
      </w:r>
      <w:r>
        <w:rPr>
          <w:rFonts w:ascii="Times New Roman" w:cs="Times New Roman" w:eastAsia="Times New Roman" w:hAnsi="Times New Roman"/>
          <w:sz w:val="22"/>
          <w:szCs w:val="22"/>
          <w:color w:val="auto"/>
        </w:rPr>
        <w:t>”). Purchaser may exercise the First Option by paying to BITMAIN an amount in US dollars equal to US$60,106,787.64 (based on 111.11% of the Reference BTC Price) before the end of the First Option Period. Within seven (7) business days following the receipt of such payment, BITMAIN shall transfer one half the Total Paid BTC to an account designated by Purchaser.</w:t>
      </w:r>
    </w:p>
    <w:p>
      <w:pPr>
        <w:spacing w:after="0" w:line="192" w:lineRule="exact"/>
        <w:rPr>
          <w:rFonts w:ascii="Times New Roman" w:cs="Times New Roman" w:eastAsia="Times New Roman" w:hAnsi="Times New Roman"/>
          <w:sz w:val="22"/>
          <w:szCs w:val="22"/>
          <w:color w:val="auto"/>
        </w:rPr>
      </w:pPr>
    </w:p>
    <w:p>
      <w:pPr>
        <w:jc w:val="both"/>
        <w:ind w:left="1020"/>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November 30, 2025, but only if the Purchaser has exercised the First Option as per the table below (the “</w:t>
      </w:r>
      <w:r>
        <w:rPr>
          <w:rFonts w:ascii="Times New Roman" w:cs="Times New Roman" w:eastAsia="Times New Roman" w:hAnsi="Times New Roman"/>
          <w:sz w:val="22"/>
          <w:szCs w:val="22"/>
          <w:b w:val="1"/>
          <w:bCs w:val="1"/>
          <w:color w:val="auto"/>
        </w:rPr>
        <w:t>Second Option Period</w:t>
      </w:r>
      <w:r>
        <w:rPr>
          <w:rFonts w:ascii="Times New Roman" w:cs="Times New Roman" w:eastAsia="Times New Roman" w:hAnsi="Times New Roman"/>
          <w:sz w:val="22"/>
          <w:szCs w:val="22"/>
          <w:color w:val="auto"/>
        </w:rPr>
        <w:t>”), the Purchaser shall have the right, but not the obligation, to repurchase the second half of the Total Paid BTC (the “</w:t>
      </w:r>
      <w:r>
        <w:rPr>
          <w:rFonts w:ascii="Times New Roman" w:cs="Times New Roman" w:eastAsia="Times New Roman" w:hAnsi="Times New Roman"/>
          <w:sz w:val="22"/>
          <w:szCs w:val="22"/>
          <w:b w:val="1"/>
          <w:bCs w:val="1"/>
          <w:color w:val="auto"/>
        </w:rPr>
        <w:t>Second Option</w:t>
      </w:r>
      <w:r>
        <w:rPr>
          <w:rFonts w:ascii="Times New Roman" w:cs="Times New Roman" w:eastAsia="Times New Roman" w:hAnsi="Times New Roman"/>
          <w:sz w:val="22"/>
          <w:szCs w:val="22"/>
          <w:color w:val="auto"/>
        </w:rPr>
        <w:t>”). Purchaser may exercise the Second Option by paying to BITMAIN an amount in US dollars equal to US$60,106,787.64 (based on 111.11% of the Reference BTC Price) before the end of the Second Option Period. Within seven (7) business days following the receipt of such payment, BITMAIN shall transfer the second half the Total Paid BTC to an account designated by Purchaser.</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374"/>
        </w:trPr>
        <w:tc>
          <w:tcPr>
            <w:tcW w:w="34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Option Period</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Amount to be paid to Repurchase</w:t>
            </w:r>
          </w:p>
        </w:tc>
        <w:tc>
          <w:tcPr>
            <w:tcW w:w="3480" w:type="dxa"/>
            <w:vAlign w:val="bottom"/>
            <w:tcBorders>
              <w:top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BTC Repurchase Portion</w:t>
            </w:r>
          </w:p>
        </w:tc>
        <w:tc>
          <w:tcPr>
            <w:tcW w:w="0" w:type="dxa"/>
            <w:vAlign w:val="bottom"/>
          </w:tcPr>
          <w:p>
            <w:pPr>
              <w:spacing w:after="0"/>
              <w:rPr>
                <w:sz w:val="1"/>
                <w:szCs w:val="1"/>
                <w:color w:val="auto"/>
              </w:rPr>
            </w:pPr>
          </w:p>
        </w:tc>
      </w:tr>
      <w:tr>
        <w:trPr>
          <w:trHeight w:val="151"/>
        </w:trPr>
        <w:tc>
          <w:tcPr>
            <w:tcW w:w="3480" w:type="dxa"/>
            <w:vAlign w:val="bottom"/>
            <w:tcBorders>
              <w:left w:val="single" w:sz="8" w:color="auto"/>
              <w:right w:val="single" w:sz="8" w:color="auto"/>
            </w:tcBorders>
            <w:vMerge w:val="continue"/>
          </w:tcPr>
          <w:p>
            <w:pPr>
              <w:spacing w:after="0"/>
              <w:rPr>
                <w:sz w:val="13"/>
                <w:szCs w:val="13"/>
                <w:color w:val="auto"/>
              </w:rPr>
            </w:pPr>
          </w:p>
        </w:tc>
        <w:tc>
          <w:tcPr>
            <w:tcW w:w="3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the Paid BTC by cash</w:t>
            </w:r>
          </w:p>
        </w:tc>
        <w:tc>
          <w:tcPr>
            <w:tcW w:w="34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80" w:type="dxa"/>
            <w:vAlign w:val="bottom"/>
            <w:tcBorders>
              <w:left w:val="single" w:sz="8" w:color="auto"/>
              <w:right w:val="single" w:sz="8" w:color="auto"/>
            </w:tcBorders>
          </w:tcPr>
          <w:p>
            <w:pPr>
              <w:spacing w:after="0"/>
              <w:rPr>
                <w:sz w:val="11"/>
                <w:szCs w:val="11"/>
                <w:color w:val="auto"/>
              </w:rPr>
            </w:pPr>
          </w:p>
        </w:tc>
        <w:tc>
          <w:tcPr>
            <w:tcW w:w="3320" w:type="dxa"/>
            <w:vAlign w:val="bottom"/>
            <w:tcBorders>
              <w:right w:val="single" w:sz="8" w:color="auto"/>
            </w:tcBorders>
            <w:vMerge w:val="continue"/>
          </w:tcPr>
          <w:p>
            <w:pPr>
              <w:spacing w:after="0"/>
              <w:rPr>
                <w:sz w:val="11"/>
                <w:szCs w:val="11"/>
                <w:color w:val="auto"/>
              </w:rPr>
            </w:pPr>
          </w:p>
        </w:tc>
        <w:tc>
          <w:tcPr>
            <w:tcW w:w="3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80" w:type="dxa"/>
            <w:vAlign w:val="bottom"/>
            <w:tcBorders>
              <w:left w:val="single" w:sz="8" w:color="auto"/>
              <w:bottom w:val="single" w:sz="8" w:color="auto"/>
              <w:right w:val="single" w:sz="8" w:color="auto"/>
            </w:tcBorders>
          </w:tcPr>
          <w:p>
            <w:pPr>
              <w:spacing w:after="0"/>
              <w:rPr>
                <w:sz w:val="8"/>
                <w:szCs w:val="8"/>
                <w:color w:val="auto"/>
              </w:rPr>
            </w:pPr>
          </w:p>
        </w:tc>
        <w:tc>
          <w:tcPr>
            <w:tcW w:w="3320" w:type="dxa"/>
            <w:vAlign w:val="bottom"/>
            <w:tcBorders>
              <w:bottom w:val="single" w:sz="8" w:color="auto"/>
              <w:right w:val="single" w:sz="8" w:color="auto"/>
            </w:tcBorders>
          </w:tcPr>
          <w:p>
            <w:pPr>
              <w:spacing w:after="0"/>
              <w:rPr>
                <w:sz w:val="8"/>
                <w:szCs w:val="8"/>
                <w:color w:val="auto"/>
              </w:rPr>
            </w:pPr>
          </w:p>
        </w:tc>
        <w:tc>
          <w:tcPr>
            <w:tcW w:w="3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August 30, 2025</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US$60,106,787.64</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50% of the Total Paid BTC</w:t>
            </w:r>
          </w:p>
        </w:tc>
        <w:tc>
          <w:tcPr>
            <w:tcW w:w="0" w:type="dxa"/>
            <w:vAlign w:val="bottom"/>
          </w:tcPr>
          <w:p>
            <w:pPr>
              <w:spacing w:after="0"/>
              <w:rPr>
                <w:sz w:val="1"/>
                <w:szCs w:val="1"/>
                <w:color w:val="auto"/>
              </w:rPr>
            </w:pPr>
          </w:p>
        </w:tc>
      </w:tr>
      <w:tr>
        <w:trPr>
          <w:trHeight w:val="203"/>
        </w:trPr>
        <w:tc>
          <w:tcPr>
            <w:tcW w:w="3480" w:type="dxa"/>
            <w:vAlign w:val="bottom"/>
            <w:tcBorders>
              <w:left w:val="single" w:sz="8" w:color="auto"/>
              <w:right w:val="single" w:sz="8" w:color="auto"/>
            </w:tcBorders>
            <w:vMerge w:val="continue"/>
          </w:tcPr>
          <w:p>
            <w:pPr>
              <w:spacing w:after="0"/>
              <w:rPr>
                <w:sz w:val="17"/>
                <w:szCs w:val="17"/>
                <w:color w:val="auto"/>
              </w:rPr>
            </w:pPr>
          </w:p>
        </w:tc>
        <w:tc>
          <w:tcPr>
            <w:tcW w:w="3320" w:type="dxa"/>
            <w:vAlign w:val="bottom"/>
            <w:tcBorders>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480" w:type="dxa"/>
            <w:vAlign w:val="bottom"/>
            <w:tcBorders>
              <w:left w:val="single" w:sz="8" w:color="auto"/>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4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November 30, 2025</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US$60,106,787.64</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50% of the Total Paid BTC</w:t>
            </w:r>
          </w:p>
        </w:tc>
        <w:tc>
          <w:tcPr>
            <w:tcW w:w="0" w:type="dxa"/>
            <w:vAlign w:val="bottom"/>
          </w:tcPr>
          <w:p>
            <w:pPr>
              <w:spacing w:after="0"/>
              <w:rPr>
                <w:sz w:val="1"/>
                <w:szCs w:val="1"/>
                <w:color w:val="auto"/>
              </w:rPr>
            </w:pPr>
          </w:p>
        </w:tc>
      </w:tr>
      <w:tr>
        <w:trPr>
          <w:trHeight w:val="203"/>
        </w:trPr>
        <w:tc>
          <w:tcPr>
            <w:tcW w:w="3480" w:type="dxa"/>
            <w:vAlign w:val="bottom"/>
            <w:tcBorders>
              <w:left w:val="single" w:sz="8" w:color="auto"/>
              <w:right w:val="single" w:sz="8" w:color="auto"/>
            </w:tcBorders>
            <w:vMerge w:val="continue"/>
          </w:tcPr>
          <w:p>
            <w:pPr>
              <w:spacing w:after="0"/>
              <w:rPr>
                <w:sz w:val="17"/>
                <w:szCs w:val="17"/>
                <w:color w:val="auto"/>
              </w:rPr>
            </w:pPr>
          </w:p>
        </w:tc>
        <w:tc>
          <w:tcPr>
            <w:tcW w:w="3320" w:type="dxa"/>
            <w:vAlign w:val="bottom"/>
            <w:tcBorders>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480" w:type="dxa"/>
            <w:vAlign w:val="bottom"/>
            <w:tcBorders>
              <w:left w:val="single" w:sz="8" w:color="auto"/>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Total</w:t>
            </w: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US$120,213,575.28</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100% of the Total Paid BTC</w:t>
            </w:r>
          </w:p>
        </w:tc>
        <w:tc>
          <w:tcPr>
            <w:tcW w:w="0" w:type="dxa"/>
            <w:vAlign w:val="bottom"/>
          </w:tcPr>
          <w:p>
            <w:pPr>
              <w:spacing w:after="0"/>
              <w:rPr>
                <w:sz w:val="1"/>
                <w:szCs w:val="1"/>
                <w:color w:val="auto"/>
              </w:rPr>
            </w:pPr>
          </w:p>
        </w:tc>
      </w:tr>
      <w:tr>
        <w:trPr>
          <w:trHeight w:val="203"/>
        </w:trPr>
        <w:tc>
          <w:tcPr>
            <w:tcW w:w="3480" w:type="dxa"/>
            <w:vAlign w:val="bottom"/>
            <w:tcBorders>
              <w:left w:val="single" w:sz="8" w:color="auto"/>
              <w:right w:val="single" w:sz="8" w:color="auto"/>
            </w:tcBorders>
            <w:vMerge w:val="continue"/>
          </w:tcPr>
          <w:p>
            <w:pPr>
              <w:spacing w:after="0"/>
              <w:rPr>
                <w:sz w:val="17"/>
                <w:szCs w:val="17"/>
                <w:color w:val="auto"/>
              </w:rPr>
            </w:pPr>
          </w:p>
        </w:tc>
        <w:tc>
          <w:tcPr>
            <w:tcW w:w="3320" w:type="dxa"/>
            <w:vAlign w:val="bottom"/>
            <w:tcBorders>
              <w:right w:val="single" w:sz="8" w:color="auto"/>
            </w:tcBorders>
          </w:tcPr>
          <w:p>
            <w:pPr>
              <w:spacing w:after="0"/>
              <w:rPr>
                <w:sz w:val="17"/>
                <w:szCs w:val="17"/>
                <w:color w:val="auto"/>
              </w:rPr>
            </w:pPr>
          </w:p>
        </w:tc>
        <w:tc>
          <w:tcPr>
            <w:tcW w:w="3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480" w:type="dxa"/>
            <w:vAlign w:val="bottom"/>
            <w:tcBorders>
              <w:left w:val="single" w:sz="8" w:color="auto"/>
              <w:bottom w:val="single" w:sz="8" w:color="auto"/>
              <w:right w:val="single" w:sz="8" w:color="auto"/>
            </w:tcBorders>
          </w:tcPr>
          <w:p>
            <w:pPr>
              <w:spacing w:after="0"/>
              <w:rPr>
                <w:sz w:val="20"/>
                <w:szCs w:val="20"/>
                <w:color w:val="auto"/>
              </w:rPr>
            </w:pPr>
          </w:p>
        </w:tc>
        <w:tc>
          <w:tcPr>
            <w:tcW w:w="3320" w:type="dxa"/>
            <w:vAlign w:val="bottom"/>
            <w:tcBorders>
              <w:bottom w:val="single" w:sz="8" w:color="auto"/>
              <w:right w:val="single" w:sz="8" w:color="auto"/>
            </w:tcBorders>
          </w:tcPr>
          <w:p>
            <w:pPr>
              <w:spacing w:after="0"/>
              <w:rPr>
                <w:sz w:val="20"/>
                <w:szCs w:val="20"/>
                <w:color w:val="auto"/>
              </w:rPr>
            </w:pPr>
          </w:p>
        </w:tc>
        <w:tc>
          <w:tcPr>
            <w:tcW w:w="3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1020"/>
        <w:spacing w:after="0" w:line="257" w:lineRule="auto"/>
        <w:rPr>
          <w:sz w:val="20"/>
          <w:szCs w:val="20"/>
          <w:color w:val="auto"/>
        </w:rPr>
      </w:pPr>
      <w:r>
        <w:rPr>
          <w:rFonts w:ascii="Times New Roman" w:cs="Times New Roman" w:eastAsia="Times New Roman" w:hAnsi="Times New Roman"/>
          <w:sz w:val="22"/>
          <w:szCs w:val="22"/>
          <w:color w:val="auto"/>
        </w:rPr>
        <w:t>At any time during the First Option Period, the Purchaser has the right to request an early repurchase of the second half of the Total Paid BTC (“</w:t>
      </w:r>
      <w:r>
        <w:rPr>
          <w:rFonts w:ascii="Times New Roman" w:cs="Times New Roman" w:eastAsia="Times New Roman" w:hAnsi="Times New Roman"/>
          <w:sz w:val="22"/>
          <w:szCs w:val="22"/>
          <w:b w:val="1"/>
          <w:bCs w:val="1"/>
          <w:color w:val="auto"/>
        </w:rPr>
        <w:t>Early Repurchase</w:t>
      </w:r>
      <w:r>
        <w:rPr>
          <w:rFonts w:ascii="Times New Roman" w:cs="Times New Roman" w:eastAsia="Times New Roman" w:hAnsi="Times New Roman"/>
          <w:sz w:val="22"/>
          <w:szCs w:val="22"/>
          <w:color w:val="auto"/>
        </w:rPr>
        <w:t>”). In such case, the Purchaser must provide an irrevocable written notice to BITMAIN and pay the amount in US dollars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580"/>
          </w:cols>
          <w:pgMar w:left="980" w:top="1440" w:right="339" w:bottom="1440" w:gutter="0" w:footer="0" w:header="0"/>
        </w:sectPr>
      </w:pPr>
    </w:p>
    <w:bookmarkStart w:id="58" w:name="page59"/>
    <w:bookmarkEnd w:id="58"/>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ind w:left="560"/>
        <w:spacing w:after="0" w:line="271" w:lineRule="auto"/>
        <w:rPr>
          <w:sz w:val="20"/>
          <w:szCs w:val="20"/>
          <w:color w:val="auto"/>
        </w:rPr>
      </w:pPr>
      <w:r>
        <w:rPr>
          <w:rFonts w:ascii="Times New Roman" w:cs="Times New Roman" w:eastAsia="Times New Roman" w:hAnsi="Times New Roman"/>
          <w:sz w:val="22"/>
          <w:szCs w:val="22"/>
          <w:color w:val="auto"/>
        </w:rPr>
        <w:t>equivalent of the second half of the Total Paid BTC as per the table above in a single payment within seven (7) days of such notice.</w:t>
      </w:r>
    </w:p>
    <w:p>
      <w:pPr>
        <w:spacing w:after="0" w:line="158" w:lineRule="exact"/>
        <w:rPr>
          <w:sz w:val="20"/>
          <w:szCs w:val="20"/>
          <w:color w:val="auto"/>
        </w:rPr>
      </w:pPr>
    </w:p>
    <w:p>
      <w:pPr>
        <w:jc w:val="both"/>
        <w:ind w:left="560"/>
        <w:spacing w:after="0" w:line="263" w:lineRule="auto"/>
        <w:rPr>
          <w:sz w:val="20"/>
          <w:szCs w:val="20"/>
          <w:color w:val="auto"/>
        </w:rPr>
      </w:pPr>
      <w:r>
        <w:rPr>
          <w:rFonts w:ascii="Times New Roman" w:cs="Times New Roman" w:eastAsia="Times New Roman" w:hAnsi="Times New Roman"/>
          <w:sz w:val="22"/>
          <w:szCs w:val="22"/>
          <w:color w:val="auto"/>
        </w:rPr>
        <w:t>BITMAIN will send an email reminder to the Purchaser ten (10) days before each Option Period is due, urging timely repurchase and indicating to the Purchaser the deadline for providing BITMAIN with proof of fund transfer.</w:t>
      </w:r>
    </w:p>
    <w:p>
      <w:pPr>
        <w:spacing w:after="0" w:line="167"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22"/>
          <w:szCs w:val="22"/>
          <w:color w:val="auto"/>
        </w:rPr>
        <w:t>In the event that Purchaser does not elect to repurchase any Total Paid BTC before the corresponding Option Period, BITMAIN shall have the right, at its sole discretion, to dispose of all the remaining paid BTC held by BITMAIN, and Purchaser shall have no further rights to repurchase any remaining paid BTC and will also have no further payment obligations towards BITMAIN.</w:t>
      </w:r>
    </w:p>
    <w:p>
      <w:pPr>
        <w:spacing w:after="0" w:line="172"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Arial" w:cs="Arial" w:eastAsia="Arial" w:hAnsi="Arial"/>
          <w:sz w:val="20"/>
          <w:szCs w:val="20"/>
          <w:color w:val="auto"/>
        </w:rPr>
        <w:t>1.2</w:t>
      </w:r>
      <w:r>
        <w:rPr>
          <w:sz w:val="20"/>
          <w:szCs w:val="20"/>
          <w:color w:val="auto"/>
        </w:rPr>
        <w:tab/>
      </w:r>
      <w:r>
        <w:rPr>
          <w:rFonts w:ascii="Times New Roman" w:cs="Times New Roman" w:eastAsia="Times New Roman" w:hAnsi="Times New Roman"/>
          <w:sz w:val="22"/>
          <w:szCs w:val="22"/>
          <w:b w:val="1"/>
          <w:bCs w:val="1"/>
          <w:color w:val="auto"/>
        </w:rPr>
        <w:t>Forward Deliverables</w:t>
      </w:r>
      <w:r>
        <w:rPr>
          <w:rFonts w:ascii="Times New Roman" w:cs="Times New Roman" w:eastAsia="Times New Roman" w:hAnsi="Times New Roman"/>
          <w:sz w:val="22"/>
          <w:szCs w:val="22"/>
          <w:color w:val="auto"/>
        </w:rPr>
        <w:t>. In the spirit of cooperation and partnership, BITMAIN shall use its best efforts to deliver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Purchaser all Forward Deliverables by June 23, 2025 (“</w:t>
      </w:r>
      <w:r>
        <w:rPr>
          <w:rFonts w:ascii="Times New Roman" w:cs="Times New Roman" w:eastAsia="Times New Roman" w:hAnsi="Times New Roman"/>
          <w:sz w:val="22"/>
          <w:szCs w:val="22"/>
          <w:b w:val="1"/>
          <w:bCs w:val="1"/>
          <w:color w:val="auto"/>
        </w:rPr>
        <w:t>Delivery Date</w:t>
      </w:r>
      <w:r>
        <w:rPr>
          <w:rFonts w:ascii="Times New Roman" w:cs="Times New Roman" w:eastAsia="Times New Roman" w:hAnsi="Times New Roman"/>
          <w:sz w:val="22"/>
          <w:szCs w:val="22"/>
          <w:color w:val="auto"/>
        </w:rPr>
        <w:t>”), which, for the avoidance of doubt, amends any agreed shipping schedule in the Notice of Exercise, provided that the Purchaser shall have transferred the specific amount needed for BTC Transaction to BITMAIN pursuant to the Section 1.1(c) of this Deed. For the avoidance of doubt, except for the amendment to shipping schedule herein, the provisions of the Original Agreements with respect to shipping arrangements for the Forward Deliverables shall not otherwise be affected by this Deed.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 All provisions of and information concerning this Deed and matters pertaining to or derived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 of Products pursuant to this Deed between the Parties, whether in oral or written form, or in the form of drawings, computer programs or other, as well as all data derived therefrom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shall be deemed to be confidential and, as such, may not be divulged to any unauthorized person. Each Party undertakes and agrees to take all reasonable and practicable steps to ensure and protect the confidentiality of the Confidential Information which cannot be passed, sold, traded, published or disclosed to any unauthorized person. The Parties agree that authorized persons shall include the Purchaser's Affiliates, officers, employees, agents, or professional advisers (legal, financial or other) (“</w:t>
      </w:r>
      <w:r>
        <w:rPr>
          <w:rFonts w:ascii="Times New Roman" w:cs="Times New Roman" w:eastAsia="Times New Roman" w:hAnsi="Times New Roman"/>
          <w:sz w:val="22"/>
          <w:szCs w:val="22"/>
          <w:b w:val="1"/>
          <w:bCs w:val="1"/>
          <w:color w:val="auto"/>
        </w:rPr>
        <w:t>Authorized Persons</w:t>
      </w:r>
      <w:r>
        <w:rPr>
          <w:rFonts w:ascii="Times New Roman" w:cs="Times New Roman" w:eastAsia="Times New Roman" w:hAnsi="Times New Roman"/>
          <w:sz w:val="22"/>
          <w:szCs w:val="22"/>
          <w:color w:val="auto"/>
        </w:rPr>
        <w:t>”) provided such Authorized Persons are under non-disclosure obligations with the Purchaser. The Parties further agree that Purchaser may disclose this Deed if required by law or by order of any court or tribunal of competent jurisdiction, or by any Government Authority, stock exchange or other regulatory body.</w:t>
      </w:r>
    </w:p>
    <w:p>
      <w:pPr>
        <w:spacing w:after="0" w:line="177" w:lineRule="exact"/>
        <w:rPr>
          <w:sz w:val="20"/>
          <w:szCs w:val="20"/>
          <w:color w:val="auto"/>
        </w:rPr>
      </w:pPr>
    </w:p>
    <w:p>
      <w:pPr>
        <w:jc w:val="both"/>
        <w:ind w:left="180" w:hanging="647"/>
        <w:spacing w:after="0" w:line="265" w:lineRule="auto"/>
        <w:tabs>
          <w:tab w:leader="none" w:pos="16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b w:val="1"/>
          <w:bCs w:val="1"/>
          <w:color w:val="auto"/>
        </w:rPr>
        <w:t>Original Agreements</w:t>
      </w:r>
      <w:r>
        <w:rPr>
          <w:rFonts w:ascii="Times New Roman" w:cs="Times New Roman" w:eastAsia="Times New Roman" w:hAnsi="Times New Roman"/>
          <w:sz w:val="22"/>
          <w:szCs w:val="22"/>
          <w:color w:val="auto"/>
        </w:rPr>
        <w:t>. For the avoidance of doubt, except as set out in this Supplemental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the Original Agreements shall not otherwise be affected by this Deed and shall remain in full force and effect. 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1440" w:right="339" w:bottom="1440" w:gutter="0" w:footer="0" w:header="0"/>
        </w:sectPr>
      </w:pPr>
    </w:p>
    <w:bookmarkStart w:id="59" w:name="page60"/>
    <w:bookmarkEnd w:id="5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ind w:left="1300"/>
        <w:spacing w:after="0" w:line="271" w:lineRule="auto"/>
        <w:rPr>
          <w:sz w:val="20"/>
          <w:szCs w:val="20"/>
          <w:color w:val="auto"/>
        </w:rPr>
      </w:pPr>
      <w:r>
        <w:rPr>
          <w:rFonts w:ascii="Times New Roman" w:cs="Times New Roman" w:eastAsia="Times New Roman" w:hAnsi="Times New Roman"/>
          <w:sz w:val="22"/>
          <w:szCs w:val="22"/>
          <w:color w:val="auto"/>
        </w:rPr>
        <w:t>the event of discrepancies between this Deed and the Original Agreements, the provisions of this Deed shall prevail.</w:t>
      </w:r>
    </w:p>
    <w:p>
      <w:pPr>
        <w:spacing w:after="0" w:line="154"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2"/>
          <w:szCs w:val="22"/>
          <w:b w:val="1"/>
          <w:bCs w:val="1"/>
          <w:color w:val="auto"/>
        </w:rPr>
        <w:t>Further Assurance</w:t>
      </w:r>
      <w:r>
        <w:rPr>
          <w:rFonts w:ascii="Times New Roman" w:cs="Times New Roman" w:eastAsia="Times New Roman" w:hAnsi="Times New Roman"/>
          <w:sz w:val="22"/>
          <w:szCs w:val="22"/>
          <w:color w:val="auto"/>
        </w:rPr>
        <w:t>. At all times after the date of this Deed, each of the Parties agrees to perform (or procure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of) all such acts and things and/or to execute and deliver (or procure the execution and delivery of) all such documents, as may be required by law or as may be necessary or reasonably requested by the other parties for giving full effect to this Deed.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color w:val="auto"/>
        </w:rPr>
        <w:t>Except as modified by this Deed, the provisions of the Original Agreements apply mutatis mutandis to this Deed.</w:t>
      </w:r>
    </w:p>
    <w:p>
      <w:pPr>
        <w:spacing w:after="0" w:line="21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Novation</w:t>
      </w:r>
    </w:p>
    <w:p>
      <w:pPr>
        <w:spacing w:after="0" w:line="23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Effective Date:</w:t>
      </w: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1300" w:right="20" w:hanging="648"/>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The Parties hereby acknowledge and agree that, the Outgoing Party transfers all its rights and obligations under the Original Agreements as amended herein (“</w:t>
      </w:r>
      <w:r>
        <w:rPr>
          <w:rFonts w:ascii="Times New Roman" w:cs="Times New Roman" w:eastAsia="Times New Roman" w:hAnsi="Times New Roman"/>
          <w:sz w:val="22"/>
          <w:szCs w:val="22"/>
          <w:b w:val="1"/>
          <w:bCs w:val="1"/>
          <w:color w:val="auto"/>
        </w:rPr>
        <w:t>Transferred Rights and Obligations</w:t>
      </w:r>
      <w:r>
        <w:rPr>
          <w:rFonts w:ascii="Times New Roman" w:cs="Times New Roman" w:eastAsia="Times New Roman" w:hAnsi="Times New Roman"/>
          <w:sz w:val="22"/>
          <w:szCs w:val="22"/>
          <w:color w:val="auto"/>
        </w:rPr>
        <w:t>”) to the Incoming Party.</w:t>
      </w:r>
    </w:p>
    <w:p>
      <w:pPr>
        <w:spacing w:after="0" w:line="157" w:lineRule="exact"/>
        <w:rPr>
          <w:rFonts w:ascii="Times New Roman" w:cs="Times New Roman" w:eastAsia="Times New Roman" w:hAnsi="Times New Roman"/>
          <w:sz w:val="22"/>
          <w:szCs w:val="22"/>
          <w:color w:val="auto"/>
        </w:rPr>
      </w:pPr>
    </w:p>
    <w:p>
      <w:pPr>
        <w:ind w:left="1300" w:hanging="648"/>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The Incoming Party shall enjoy all the rights and benefits of the Outgoing Party in connection with the Transferred Rights and Obligations under the Original Agreements as amended herein. The Incoming Party agrees to perform the Original Agreements as amended herein and be bound by its terms in every way in connection with the Transferred Rights and Obligations as if it were the original party to it in place of the Outgoing Party.</w:t>
      </w:r>
    </w:p>
    <w:p>
      <w:pPr>
        <w:spacing w:after="0" w:line="176" w:lineRule="exact"/>
        <w:rPr>
          <w:rFonts w:ascii="Times New Roman" w:cs="Times New Roman" w:eastAsia="Times New Roman" w:hAnsi="Times New Roman"/>
          <w:sz w:val="22"/>
          <w:szCs w:val="22"/>
          <w:color w:val="auto"/>
        </w:rPr>
      </w:pPr>
    </w:p>
    <w:p>
      <w:pPr>
        <w:ind w:left="1300" w:hanging="648"/>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The Continuing Party agrees to perform the Original Agreements as amended herein and be bound by its terms in every way as if the Incoming Party were the original party to it in place of the Outgoing Party in connection with the Transferred Rights and Obligations.</w:t>
      </w:r>
    </w:p>
    <w:p>
      <w:pPr>
        <w:spacing w:after="0" w:line="172" w:lineRule="exact"/>
        <w:rPr>
          <w:rFonts w:ascii="Times New Roman" w:cs="Times New Roman" w:eastAsia="Times New Roman" w:hAnsi="Times New Roman"/>
          <w:sz w:val="22"/>
          <w:szCs w:val="22"/>
          <w:color w:val="auto"/>
        </w:rPr>
      </w:pPr>
    </w:p>
    <w:p>
      <w:pPr>
        <w:ind w:left="1300" w:hanging="648"/>
        <w:spacing w:after="0" w:line="28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All references to the Outgoing Party in the Original Agreements as amended herein shall be read and construed as references to the Incoming Party.</w:t>
      </w:r>
    </w:p>
    <w:p>
      <w:pPr>
        <w:spacing w:after="0" w:line="13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 of obligations</w:t>
      </w:r>
    </w:p>
    <w:p>
      <w:pPr>
        <w:spacing w:after="0" w:line="22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The Continuing Party and the Outgoing Party release each other from all future obligations to the other in</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connection with the Transferred Rights and Obligations under the Original Agreements as amended herein.</w:t>
      </w:r>
    </w:p>
    <w:p>
      <w:pPr>
        <w:spacing w:after="0" w:line="195" w:lineRule="exact"/>
        <w:rPr>
          <w:rFonts w:ascii="Times New Roman" w:cs="Times New Roman" w:eastAsia="Times New Roman" w:hAnsi="Times New Roman"/>
          <w:sz w:val="22"/>
          <w:szCs w:val="22"/>
          <w:color w:val="auto"/>
        </w:rPr>
      </w:pPr>
    </w:p>
    <w:p>
      <w:pPr>
        <w:ind w:left="1300" w:hanging="648"/>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Nothing in this Deed shall affect or prejudice any claim or demand that the Continuing Party or the Outgoing Party may have against each other under or in connection with the Original Agreements as amended herein with respect to matters occurring before the Effective Date or other than in connection with the Transferred Rights and Obligations.</w:t>
      </w:r>
    </w:p>
    <w:p>
      <w:pPr>
        <w:spacing w:after="0" w:line="17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Governing law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jc w:val="both"/>
        <w:ind w:left="652" w:right="20"/>
        <w:spacing w:after="0" w:line="263" w:lineRule="auto"/>
        <w:rPr>
          <w:sz w:val="20"/>
          <w:szCs w:val="20"/>
          <w:color w:val="auto"/>
        </w:rPr>
      </w:pPr>
      <w:r>
        <w:rPr>
          <w:rFonts w:ascii="Times New Roman" w:cs="Times New Roman" w:eastAsia="Times New Roman" w:hAnsi="Times New Roman"/>
          <w:sz w:val="22"/>
          <w:szCs w:val="22"/>
          <w:color w:val="auto"/>
        </w:rPr>
        <w:t>This Deed and any dispute or claim (including non-contractual disputes or claims) arising out of or in connection with it or its subject matter or formation shall be governed by and construed in accordance with the law of the State of Delaware, USA.</w:t>
      </w:r>
    </w:p>
    <w:p>
      <w:pPr>
        <w:spacing w:after="0" w:line="200" w:lineRule="exact"/>
        <w:rPr>
          <w:sz w:val="20"/>
          <w:szCs w:val="20"/>
          <w:color w:val="auto"/>
        </w:rPr>
      </w:pPr>
    </w:p>
    <w:p>
      <w:pPr>
        <w:spacing w:after="0" w:line="206" w:lineRule="exact"/>
        <w:rPr>
          <w:sz w:val="20"/>
          <w:szCs w:val="20"/>
          <w:color w:val="auto"/>
        </w:rPr>
      </w:pPr>
    </w:p>
    <w:p>
      <w:pPr>
        <w:ind w:left="652" w:hanging="652"/>
        <w:spacing w:after="0"/>
        <w:tabs>
          <w:tab w:leader="none" w:pos="65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Dispute resolution</w:t>
      </w:r>
    </w:p>
    <w:p>
      <w:pPr>
        <w:spacing w:after="0" w:line="223" w:lineRule="exact"/>
        <w:rPr>
          <w:rFonts w:ascii="Times New Roman" w:cs="Times New Roman" w:eastAsia="Times New Roman" w:hAnsi="Times New Roman"/>
          <w:sz w:val="22"/>
          <w:szCs w:val="22"/>
          <w:color w:val="auto"/>
        </w:rPr>
      </w:pPr>
    </w:p>
    <w:p>
      <w:pPr>
        <w:jc w:val="both"/>
        <w:ind w:left="652"/>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All disputes arising under this agreement shall be governed by and interpreted in accordance with the laws of the State of Delaware, without regard to principles of conflict of laws. The parties to this agreement will submit all disputes arising under this agreement to arbitration in Houston, Texas before a single arbitrator of the American Arbitration Association (“AAA”). The arbitrator shall be selected by application of the rules of the AAA, or by mutual agreement of the parties, except that such arbitrator shall be an attorney admitted to practice law in the State of Delaware. No party to this agreement will challenge the jurisdiction or venue provisions as provided in this section. No party to this agreement will challenge the jurisdiction or venue provisions as provided in this section. Nothing contained herein shall prevent the party from obtaining an injunction. EACH PARTY HEREBY IRREVOCABLY AND UNCONDITIONALLY WAIVES ANY AND ALL RIGHT TO TRIAL BY JURY IN ANY ACTION, SUIT, PROCEEDING OR COUNTERCLAIM ARISING OUT OF OR RELATING TO THIS AGREEMENT OR THE TRANSACTIONS CONTEMPLATED HEREBY, WHETHER BASED ON CONTRACT, TORT OR ANY OTHER THEORY.</w:t>
      </w:r>
    </w:p>
    <w:p>
      <w:pPr>
        <w:spacing w:after="0" w:line="17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32"/>
          </w:cols>
          <w:pgMar w:left="328" w:top="1440" w:right="339" w:bottom="1440" w:gutter="0" w:footer="0" w:header="0"/>
        </w:sectPr>
      </w:pPr>
    </w:p>
    <w:bookmarkStart w:id="61" w:name="page62"/>
    <w:bookmarkEnd w:id="61"/>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This document has been executed as a deed and is delivered and takes effect on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EXECUTED AS A DEED </w:t>
      </w:r>
      <w:r>
        <w:rPr>
          <w:rFonts w:ascii="Times New Roman" w:cs="Times New Roman" w:eastAsia="Times New Roman" w:hAnsi="Times New Roman"/>
          <w:sz w:val="22"/>
          <w:szCs w:val="22"/>
          <w:color w:val="auto"/>
        </w:rPr>
        <w:t>for and on behalf of: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BITMAIN TECHNOLOGIES DELAWARE LIMITED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Yan Hao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Witness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39"/>
          </w:cols>
          <w:pgMar w:left="320" w:top="1440" w:right="1440" w:bottom="1440" w:gutter="0" w:footer="0" w:header="0"/>
        </w:sectPr>
      </w:pPr>
    </w:p>
    <w:bookmarkStart w:id="62" w:name="page63"/>
    <w:bookmarkEnd w:id="62"/>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139"/>
          </w:cols>
          <w:pgMar w:left="320" w:top="1440" w:right="1440" w:bottom="1440" w:gutter="0" w:footer="0" w:header="0"/>
        </w:sectPr>
      </w:pPr>
    </w:p>
    <w:bookmarkStart w:id="63" w:name="page64"/>
    <w:bookmarkEnd w:id="6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 xml:space="preserve">EXECUTED AS A DEED </w:t>
      </w:r>
      <w:r>
        <w:rPr>
          <w:rFonts w:ascii="Times New Roman" w:cs="Times New Roman" w:eastAsia="Times New Roman" w:hAnsi="Times New Roman"/>
          <w:sz w:val="22"/>
          <w:szCs w:val="22"/>
          <w:color w:val="auto"/>
        </w:rPr>
        <w:t>for and on behalf of:</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CIPHER MINING BLACK PEARL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William Iwaschuk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Co-President &amp;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Witness</w:t>
      </w:r>
    </w:p>
    <w:p>
      <w:pPr>
        <w:spacing w:after="0" w:line="2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19"/>
          <w:szCs w:val="19"/>
          <w:color w:val="auto"/>
        </w:rPr>
        <w:t>Tina Wu</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139"/>
          </w:cols>
          <w:pgMar w:left="320" w:top="14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EXECUTED AS A DEED </w:t>
      </w:r>
      <w:r>
        <w:rPr>
          <w:rFonts w:ascii="Times New Roman" w:cs="Times New Roman" w:eastAsia="Times New Roman" w:hAnsi="Times New Roman"/>
          <w:sz w:val="22"/>
          <w:szCs w:val="22"/>
          <w:color w:val="auto"/>
        </w:rPr>
        <w:t>for and on behalf of:</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CIPHER MINING INFRASTRUCTURE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William Iwaschuk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Co-President &amp;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presence 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Witness</w:t>
      </w:r>
    </w:p>
    <w:p>
      <w:pPr>
        <w:spacing w:after="0" w:line="2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19"/>
          <w:szCs w:val="19"/>
          <w:color w:val="auto"/>
        </w:rPr>
        <w:t>Tina Wu</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139"/>
          </w:cols>
          <w:pgMar w:left="320" w:top="1440" w:right="1440" w:bottom="1440" w:gutter="0" w:footer="0" w:header="0"/>
        </w:sectPr>
      </w:pPr>
    </w:p>
    <w:bookmarkStart w:id="65" w:name="page66"/>
    <w:bookmarkEnd w:id="65"/>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jc w:val="center"/>
        <w:ind w:right="-259"/>
        <w:spacing w:after="0"/>
        <w:rPr>
          <w:sz w:val="20"/>
          <w:szCs w:val="20"/>
          <w:color w:val="auto"/>
        </w:rPr>
      </w:pPr>
      <w:r>
        <w:rPr>
          <w:rFonts w:ascii="Times New Roman" w:cs="Times New Roman" w:eastAsia="Times New Roman" w:hAnsi="Times New Roman"/>
          <w:sz w:val="29"/>
          <w:szCs w:val="29"/>
          <w:b w:val="1"/>
          <w:bCs w:val="1"/>
          <w:color w:val="auto"/>
        </w:rPr>
        <w:t>SCHEDULE I</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details of the Remaining Payments under the Original Agreements are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36"/>
        </w:trPr>
        <w:tc>
          <w:tcPr>
            <w:tcW w:w="840" w:type="dxa"/>
            <w:vAlign w:val="bottom"/>
            <w:tcBorders>
              <w:top w:val="single" w:sz="8" w:color="auto"/>
              <w:left w:val="single" w:sz="8" w:color="auto"/>
              <w:right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142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Delivery</w:t>
            </w:r>
          </w:p>
        </w:tc>
        <w:tc>
          <w:tcPr>
            <w:tcW w:w="120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Amount of</w:t>
            </w:r>
          </w:p>
        </w:tc>
        <w:tc>
          <w:tcPr>
            <w:tcW w:w="820" w:type="dxa"/>
            <w:vAlign w:val="bottom"/>
            <w:tcBorders>
              <w:top w:val="single" w:sz="8" w:color="auto"/>
              <w:right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Due</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The</w:t>
            </w:r>
          </w:p>
        </w:tc>
        <w:tc>
          <w:tcPr>
            <w:tcW w:w="1880" w:type="dxa"/>
            <w:vAlign w:val="bottom"/>
            <w:tcBorders>
              <w:top w:val="single" w:sz="8" w:color="auto"/>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Revised Payment</w:t>
            </w:r>
          </w:p>
        </w:tc>
        <w:tc>
          <w:tcPr>
            <w:tcW w:w="1660" w:type="dxa"/>
            <w:vAlign w:val="bottom"/>
            <w:tcBorders>
              <w:top w:val="single" w:sz="8" w:color="auto"/>
              <w:right w:val="single" w:sz="8" w:color="auto"/>
            </w:tcBorders>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Relevant</w:t>
            </w: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Model</w:t>
            </w:r>
          </w:p>
        </w:tc>
        <w:tc>
          <w:tcPr>
            <w:tcW w:w="1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Order Type</w:t>
            </w:r>
          </w:p>
        </w:tc>
        <w:tc>
          <w:tcPr>
            <w:tcW w:w="14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Corresponding</w:t>
            </w:r>
          </w:p>
        </w:tc>
        <w:tc>
          <w:tcPr>
            <w:tcW w:w="1880" w:type="dxa"/>
            <w:vAlign w:val="bottom"/>
            <w:tcBorders>
              <w:right w:val="single" w:sz="8" w:color="auto"/>
            </w:tcBorders>
            <w:gridSpan w:val="3"/>
            <w:vMerge w:val="continue"/>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Borders>
              <w:left w:val="single" w:sz="8" w:color="auto"/>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120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22"/>
                <w:szCs w:val="22"/>
                <w:b w:val="1"/>
                <w:bCs w:val="1"/>
                <w:color w:val="auto"/>
              </w:rPr>
              <w:t>Units</w:t>
            </w:r>
          </w:p>
        </w:tc>
        <w:tc>
          <w:tcPr>
            <w:tcW w:w="820" w:type="dxa"/>
            <w:vAlign w:val="bottom"/>
            <w:tcBorders>
              <w:right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w:t>
            </w:r>
          </w:p>
        </w:tc>
        <w:tc>
          <w:tcPr>
            <w:tcW w:w="1900" w:type="dxa"/>
            <w:vAlign w:val="bottom"/>
            <w:tcBorders>
              <w:right w:val="single" w:sz="8" w:color="auto"/>
            </w:tcBorders>
            <w:vMerge w:val="continue"/>
          </w:tcPr>
          <w:p>
            <w:pPr>
              <w:spacing w:after="0"/>
              <w:rPr>
                <w:sz w:val="12"/>
                <w:szCs w:val="12"/>
                <w:color w:val="auto"/>
              </w:rPr>
            </w:pPr>
          </w:p>
        </w:tc>
        <w:tc>
          <w:tcPr>
            <w:tcW w:w="1440" w:type="dxa"/>
            <w:vAlign w:val="bottom"/>
            <w:gridSpan w:val="2"/>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Date</w:t>
            </w:r>
          </w:p>
        </w:tc>
        <w:tc>
          <w:tcPr>
            <w:tcW w:w="4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Contract No.</w:t>
            </w:r>
          </w:p>
        </w:tc>
        <w:tc>
          <w:tcPr>
            <w:tcW w:w="0" w:type="dxa"/>
            <w:vAlign w:val="bottom"/>
          </w:tcPr>
          <w:p>
            <w:pPr>
              <w:spacing w:after="0"/>
              <w:rPr>
                <w:sz w:val="1"/>
                <w:szCs w:val="1"/>
                <w:color w:val="auto"/>
              </w:rPr>
            </w:pPr>
          </w:p>
        </w:tc>
      </w:tr>
      <w:tr>
        <w:trPr>
          <w:trHeight w:val="162"/>
        </w:trPr>
        <w:tc>
          <w:tcPr>
            <w:tcW w:w="840" w:type="dxa"/>
            <w:vAlign w:val="bottom"/>
            <w:tcBorders>
              <w:left w:val="single" w:sz="8" w:color="auto"/>
              <w:right w:val="single" w:sz="8" w:color="auto"/>
            </w:tcBorders>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820" w:type="dxa"/>
            <w:vAlign w:val="bottom"/>
            <w:tcBorders>
              <w:right w:val="single" w:sz="8" w:color="auto"/>
            </w:tcBorders>
            <w:gridSpan w:val="2"/>
            <w:vMerge w:val="continue"/>
          </w:tcPr>
          <w:p>
            <w:pPr>
              <w:spacing w:after="0"/>
              <w:rPr>
                <w:sz w:val="14"/>
                <w:szCs w:val="1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Balance Payment</w:t>
            </w:r>
          </w:p>
        </w:tc>
        <w:tc>
          <w:tcPr>
            <w:tcW w:w="1440" w:type="dxa"/>
            <w:vAlign w:val="bottom"/>
            <w:gridSpan w:val="2"/>
            <w:vMerge w:val="continue"/>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right w:val="single" w:sz="8" w:color="auto"/>
            </w:tcBorders>
            <w:gridSpan w:val="2"/>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S21</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Call option</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May, 2025</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6,000</w:t>
            </w: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Apr  1,</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US$10,449,000.00</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FUTR-XS-</w:t>
            </w:r>
          </w:p>
        </w:tc>
        <w:tc>
          <w:tcPr>
            <w:tcW w:w="0" w:type="dxa"/>
            <w:vAlign w:val="bottom"/>
          </w:tcPr>
          <w:p>
            <w:pPr>
              <w:spacing w:after="0"/>
              <w:rPr>
                <w:sz w:val="1"/>
                <w:szCs w:val="1"/>
                <w:color w:val="auto"/>
              </w:rPr>
            </w:pPr>
          </w:p>
        </w:tc>
      </w:tr>
      <w:tr>
        <w:trPr>
          <w:trHeight w:val="311"/>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XP</w:t>
            </w:r>
          </w:p>
        </w:tc>
        <w:tc>
          <w:tcPr>
            <w:tcW w:w="12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2025</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00120250206001</w:t>
            </w:r>
          </w:p>
        </w:tc>
        <w:tc>
          <w:tcPr>
            <w:tcW w:w="0" w:type="dxa"/>
            <w:vAlign w:val="bottom"/>
          </w:tcPr>
          <w:p>
            <w:pPr>
              <w:spacing w:after="0"/>
              <w:rPr>
                <w:sz w:val="1"/>
                <w:szCs w:val="1"/>
                <w:color w:val="auto"/>
              </w:rPr>
            </w:pPr>
          </w:p>
        </w:tc>
      </w:tr>
      <w:tr>
        <w:trPr>
          <w:trHeight w:val="150"/>
        </w:trPr>
        <w:tc>
          <w:tcPr>
            <w:tcW w:w="84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S21</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Call option</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June, 2025</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26,164</w:t>
            </w: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May 1,</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US$45,564,606.00</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FUTR-XS-</w:t>
            </w:r>
          </w:p>
        </w:tc>
        <w:tc>
          <w:tcPr>
            <w:tcW w:w="0" w:type="dxa"/>
            <w:vAlign w:val="bottom"/>
          </w:tcPr>
          <w:p>
            <w:pPr>
              <w:spacing w:after="0"/>
              <w:rPr>
                <w:sz w:val="1"/>
                <w:szCs w:val="1"/>
                <w:color w:val="auto"/>
              </w:rPr>
            </w:pPr>
          </w:p>
        </w:tc>
      </w:tr>
      <w:tr>
        <w:trPr>
          <w:trHeight w:val="311"/>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XP</w:t>
            </w:r>
          </w:p>
        </w:tc>
        <w:tc>
          <w:tcPr>
            <w:tcW w:w="12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2025</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00120250206001</w:t>
            </w:r>
          </w:p>
        </w:tc>
        <w:tc>
          <w:tcPr>
            <w:tcW w:w="0" w:type="dxa"/>
            <w:vAlign w:val="bottom"/>
          </w:tcPr>
          <w:p>
            <w:pPr>
              <w:spacing w:after="0"/>
              <w:rPr>
                <w:sz w:val="1"/>
                <w:szCs w:val="1"/>
                <w:color w:val="auto"/>
              </w:rPr>
            </w:pPr>
          </w:p>
        </w:tc>
      </w:tr>
      <w:tr>
        <w:trPr>
          <w:trHeight w:val="108"/>
        </w:trPr>
        <w:tc>
          <w:tcPr>
            <w:tcW w:w="840" w:type="dxa"/>
            <w:vAlign w:val="bottom"/>
            <w:tcBorders>
              <w:left w:val="single" w:sz="8" w:color="auto"/>
              <w:right w:val="single" w:sz="8" w:color="auto"/>
            </w:tcBorders>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84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820" w:type="dxa"/>
            <w:vAlign w:val="bottom"/>
            <w:tcBorders>
              <w:bottom w:val="single" w:sz="8" w:color="auto"/>
              <w:right w:val="single" w:sz="8" w:color="auto"/>
            </w:tcBorders>
            <w:gridSpan w:val="2"/>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S21</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Call option</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May, 2025</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6,000</w:t>
            </w:r>
          </w:p>
        </w:tc>
        <w:tc>
          <w:tcPr>
            <w:tcW w:w="8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Oct 28,</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US$6,966,000.00</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Within</w:t>
            </w:r>
          </w:p>
        </w:tc>
        <w:tc>
          <w:tcPr>
            <w:tcW w:w="900" w:type="dxa"/>
            <w:vAlign w:val="bottom"/>
            <w:tcBorders>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fourteen</w:t>
            </w: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FUTR-XS-</w:t>
            </w:r>
          </w:p>
        </w:tc>
        <w:tc>
          <w:tcPr>
            <w:tcW w:w="0" w:type="dxa"/>
            <w:vAlign w:val="bottom"/>
          </w:tcPr>
          <w:p>
            <w:pPr>
              <w:spacing w:after="0"/>
              <w:rPr>
                <w:sz w:val="1"/>
                <w:szCs w:val="1"/>
                <w:color w:val="auto"/>
              </w:rPr>
            </w:pPr>
          </w:p>
        </w:tc>
      </w:tr>
      <w:tr>
        <w:trPr>
          <w:trHeight w:val="271"/>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XP</w:t>
            </w:r>
          </w:p>
        </w:tc>
        <w:tc>
          <w:tcPr>
            <w:tcW w:w="1260" w:type="dxa"/>
            <w:vAlign w:val="bottom"/>
            <w:tcBorders>
              <w:right w:val="single" w:sz="8" w:color="auto"/>
            </w:tcBorders>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1200" w:type="dxa"/>
            <w:vAlign w:val="bottom"/>
            <w:tcBorders>
              <w:right w:val="single" w:sz="8" w:color="auto"/>
            </w:tcBorders>
          </w:tcPr>
          <w:p>
            <w:pPr>
              <w:spacing w:after="0"/>
              <w:rPr>
                <w:sz w:val="23"/>
                <w:szCs w:val="23"/>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2025</w:t>
            </w:r>
          </w:p>
        </w:tc>
        <w:tc>
          <w:tcPr>
            <w:tcW w:w="30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980" w:type="dxa"/>
            <w:vAlign w:val="bottom"/>
            <w:vMerge w:val="continue"/>
          </w:tcPr>
          <w:p>
            <w:pPr>
              <w:spacing w:after="0"/>
              <w:rPr>
                <w:sz w:val="23"/>
                <w:szCs w:val="23"/>
                <w:color w:val="auto"/>
              </w:rPr>
            </w:pPr>
          </w:p>
        </w:tc>
        <w:tc>
          <w:tcPr>
            <w:tcW w:w="900" w:type="dxa"/>
            <w:vAlign w:val="bottom"/>
            <w:tcBorders>
              <w:right w:val="single" w:sz="8" w:color="auto"/>
            </w:tcBorders>
            <w:gridSpan w:val="2"/>
            <w:vMerge w:val="continue"/>
          </w:tcPr>
          <w:p>
            <w:pPr>
              <w:spacing w:after="0"/>
              <w:rPr>
                <w:sz w:val="23"/>
                <w:szCs w:val="23"/>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00120250206001</w:t>
            </w:r>
          </w:p>
        </w:tc>
        <w:tc>
          <w:tcPr>
            <w:tcW w:w="0" w:type="dxa"/>
            <w:vAlign w:val="bottom"/>
          </w:tcPr>
          <w:p>
            <w:pPr>
              <w:spacing w:after="0"/>
              <w:rPr>
                <w:sz w:val="1"/>
                <w:szCs w:val="1"/>
                <w:color w:val="auto"/>
              </w:rPr>
            </w:pPr>
          </w:p>
        </w:tc>
      </w:tr>
      <w:tr>
        <w:trPr>
          <w:trHeight w:val="189"/>
        </w:trPr>
        <w:tc>
          <w:tcPr>
            <w:tcW w:w="840" w:type="dxa"/>
            <w:vAlign w:val="bottom"/>
            <w:tcBorders>
              <w:left w:val="single" w:sz="8" w:color="auto"/>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spacing w:after="0"/>
              <w:rPr>
                <w:sz w:val="16"/>
                <w:szCs w:val="16"/>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(14) days</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after</w:t>
            </w:r>
          </w:p>
        </w:tc>
        <w:tc>
          <w:tcPr>
            <w:tcW w:w="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the</w:t>
            </w:r>
          </w:p>
        </w:tc>
        <w:tc>
          <w:tcPr>
            <w:tcW w:w="16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S21</w:t>
            </w:r>
          </w:p>
        </w:tc>
        <w:tc>
          <w:tcPr>
            <w:tcW w:w="12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Call option</w:t>
            </w:r>
          </w:p>
        </w:tc>
        <w:tc>
          <w:tcPr>
            <w:tcW w:w="1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June, 2025</w:t>
            </w:r>
          </w:p>
        </w:tc>
        <w:tc>
          <w:tcPr>
            <w:tcW w:w="12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26,164</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Nov</w:t>
            </w:r>
          </w:p>
        </w:tc>
        <w:tc>
          <w:tcPr>
            <w:tcW w:w="3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US$30,376,404.00</w:t>
            </w:r>
          </w:p>
        </w:tc>
        <w:tc>
          <w:tcPr>
            <w:tcW w:w="98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40" w:type="dxa"/>
            <w:vAlign w:val="bottom"/>
            <w:tcBorders>
              <w:right w:val="single" w:sz="8" w:color="auto"/>
            </w:tcBorders>
            <w:vMerge w:val="continue"/>
          </w:tcPr>
          <w:p>
            <w:pPr>
              <w:spacing w:after="0"/>
              <w:rPr>
                <w:sz w:val="6"/>
                <w:szCs w:val="6"/>
                <w:color w:val="auto"/>
              </w:rPr>
            </w:pPr>
          </w:p>
        </w:tc>
        <w:tc>
          <w:tcPr>
            <w:tcW w:w="16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FUTR-XS-</w:t>
            </w:r>
          </w:p>
        </w:tc>
        <w:tc>
          <w:tcPr>
            <w:tcW w:w="0" w:type="dxa"/>
            <w:vAlign w:val="bottom"/>
          </w:tcPr>
          <w:p>
            <w:pPr>
              <w:spacing w:after="0"/>
              <w:rPr>
                <w:sz w:val="1"/>
                <w:szCs w:val="1"/>
                <w:color w:val="auto"/>
              </w:rPr>
            </w:pPr>
          </w:p>
        </w:tc>
      </w:tr>
      <w:tr>
        <w:trPr>
          <w:trHeight w:val="271"/>
        </w:trPr>
        <w:tc>
          <w:tcPr>
            <w:tcW w:w="840" w:type="dxa"/>
            <w:vAlign w:val="bottom"/>
            <w:tcBorders>
              <w:left w:val="single" w:sz="8" w:color="auto"/>
              <w:right w:val="single" w:sz="8" w:color="auto"/>
            </w:tcBorders>
            <w:vMerge w:val="continue"/>
          </w:tcPr>
          <w:p>
            <w:pPr>
              <w:spacing w:after="0"/>
              <w:rPr>
                <w:sz w:val="23"/>
                <w:szCs w:val="23"/>
                <w:color w:val="auto"/>
              </w:rPr>
            </w:pPr>
          </w:p>
        </w:tc>
        <w:tc>
          <w:tcPr>
            <w:tcW w:w="1260" w:type="dxa"/>
            <w:vAlign w:val="bottom"/>
            <w:tcBorders>
              <w:right w:val="single" w:sz="8" w:color="auto"/>
            </w:tcBorders>
            <w:vMerge w:val="continue"/>
          </w:tcPr>
          <w:p>
            <w:pPr>
              <w:spacing w:after="0"/>
              <w:rPr>
                <w:sz w:val="23"/>
                <w:szCs w:val="23"/>
                <w:color w:val="auto"/>
              </w:rPr>
            </w:pPr>
          </w:p>
        </w:tc>
        <w:tc>
          <w:tcPr>
            <w:tcW w:w="1420" w:type="dxa"/>
            <w:vAlign w:val="bottom"/>
            <w:tcBorders>
              <w:right w:val="single" w:sz="8" w:color="auto"/>
            </w:tcBorders>
            <w:vMerge w:val="continue"/>
          </w:tcPr>
          <w:p>
            <w:pPr>
              <w:spacing w:after="0"/>
              <w:rPr>
                <w:sz w:val="23"/>
                <w:szCs w:val="23"/>
                <w:color w:val="auto"/>
              </w:rPr>
            </w:pPr>
          </w:p>
        </w:tc>
        <w:tc>
          <w:tcPr>
            <w:tcW w:w="1200" w:type="dxa"/>
            <w:vAlign w:val="bottom"/>
            <w:tcBorders>
              <w:right w:val="single" w:sz="8" w:color="auto"/>
            </w:tcBorders>
            <w:vMerge w:val="continue"/>
          </w:tcPr>
          <w:p>
            <w:pPr>
              <w:spacing w:after="0"/>
              <w:rPr>
                <w:sz w:val="23"/>
                <w:szCs w:val="23"/>
                <w:color w:val="auto"/>
              </w:rPr>
            </w:pPr>
          </w:p>
        </w:tc>
        <w:tc>
          <w:tcPr>
            <w:tcW w:w="52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900" w:type="dxa"/>
            <w:vAlign w:val="bottom"/>
            <w:tcBorders>
              <w:right w:val="single" w:sz="8" w:color="auto"/>
            </w:tcBorders>
            <w:vMerge w:val="continue"/>
          </w:tcPr>
          <w:p>
            <w:pPr>
              <w:spacing w:after="0"/>
              <w:rPr>
                <w:sz w:val="23"/>
                <w:szCs w:val="23"/>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execution</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w:t>
            </w:r>
          </w:p>
        </w:tc>
        <w:tc>
          <w:tcPr>
            <w:tcW w:w="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this</w:t>
            </w:r>
          </w:p>
        </w:tc>
        <w:tc>
          <w:tcPr>
            <w:tcW w:w="166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0"/>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XP</w:t>
            </w:r>
          </w:p>
        </w:tc>
        <w:tc>
          <w:tcPr>
            <w:tcW w:w="12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Deed</w:t>
            </w: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00120250206001</w:t>
            </w:r>
          </w:p>
        </w:tc>
        <w:tc>
          <w:tcPr>
            <w:tcW w:w="0" w:type="dxa"/>
            <w:vAlign w:val="bottom"/>
          </w:tcPr>
          <w:p>
            <w:pPr>
              <w:spacing w:after="0"/>
              <w:rPr>
                <w:sz w:val="1"/>
                <w:szCs w:val="1"/>
                <w:color w:val="auto"/>
              </w:rPr>
            </w:pPr>
          </w:p>
        </w:tc>
      </w:tr>
      <w:tr>
        <w:trPr>
          <w:trHeight w:val="351"/>
        </w:trPr>
        <w:tc>
          <w:tcPr>
            <w:tcW w:w="840" w:type="dxa"/>
            <w:vAlign w:val="bottom"/>
            <w:tcBorders>
              <w:left w:val="single" w:sz="8" w:color="auto"/>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2025</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840" w:type="dxa"/>
            <w:vAlign w:val="bottom"/>
            <w:tcBorders>
              <w:left w:val="single" w:sz="8" w:color="auto"/>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S21</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Firm Order</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Sep, 2024</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15,182</w:t>
            </w: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Jun</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US$13,428,782.64</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FUTR-XS-</w:t>
            </w:r>
          </w:p>
        </w:tc>
        <w:tc>
          <w:tcPr>
            <w:tcW w:w="0" w:type="dxa"/>
            <w:vAlign w:val="bottom"/>
          </w:tcPr>
          <w:p>
            <w:pPr>
              <w:spacing w:after="0"/>
              <w:rPr>
                <w:sz w:val="1"/>
                <w:szCs w:val="1"/>
                <w:color w:val="auto"/>
              </w:rPr>
            </w:pPr>
          </w:p>
        </w:tc>
      </w:tr>
      <w:tr>
        <w:trPr>
          <w:trHeight w:val="310"/>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w:t>
            </w:r>
          </w:p>
        </w:tc>
        <w:tc>
          <w:tcPr>
            <w:tcW w:w="12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2025</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00120240709013</w:t>
            </w:r>
          </w:p>
        </w:tc>
        <w:tc>
          <w:tcPr>
            <w:tcW w:w="0" w:type="dxa"/>
            <w:vAlign w:val="bottom"/>
          </w:tcPr>
          <w:p>
            <w:pPr>
              <w:spacing w:after="0"/>
              <w:rPr>
                <w:sz w:val="1"/>
                <w:szCs w:val="1"/>
                <w:color w:val="auto"/>
              </w:rPr>
            </w:pPr>
          </w:p>
        </w:tc>
      </w:tr>
      <w:tr>
        <w:trPr>
          <w:trHeight w:val="150"/>
        </w:trPr>
        <w:tc>
          <w:tcPr>
            <w:tcW w:w="84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S21</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Firm Order</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Oct, 2024</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15,182</w:t>
            </w: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Jul</w:t>
            </w:r>
          </w:p>
        </w:tc>
        <w:tc>
          <w:tcPr>
            <w:tcW w:w="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US$13,428,782.64</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FUTR-XS-</w:t>
            </w:r>
          </w:p>
        </w:tc>
        <w:tc>
          <w:tcPr>
            <w:tcW w:w="0" w:type="dxa"/>
            <w:vAlign w:val="bottom"/>
          </w:tcPr>
          <w:p>
            <w:pPr>
              <w:spacing w:after="0"/>
              <w:rPr>
                <w:sz w:val="1"/>
                <w:szCs w:val="1"/>
                <w:color w:val="auto"/>
              </w:rPr>
            </w:pPr>
          </w:p>
        </w:tc>
      </w:tr>
      <w:tr>
        <w:trPr>
          <w:trHeight w:val="310"/>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pro</w:t>
            </w:r>
          </w:p>
        </w:tc>
        <w:tc>
          <w:tcPr>
            <w:tcW w:w="12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2025</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00120240709013</w:t>
            </w:r>
          </w:p>
        </w:tc>
        <w:tc>
          <w:tcPr>
            <w:tcW w:w="0" w:type="dxa"/>
            <w:vAlign w:val="bottom"/>
          </w:tcPr>
          <w:p>
            <w:pPr>
              <w:spacing w:after="0"/>
              <w:rPr>
                <w:sz w:val="1"/>
                <w:szCs w:val="1"/>
                <w:color w:val="auto"/>
              </w:rPr>
            </w:pPr>
          </w:p>
        </w:tc>
      </w:tr>
      <w:tr>
        <w:trPr>
          <w:trHeight w:val="150"/>
        </w:trPr>
        <w:tc>
          <w:tcPr>
            <w:tcW w:w="84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2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US$120,213,575.28</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50"/>
        </w:trPr>
        <w:tc>
          <w:tcPr>
            <w:tcW w:w="840" w:type="dxa"/>
            <w:vAlign w:val="bottom"/>
            <w:tcBorders>
              <w:left w:val="single" w:sz="8" w:color="auto"/>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42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980"/>
          </w:cols>
          <w:pgMar w:left="320" w:top="1440" w:right="599" w:bottom="1440" w:gutter="0" w:footer="0" w:header="0"/>
        </w:sectPr>
      </w:pPr>
    </w:p>
    <w:bookmarkStart w:id="66" w:name="page67"/>
    <w:bookmarkEnd w:id="66"/>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108835"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7432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SCHEDULE II</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COPY OF ORIGINAL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019"/>
          </w:cols>
          <w:pgMar w:left="1440" w:top="1440" w:right="1440"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52" w:lineRule="exact"/>
        <w:rPr>
          <w:sz w:val="20"/>
          <w:szCs w:val="20"/>
          <w:color w:val="auto"/>
        </w:rPr>
      </w:pPr>
    </w:p>
    <w:p>
      <w:pPr>
        <w:ind w:left="1140" w:hanging="11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65" w:lineRule="exact"/>
        <w:rPr>
          <w:rFonts w:ascii="Times New Roman" w:cs="Times New Roman" w:eastAsia="Times New Roman" w:hAnsi="Times New Roman"/>
          <w:sz w:val="18"/>
          <w:szCs w:val="18"/>
          <w:color w:val="auto"/>
        </w:rPr>
      </w:pPr>
    </w:p>
    <w:p>
      <w:pPr>
        <w:ind w:left="1140" w:right="100" w:hanging="1132"/>
        <w:spacing w:after="0" w:line="305"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1140" w:right="380" w:hanging="1132"/>
        <w:spacing w:after="0" w:line="362" w:lineRule="auto"/>
        <w:tabs>
          <w:tab w:leader="none" w:pos="11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1140" w:hanging="11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49" w:lineRule="exact"/>
        <w:rPr>
          <w:rFonts w:ascii="Times New Roman" w:cs="Times New Roman" w:eastAsia="Times New Roman" w:hAnsi="Times New Roman"/>
          <w:sz w:val="18"/>
          <w:szCs w:val="18"/>
          <w:color w:val="auto"/>
        </w:rPr>
      </w:pPr>
    </w:p>
    <w:p>
      <w:pPr>
        <w:ind w:left="11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305" w:lineRule="auto"/>
        <w:tabs>
          <w:tab w:leader="none" w:pos="22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2280" w:right="440" w:hanging="1138"/>
        <w:spacing w:after="0" w:line="338" w:lineRule="auto"/>
        <w:tabs>
          <w:tab w:leader="none" w:pos="227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7"/>
          <w:szCs w:val="17"/>
          <w:color w:val="auto"/>
        </w:rPr>
      </w:pPr>
    </w:p>
    <w:p>
      <w:pPr>
        <w:ind w:left="2280" w:hanging="1138"/>
        <w:spacing w:after="0"/>
        <w:tabs>
          <w:tab w:leader="none" w:pos="22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49" w:lineRule="exact"/>
        <w:rPr>
          <w:rFonts w:ascii="Times New Roman" w:cs="Times New Roman" w:eastAsia="Times New Roman" w:hAnsi="Times New Roman"/>
          <w:sz w:val="18"/>
          <w:szCs w:val="18"/>
          <w:color w:val="auto"/>
        </w:rPr>
      </w:pPr>
    </w:p>
    <w:p>
      <w:pPr>
        <w:ind w:left="2280"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305" w:lineRule="auto"/>
        <w:tabs>
          <w:tab w:leader="none" w:pos="227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w:t>
      </w:r>
    </w:p>
    <w:p>
      <w:pPr>
        <w:spacing w:after="0" w:line="49" w:lineRule="exact"/>
        <w:rPr>
          <w:rFonts w:ascii="Times New Roman" w:cs="Times New Roman" w:eastAsia="Times New Roman" w:hAnsi="Times New Roman"/>
          <w:sz w:val="18"/>
          <w:szCs w:val="18"/>
          <w:color w:val="auto"/>
        </w:rPr>
      </w:pPr>
    </w:p>
    <w:p>
      <w:pPr>
        <w:ind w:left="114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305" w:lineRule="auto"/>
        <w:tabs>
          <w:tab w:leader="none" w:pos="227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68" w:name="page69"/>
    <w:bookmarkEnd w:id="68"/>
    <w:p>
      <w:pPr>
        <w:ind w:left="2260" w:hanging="1138"/>
        <w:spacing w:after="0" w:line="329" w:lineRule="auto"/>
        <w:tabs>
          <w:tab w:leader="none" w:pos="22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51435</wp:posOffset>
            </wp:positionV>
            <wp:extent cx="32404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1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600"/>
          </w:cols>
          <w:pgMar w:left="340" w:top="1161" w:right="9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Farrell, certify that:</w:t>
      </w:r>
    </w:p>
    <w:p>
      <w:pPr>
        <w:spacing w:after="0" w:line="252" w:lineRule="exact"/>
        <w:rPr>
          <w:sz w:val="20"/>
          <w:szCs w:val="20"/>
          <w:color w:val="auto"/>
        </w:rPr>
      </w:pPr>
    </w:p>
    <w:p>
      <w:pPr>
        <w:ind w:left="1140" w:hanging="113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Mining Inc.;</w:t>
      </w:r>
    </w:p>
    <w:p>
      <w:pPr>
        <w:spacing w:after="0" w:line="265" w:lineRule="exact"/>
        <w:rPr>
          <w:rFonts w:ascii="Times New Roman" w:cs="Times New Roman" w:eastAsia="Times New Roman" w:hAnsi="Times New Roman"/>
          <w:sz w:val="18"/>
          <w:szCs w:val="18"/>
          <w:color w:val="auto"/>
        </w:rPr>
      </w:pPr>
    </w:p>
    <w:p>
      <w:pPr>
        <w:ind w:left="1140" w:right="100" w:hanging="1132"/>
        <w:spacing w:after="0" w:line="305"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1140" w:right="380" w:hanging="1132"/>
        <w:spacing w:after="0" w:line="362" w:lineRule="auto"/>
        <w:tabs>
          <w:tab w:leader="none" w:pos="11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5" w:lineRule="exact"/>
        <w:rPr>
          <w:rFonts w:ascii="Times New Roman" w:cs="Times New Roman" w:eastAsia="Times New Roman" w:hAnsi="Times New Roman"/>
          <w:sz w:val="17"/>
          <w:szCs w:val="17"/>
          <w:color w:val="auto"/>
        </w:rPr>
      </w:pPr>
    </w:p>
    <w:p>
      <w:pPr>
        <w:ind w:left="1140" w:hanging="113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49" w:lineRule="exact"/>
        <w:rPr>
          <w:rFonts w:ascii="Times New Roman" w:cs="Times New Roman" w:eastAsia="Times New Roman" w:hAnsi="Times New Roman"/>
          <w:sz w:val="18"/>
          <w:szCs w:val="18"/>
          <w:color w:val="auto"/>
        </w:rPr>
      </w:pPr>
    </w:p>
    <w:p>
      <w:pPr>
        <w:ind w:left="11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305" w:lineRule="auto"/>
        <w:tabs>
          <w:tab w:leader="none" w:pos="22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2280" w:right="440" w:hanging="1138"/>
        <w:spacing w:after="0" w:line="338" w:lineRule="auto"/>
        <w:tabs>
          <w:tab w:leader="none" w:pos="227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7"/>
          <w:szCs w:val="17"/>
          <w:color w:val="auto"/>
        </w:rPr>
      </w:pPr>
    </w:p>
    <w:p>
      <w:pPr>
        <w:ind w:left="2280" w:hanging="1138"/>
        <w:spacing w:after="0"/>
        <w:tabs>
          <w:tab w:leader="none" w:pos="22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w:t>
      </w:r>
    </w:p>
    <w:p>
      <w:pPr>
        <w:spacing w:after="0" w:line="49" w:lineRule="exact"/>
        <w:rPr>
          <w:rFonts w:ascii="Times New Roman" w:cs="Times New Roman" w:eastAsia="Times New Roman" w:hAnsi="Times New Roman"/>
          <w:sz w:val="18"/>
          <w:szCs w:val="18"/>
          <w:color w:val="auto"/>
        </w:rPr>
      </w:pPr>
    </w:p>
    <w:p>
      <w:pPr>
        <w:ind w:left="2280"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305" w:lineRule="auto"/>
        <w:tabs>
          <w:tab w:leader="none" w:pos="227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1140" w:hanging="1132"/>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w:t>
      </w:r>
    </w:p>
    <w:p>
      <w:pPr>
        <w:spacing w:after="0" w:line="49" w:lineRule="exact"/>
        <w:rPr>
          <w:rFonts w:ascii="Times New Roman" w:cs="Times New Roman" w:eastAsia="Times New Roman" w:hAnsi="Times New Roman"/>
          <w:sz w:val="18"/>
          <w:szCs w:val="18"/>
          <w:color w:val="auto"/>
        </w:rPr>
      </w:pPr>
    </w:p>
    <w:p>
      <w:pPr>
        <w:ind w:left="1140"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305" w:lineRule="auto"/>
        <w:tabs>
          <w:tab w:leader="none" w:pos="227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41" w:right="339" w:bottom="1440" w:gutter="0" w:footer="0" w:header="0"/>
        </w:sectPr>
      </w:pPr>
    </w:p>
    <w:bookmarkStart w:id="70" w:name="page71"/>
    <w:bookmarkEnd w:id="70"/>
    <w:p>
      <w:pPr>
        <w:ind w:left="2260" w:hanging="1138"/>
        <w:spacing w:after="0" w:line="329" w:lineRule="auto"/>
        <w:tabs>
          <w:tab w:leader="none" w:pos="22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5640" w:val="left"/>
          <w:tab w:leader="none" w:pos="79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51435</wp:posOffset>
            </wp:positionV>
            <wp:extent cx="32404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158"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600"/>
          </w:cols>
          <w:pgMar w:left="340" w:top="1161" w:right="95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100" w:firstLine="1134"/>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Mining Inc. (the “Company”) for the period ended June 30, 2025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69" w:lineRule="exact"/>
        <w:rPr>
          <w:sz w:val="20"/>
          <w:szCs w:val="20"/>
          <w:color w:val="auto"/>
        </w:rPr>
      </w:pPr>
    </w:p>
    <w:p>
      <w:pPr>
        <w:ind w:left="2260" w:hanging="1118"/>
        <w:spacing w:after="0"/>
        <w:tabs>
          <w:tab w:leader="none" w:pos="2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280" w:right="560" w:hanging="1138"/>
        <w:spacing w:after="0" w:line="313" w:lineRule="auto"/>
        <w:tabs>
          <w:tab w:leader="none" w:pos="22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51435</wp:posOffset>
            </wp:positionV>
            <wp:extent cx="324040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134"/>
        <w:spacing w:after="0" w:line="329"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30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94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3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20" w:firstLine="1134"/>
        <w:spacing w:after="0" w:line="306" w:lineRule="auto"/>
        <w:rPr>
          <w:sz w:val="20"/>
          <w:szCs w:val="20"/>
          <w:color w:val="auto"/>
        </w:rPr>
      </w:pPr>
      <w:r>
        <w:rPr>
          <w:rFonts w:ascii="Times New Roman" w:cs="Times New Roman" w:eastAsia="Times New Roman" w:hAnsi="Times New Roman"/>
          <w:sz w:val="17"/>
          <w:szCs w:val="17"/>
          <w:color w:val="auto"/>
        </w:rPr>
        <w:t>In connection with the Quarterly Report on Form 10-Q of Cipher Mining Inc. (the “Company”) for the period ended June 30, 2025 as filed with the Securities and Exchange Commission on the date hereof (the “Report”), I, Edward Farrell, principal financial officer, certify, pursuant to 18 U.S.C.</w:t>
      </w:r>
    </w:p>
    <w:p>
      <w:pPr>
        <w:spacing w:after="0" w:line="1" w:lineRule="exact"/>
        <w:rPr>
          <w:sz w:val="20"/>
          <w:szCs w:val="20"/>
          <w:color w:val="auto"/>
        </w:rPr>
      </w:pPr>
    </w:p>
    <w:p>
      <w:pPr>
        <w:ind w:left="140" w:hanging="132"/>
        <w:spacing w:after="0"/>
        <w:tabs>
          <w:tab w:leader="none" w:pos="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to the best of my knowledge:</w:t>
      </w:r>
    </w:p>
    <w:p>
      <w:pPr>
        <w:spacing w:after="0" w:line="252" w:lineRule="exact"/>
        <w:rPr>
          <w:rFonts w:ascii="Times New Roman" w:cs="Times New Roman" w:eastAsia="Times New Roman" w:hAnsi="Times New Roman"/>
          <w:sz w:val="18"/>
          <w:szCs w:val="18"/>
          <w:color w:val="auto"/>
        </w:rPr>
      </w:pPr>
    </w:p>
    <w:p>
      <w:pPr>
        <w:ind w:left="2260" w:hanging="1118"/>
        <w:spacing w:after="0"/>
        <w:tabs>
          <w:tab w:leader="none" w:pos="22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2280" w:right="560" w:hanging="1138"/>
        <w:spacing w:after="0" w:line="313" w:lineRule="auto"/>
        <w:tabs>
          <w:tab w:leader="none" w:pos="22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4" w:lineRule="exact"/>
        <w:rPr>
          <w:sz w:val="20"/>
          <w:szCs w:val="20"/>
          <w:color w:val="auto"/>
        </w:rPr>
      </w:pPr>
    </w:p>
    <w:p>
      <w:pPr>
        <w:ind w:left="20"/>
        <w:spacing w:after="0"/>
        <w:tabs>
          <w:tab w:leader="none" w:pos="5660" w:val="left"/>
          <w:tab w:leader="none" w:pos="800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51435</wp:posOffset>
            </wp:positionV>
            <wp:extent cx="32404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3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Edward Farrell</w:t>
      </w:r>
    </w:p>
    <w:p>
      <w:pPr>
        <w:spacing w:after="0" w:line="158"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1134"/>
        <w:spacing w:after="0" w:line="329"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305"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decimal"/>
      <w:start w:val="104"/>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lvl w:ilvl="1">
      <w:lvlJc w:val="left"/>
      <w:lvlText w:val="(%2)"/>
      <w:numFmt w:val="lowerRoman"/>
      <w:start w:val="2"/>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upperLetter"/>
      <w:start w:val="1"/>
    </w:lvl>
  </w:abstractNum>
  <w:abstractNum w:abstractNumId="20">
    <w:nsid w:val="B03E0C6"/>
    <w:multiLevelType w:val="hybridMultilevel"/>
    <w:lvl w:ilvl="0">
      <w:lvlJc w:val="left"/>
      <w:lvlText w:val="(%1)"/>
      <w:numFmt w:val="upperLetter"/>
      <w:start w:val="4"/>
    </w:lvl>
  </w:abstractNum>
  <w:abstractNum w:abstractNumId="21">
    <w:nsid w:val="189A769B"/>
    <w:multiLevelType w:val="hybridMultilevel"/>
    <w:lvl w:ilvl="0">
      <w:lvlJc w:val="left"/>
      <w:lvlText w:val="%1."/>
      <w:numFmt w:val="decimal"/>
      <w:start w:val="1"/>
    </w:lvl>
    <w:lvl w:ilvl="1">
      <w:lvlJc w:val="left"/>
      <w:lvlText w:val="(%2)"/>
      <w:numFmt w:val="lowerLetter"/>
      <w:start w:val="1"/>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1."/>
      <w:numFmt w:val="decimal"/>
      <w:start w:val="2"/>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decimal"/>
      <w:start w:val="1"/>
    </w:lvl>
    <w:lvl w:ilvl="1">
      <w:lvlJc w:val="left"/>
      <w:lvlText w:val="(%2)"/>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lowerLetter"/>
      <w:start w:val="2"/>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jpe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jpeg"/><Relationship Id="rId131" Type="http://schemas.openxmlformats.org/officeDocument/2006/relationships/image" Target="media/image117.jpeg"/><Relationship Id="rId132" Type="http://schemas.openxmlformats.org/officeDocument/2006/relationships/image" Target="media/image118.jpeg"/><Relationship Id="rId133" Type="http://schemas.openxmlformats.org/officeDocument/2006/relationships/image" Target="media/image119.jpeg"/><Relationship Id="rId134" Type="http://schemas.openxmlformats.org/officeDocument/2006/relationships/image" Target="media/image120.jpeg"/><Relationship Id="rId135" Type="http://schemas.openxmlformats.org/officeDocument/2006/relationships/image" Target="media/image121.jpeg"/><Relationship Id="rId136" Type="http://schemas.openxmlformats.org/officeDocument/2006/relationships/image" Target="media/image122.jpeg"/><Relationship Id="rId137" Type="http://schemas.openxmlformats.org/officeDocument/2006/relationships/image" Target="media/image123.png"/><Relationship Id="rId138" Type="http://schemas.openxmlformats.org/officeDocument/2006/relationships/image" Target="media/image124.jpeg"/><Relationship Id="rId139" Type="http://schemas.openxmlformats.org/officeDocument/2006/relationships/image" Target="media/image125.jpeg"/><Relationship Id="rId140" Type="http://schemas.openxmlformats.org/officeDocument/2006/relationships/image" Target="media/image126.png"/><Relationship Id="rId141" Type="http://schemas.openxmlformats.org/officeDocument/2006/relationships/image" Target="media/image127.jpeg"/><Relationship Id="rId142" Type="http://schemas.openxmlformats.org/officeDocument/2006/relationships/image" Target="media/image128.png"/><Relationship Id="rId143" Type="http://schemas.openxmlformats.org/officeDocument/2006/relationships/image" Target="media/image129.jpeg"/><Relationship Id="rId144" Type="http://schemas.openxmlformats.org/officeDocument/2006/relationships/image" Target="media/image130.jpe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15" Type="http://schemas.openxmlformats.org/officeDocument/2006/relationships/hyperlink" Target="https://www.sec.gov/Archives/edgar/data/0001819989/000121390021013594/ea136931ex2-1_goodworks.htm" TargetMode="External"/><Relationship Id="rId116" Type="http://schemas.openxmlformats.org/officeDocument/2006/relationships/hyperlink" Target="https://www.sec.gov/Archives/edgar/data/1819989/000119312521260900/d212090dex31.htm" TargetMode="External"/><Relationship Id="rId117" Type="http://schemas.openxmlformats.org/officeDocument/2006/relationships/hyperlink" Target="https://www.sec.gov/Archives/edgar/data/1819989/000119312521260900/d212090dex32.htm" TargetMode="External"/><Relationship Id="rId118" Type="http://schemas.openxmlformats.org/officeDocument/2006/relationships/hyperlink" Target="https://www.sec.gov/Archives/edgar/data/1819989/000121390020030737/ea128022ex4-3_goodworks.htm" TargetMode="External"/><Relationship Id="rId119" Type="http://schemas.openxmlformats.org/officeDocument/2006/relationships/hyperlink" Target="https://www.sec.gov/Archives/edgar/data/1819989/000121390020033703/ea128955ex4-1_goodworksacq.htm" TargetMode="External"/><Relationship Id="rId120" Type="http://schemas.openxmlformats.org/officeDocument/2006/relationships/hyperlink" Target="https://www.sec.gov/Archives/edgar/data/1819989/000119312525125152/d86394dex41.htm" TargetMode="External"/><Relationship Id="rId121" Type="http://schemas.openxmlformats.org/officeDocument/2006/relationships/hyperlink" Target="https://www.sec.gov/Archives/edgar/data/1819989/000119312525125152/d8639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2025-08-07T08:07:05Z</dcterms:created>
  <dcterms:modified xsi:type="dcterms:W3CDTF">2025-08-07T08:07:05Z</dcterms:modified>
</cp:coreProperties>
</file>