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38735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66040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8" w:lineRule="exact"/>
        <w:rPr>
          <w:sz w:val="24"/>
          <w:szCs w:val="24"/>
          <w:color w:val="auto"/>
        </w:rPr>
      </w:pPr>
    </w:p>
    <w:p>
      <w:pPr>
        <w:ind w:left="480" w:right="76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64770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Cipher Mining Inc.</w:t>
      </w:r>
    </w:p>
    <w:p>
      <w:pPr>
        <w:sectPr>
          <w:pgSz w:w="11900" w:h="16838" w:orient="portrait"/>
          <w:cols w:equalWidth="0" w:num="1">
            <w:col w:w="11240"/>
          </w:cols>
          <w:pgMar w:left="320" w:top="1160" w:right="339" w:bottom="1440" w:gutter="0" w:footer="0" w:header="0"/>
        </w:sectPr>
      </w:pPr>
    </w:p>
    <w:p>
      <w:pPr>
        <w:spacing w:after="0" w:line="3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38735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4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4"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6"/>
          <w:szCs w:val="16"/>
          <w:b w:val="1"/>
          <w:bCs w:val="1"/>
          <w:color w:val="auto"/>
        </w:rPr>
        <w:t>1 Vanderbilt Avenue, Floor 54, Suite C</w:t>
      </w:r>
    </w:p>
    <w:p>
      <w:pPr>
        <w:spacing w:after="0" w:line="32"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85-1614529</w:t>
      </w: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10017</w:t>
      </w:r>
    </w:p>
    <w:p>
      <w:pPr>
        <w:spacing w:after="0" w:line="41" w:lineRule="exact"/>
        <w:rPr>
          <w:sz w:val="24"/>
          <w:szCs w:val="24"/>
          <w:color w:val="auto"/>
        </w:rPr>
      </w:pPr>
    </w:p>
    <w:p>
      <w:pPr>
        <w:sectPr>
          <w:pgSz w:w="11900" w:h="16838" w:orient="portrait"/>
          <w:cols w:equalWidth="0" w:num="2">
            <w:col w:w="7240" w:space="700"/>
            <w:col w:w="3300"/>
          </w:cols>
          <w:pgMar w:left="320" w:top="116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41910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187"/>
        </w:trPr>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6"/>
                <w:szCs w:val="16"/>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31"/>
        </w:trPr>
        <w:tc>
          <w:tcPr>
            <w:tcW w:w="4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120" w:type="dxa"/>
            <w:vAlign w:val="bottom"/>
          </w:tcPr>
          <w:p>
            <w:pPr>
              <w:spacing w:after="0"/>
              <w:rPr>
                <w:sz w:val="11"/>
                <w:szCs w:val="11"/>
                <w:color w:val="auto"/>
              </w:rPr>
            </w:pPr>
          </w:p>
        </w:tc>
        <w:tc>
          <w:tcPr>
            <w:tcW w:w="2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CIFR</w:t>
            </w:r>
          </w:p>
        </w:tc>
        <w:tc>
          <w:tcPr>
            <w:tcW w:w="100" w:type="dxa"/>
            <w:vAlign w:val="bottom"/>
          </w:tcPr>
          <w:p>
            <w:pPr>
              <w:spacing w:after="0"/>
              <w:rPr>
                <w:sz w:val="11"/>
                <w:szCs w:val="11"/>
                <w:color w:val="auto"/>
              </w:rPr>
            </w:pPr>
          </w:p>
        </w:tc>
        <w:tc>
          <w:tcPr>
            <w:tcW w:w="4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48"/>
        </w:trPr>
        <w:tc>
          <w:tcPr>
            <w:tcW w:w="4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each whole warrant exercisable for one share of Common Stock</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CIFRW</w:t>
            </w:r>
          </w:p>
        </w:tc>
        <w:tc>
          <w:tcPr>
            <w:tcW w:w="100" w:type="dxa"/>
            <w:vAlign w:val="bottom"/>
          </w:tcPr>
          <w:p>
            <w:pPr>
              <w:spacing w:after="0"/>
              <w:rPr>
                <w:sz w:val="12"/>
                <w:szCs w:val="12"/>
                <w:color w:val="auto"/>
              </w:rPr>
            </w:pPr>
          </w:p>
        </w:tc>
        <w:tc>
          <w:tcPr>
            <w:tcW w:w="4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an exercise price of $11.50 per whole share</w:t>
            </w: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Pr>
          <w:p>
            <w:pPr>
              <w:spacing w:after="0"/>
              <w:rPr>
                <w:sz w:val="16"/>
                <w:szCs w:val="16"/>
                <w:color w:val="auto"/>
              </w:rPr>
            </w:pPr>
          </w:p>
        </w:tc>
      </w:tr>
    </w:tbl>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9" w:lineRule="exact"/>
        <w:rPr>
          <w:sz w:val="24"/>
          <w:szCs w:val="24"/>
          <w:color w:val="auto"/>
        </w:rPr>
      </w:pPr>
    </w:p>
    <w:p>
      <w:pPr>
        <w:ind w:right="3960"/>
        <w:spacing w:after="0" w:line="20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80"/>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200"/>
        <w:spacing w:after="0" w:line="168"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360"/>
        <w:spacing w:after="0" w:line="169" w:lineRule="exact"/>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7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506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4"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166" w:lineRule="exact"/>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Oxley Act (15 U.S.C. 7262(b)) by the registered public accounting firm that prepared or issued its audit report. </w:t>
      </w:r>
      <w:r>
        <w:rPr>
          <w:rFonts w:ascii="MS PGothic" w:cs="MS PGothic" w:eastAsia="MS PGothic" w:hAnsi="MS PGothic"/>
          <w:sz w:val="13"/>
          <w:szCs w:val="13"/>
          <w:color w:val="auto"/>
        </w:rPr>
        <w:t>☐</w:t>
      </w:r>
    </w:p>
    <w:p>
      <w:pPr>
        <w:ind w:right="22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4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2" w:lineRule="exact"/>
        <w:rPr>
          <w:sz w:val="24"/>
          <w:szCs w:val="24"/>
          <w:color w:val="auto"/>
        </w:rPr>
      </w:pPr>
    </w:p>
    <w:p>
      <w:pPr>
        <w:ind w:right="280"/>
        <w:spacing w:after="0" w:line="246"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based on the closing price of registrant's common stock as quoted on the Nasdaq Global Select Market on June 30, 2023 (the last business day of the registrant’s most recently completed second fiscal quarter), was approximately $123.8 million. Shares of common stock beneficially owned by each executive officer, director, and holder of more than 10% of our common stock have been excluded in that such persons may be deemed to be affiliates.</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4, 2024, the registrant had 296,493,433 shares of common stock, $0.001 par value per share, outstanding.</w:t>
      </w:r>
    </w:p>
    <w:p>
      <w:pPr>
        <w:spacing w:after="0" w:line="3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26" w:lineRule="exact"/>
        <w:rPr>
          <w:sz w:val="24"/>
          <w:szCs w:val="24"/>
          <w:color w:val="auto"/>
        </w:rPr>
      </w:pPr>
    </w:p>
    <w:p>
      <w:pPr>
        <w:ind w:right="80"/>
        <w:spacing w:after="0" w:line="24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Stockholders to be filed with the Securities and Exchange Commission pursuant to Regulation 14A not later than 120 days after the end of the fiscal year covered by this Annual Report on Form 10-K are incorporated herein by reference in Part III of this Annual Report on Form 10-K where indicated.</w:t>
      </w:r>
    </w:p>
    <w:p>
      <w:pPr>
        <w:ind w:left="20"/>
        <w:spacing w:after="0"/>
        <w:tabs>
          <w:tab w:leader="none" w:pos="3760" w:val="left"/>
          <w:tab w:leader="none" w:pos="7500" w:val="left"/>
        </w:tabs>
        <w:rPr>
          <w:sz w:val="20"/>
          <w:szCs w:val="20"/>
          <w:color w:val="auto"/>
        </w:rPr>
      </w:pPr>
      <w:r>
        <w:rPr>
          <w:rFonts w:ascii="Times New Roman" w:cs="Times New Roman" w:eastAsia="Times New Roman" w:hAnsi="Times New Roman"/>
          <w:sz w:val="23"/>
          <w:szCs w:val="23"/>
          <w:color w:val="auto"/>
          <w:vertAlign w:val="subscript"/>
        </w:rPr>
        <w:t>Auditor Firm Id: 688</w:t>
      </w:r>
      <w:r>
        <w:rPr>
          <w:sz w:val="20"/>
          <w:szCs w:val="20"/>
          <w:color w:val="auto"/>
        </w:rPr>
        <w:tab/>
      </w:r>
      <w:r>
        <w:rPr>
          <w:rFonts w:ascii="Times New Roman" w:cs="Times New Roman" w:eastAsia="Times New Roman" w:hAnsi="Times New Roman"/>
          <w:sz w:val="13"/>
          <w:szCs w:val="13"/>
          <w:color w:val="auto"/>
        </w:rPr>
        <w:t>Auditor Name: Marcum LLP</w:t>
      </w:r>
      <w:r>
        <w:rPr>
          <w:sz w:val="20"/>
          <w:szCs w:val="20"/>
          <w:color w:val="auto"/>
        </w:rPr>
        <w:tab/>
      </w:r>
      <w:r>
        <w:rPr>
          <w:rFonts w:ascii="Times New Roman" w:cs="Times New Roman" w:eastAsia="Times New Roman" w:hAnsi="Times New Roman"/>
          <w:sz w:val="13"/>
          <w:szCs w:val="13"/>
          <w:color w:val="auto"/>
        </w:rPr>
        <w:t>Auditor Location: San Francisco, 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2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7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7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7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552450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2" w:right="339" w:bottom="1440" w:gutter="0" w:footer="0" w:header="0"/>
        </w:sectPr>
      </w:pPr>
    </w:p>
    <w:bookmarkStart w:id="2" w:name="page3"/>
    <w:bookmarkEnd w:id="2"/>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CAUTIONARY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18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“Annual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intend such forward-looking statements to be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by the safe harbor provisions for forward-looking statements contained in Section 27A of the Securities Act of 1933, as amended (the “Securities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and Section 21E of the Securities Exchange Act of 1934, as amended (the “Exchange Act”). All statements contained in this Annual Report,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statements of historical fact, including, without limitation, statements regarding our future results of operations and financial position,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 timing and likelihood of success, potential expansion of or additional bitcoin mining data centers, and management plans and objectives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 some cases, you can identify forward-looking statements by terms such as “may,” “will,” “should,” “expects,”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“anticipates,” “could,” “seeks,” “intends,” “targets,” “projects,” “contemplates,” “believes,” “estimates,” “forecasts,” “predicts,” “potential” or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negative of these terms or other similar expressions, although not all forward-looking statements use these words or expressions.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are only predictions and are largely based on our current expectations and projections about future events</w:t>
      </w:r>
    </w:p>
    <w:p>
      <w:pPr>
        <w:spacing w:after="0" w:line="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and trends that we believe may affect our business, financial condition and results of operations.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involve known and unknown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uncertainties and other important factors that may cause our actual results, performance, or achievements to be materially different from any future</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results, performance or achievements expressed or implied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including, but not limited to, the important factors discussed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 I, Item 1A, “Risk Factors,” Part II, Item 7. “Management’s Discussion and Analysis of Financial Condition and Results of Operations” and</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elsewhere in this Annual Report, and in our future reports filed with the Securities and Exchange Commission (the “SEC”).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 this Annual Report are based upon information available to us as of the date of this Annual Report, and while we believe such information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forms a reasonable basis for such statements, such information may be limited or incomplete, and our statements should not be read to indicate that we have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an exhaustive inquiry into, or review of, all potentially available relevant information. These statements are inherently uncertain and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cautioned not to unduly rely upon these statements.</w:t>
      </w:r>
    </w:p>
    <w:p>
      <w:pPr>
        <w:spacing w:after="0" w:line="179"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with the understanding that our actual future results, performance and achievements may be materially different from what we expect. We qualify all of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by these cautionary statements.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speak only as of the date of this Annual Report. Except as required by applicable law, we do not plan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Annual Report, whether as a result of any new information, future events or otherwise.</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8"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Annual Report.</w:t>
      </w:r>
    </w:p>
    <w:p>
      <w:pPr>
        <w:spacing w:after="0" w:line="136" w:lineRule="exact"/>
        <w:rPr>
          <w:sz w:val="20"/>
          <w:szCs w:val="20"/>
          <w:color w:val="auto"/>
        </w:rPr>
      </w:pPr>
    </w:p>
    <w:p>
      <w:pPr>
        <w:ind w:right="80" w:firstLine="509"/>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Annual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59" w:lineRule="exact"/>
        <w:rPr>
          <w:sz w:val="20"/>
          <w:szCs w:val="20"/>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2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Annual Report or any other filings we make with the SEC.</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(“Common Stock”). The principal risks and uncertainties affecting our business include the following:</w:t>
      </w:r>
    </w:p>
    <w:p>
      <w:pPr>
        <w:spacing w:after="0" w:line="150" w:lineRule="exact"/>
        <w:rPr>
          <w:sz w:val="20"/>
          <w:szCs w:val="20"/>
          <w:color w:val="auto"/>
        </w:rPr>
      </w:pPr>
    </w:p>
    <w:p>
      <w:pPr>
        <w:ind w:left="1020" w:right="14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3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13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our future prospects and the risks and challenges we may encounter.</w:t>
      </w:r>
    </w:p>
    <w:p>
      <w:pPr>
        <w:spacing w:after="0" w:line="135"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(like the COVID-19 pandemic), and similar events could adversely affect our business, financial condition and results of operations.</w:t>
      </w:r>
    </w:p>
    <w:p>
      <w:pPr>
        <w:spacing w:after="0" w:line="13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84"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150"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the Odessa Facility and changes in the regulatory environment, market conditions and natural disasters in Texas.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due to the highly volatile nature of cryptocurrencies in general and, specifically, bitcoin.</w:t>
      </w:r>
    </w:p>
    <w:p>
      <w:pPr>
        <w:spacing w:after="0" w:line="184"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equipment and rely on components and raw materials that may be subject to price fluctuations or shortages, including ASIC chips that have been subject to periods of significant shortage and high innovation pace.</w:t>
      </w:r>
    </w:p>
    <w:p>
      <w:pPr>
        <w:spacing w:after="0" w:line="15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84" w:lineRule="exact"/>
        <w:rPr>
          <w:rFonts w:ascii="Times New Roman" w:cs="Times New Roman" w:eastAsia="Times New Roman" w:hAnsi="Times New Roman"/>
          <w:sz w:val="18"/>
          <w:szCs w:val="18"/>
          <w:color w:val="auto"/>
        </w:rPr>
      </w:pPr>
    </w:p>
    <w:p>
      <w:pPr>
        <w:jc w:val="both"/>
        <w:ind w:left="1020" w:right="6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136"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disruptions or other failures in the supply chain for bitcoin mining hardware and related data center hardware, and difficulties in obtaining new hardware.</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automated processes with respect to curtailment may adversely affect our operations.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5" w:name="page6"/>
    <w:bookmarkEnd w:id="5"/>
    <w:p>
      <w:pPr>
        <w:spacing w:after="0" w:line="151" w:lineRule="exact"/>
        <w:rPr>
          <w:sz w:val="20"/>
          <w:szCs w:val="20"/>
          <w:color w:val="auto"/>
        </w:rPr>
      </w:pPr>
    </w:p>
    <w:p>
      <w:pPr>
        <w:ind w:left="504" w:hanging="504"/>
        <w:spacing w:after="0"/>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in our mining network may experience damages, including damages that are not covered by insurance.</w:t>
      </w:r>
    </w:p>
    <w:p>
      <w:pPr>
        <w:spacing w:after="0" w:line="197" w:lineRule="exact"/>
        <w:rPr>
          <w:rFonts w:ascii="Times New Roman" w:cs="Times New Roman" w:eastAsia="Times New Roman" w:hAnsi="Times New Roman"/>
          <w:sz w:val="18"/>
          <w:szCs w:val="18"/>
          <w:color w:val="auto"/>
        </w:rPr>
      </w:pPr>
    </w:p>
    <w:p>
      <w:pPr>
        <w:ind w:left="504" w:right="760" w:hanging="504"/>
        <w:spacing w:after="0" w:line="281"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impact of global market, economic and political conditions that are beyond our control and that could significantly impact our business and make our financial results more volatile.</w:t>
      </w:r>
    </w:p>
    <w:p>
      <w:pPr>
        <w:spacing w:after="0" w:line="122"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w:t>
      </w:r>
    </w:p>
    <w:p>
      <w:pPr>
        <w:spacing w:after="0" w:line="184" w:lineRule="exact"/>
        <w:rPr>
          <w:rFonts w:ascii="Times New Roman" w:cs="Times New Roman" w:eastAsia="Times New Roman" w:hAnsi="Times New Roman"/>
          <w:sz w:val="18"/>
          <w:szCs w:val="18"/>
          <w:color w:val="auto"/>
        </w:rPr>
      </w:pPr>
    </w:p>
    <w:p>
      <w:pPr>
        <w:jc w:val="both"/>
        <w:ind w:left="504" w:right="80" w:hanging="504"/>
        <w:spacing w:after="0" w:line="265"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such as cyber-attacks, data breaches, hacking attacks or malware, targeting us or our third-party service providers may disrupt our operations and trigger significant liability for us, which could harm our operating results and financial condition, and damage our reputation or otherwise materially harm our business.</w:t>
      </w:r>
    </w:p>
    <w:p>
      <w:pPr>
        <w:spacing w:after="0" w:line="150"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bitcoin has historically been subject to wide swings, and our operating results may be adversely affected by our hedging activity.</w:t>
      </w:r>
    </w:p>
    <w:p>
      <w:pPr>
        <w:spacing w:after="0" w:line="195" w:lineRule="exact"/>
        <w:rPr>
          <w:rFonts w:ascii="Times New Roman" w:cs="Times New Roman" w:eastAsia="Times New Roman" w:hAnsi="Times New Roman"/>
          <w:sz w:val="17"/>
          <w:szCs w:val="17"/>
          <w:color w:val="auto"/>
        </w:rPr>
      </w:pPr>
    </w:p>
    <w:p>
      <w:pPr>
        <w:ind w:left="504" w:right="260" w:hanging="504"/>
        <w:spacing w:after="0" w:line="281"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122"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97" w:lineRule="exact"/>
        <w:rPr>
          <w:rFonts w:ascii="Times New Roman" w:cs="Times New Roman" w:eastAsia="Times New Roman" w:hAnsi="Times New Roman"/>
          <w:sz w:val="18"/>
          <w:szCs w:val="18"/>
          <w:color w:val="auto"/>
        </w:rPr>
      </w:pPr>
    </w:p>
    <w:p>
      <w:pPr>
        <w:ind w:left="504" w:right="20" w:hanging="504"/>
        <w:spacing w:after="0" w:line="265"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285"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552450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440"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0" w:lineRule="exact"/>
        <w:rPr>
          <w:sz w:val="20"/>
          <w:szCs w:val="20"/>
          <w:color w:val="auto"/>
        </w:rPr>
      </w:pPr>
    </w:p>
    <w:p>
      <w:pPr>
        <w:ind w:right="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8"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are an emerging technology company that develops and operates industrial scale bitcoin mining data centers. Cipher Mining Inc., through itself and its consolidated subsidiaries, including Cipher Mining Technologies Inc. (“CMTI”), currently operates four bitcoin mining data centers in Texas. We are also developing an additional data center in Winkler County, TX (“Black Pearl” or the “Black Pearl Facility”) for up to 300 MW, and we expect to energize 150 MW in 2025. Bitcoin mining is our principal revenue generating business activity.</w:t>
      </w:r>
    </w:p>
    <w:p>
      <w:pPr>
        <w:spacing w:after="0" w:line="155"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Our current intention is to continue to expand our bitcoin mining business by developing additional data centers, expanding capacity at our current data centers, developing our treasury management platform and entering into other arrangements, such as joint ventures, data center hosting agreements, or software licensing arrangements.</w:t>
      </w:r>
    </w:p>
    <w:p>
      <w:pPr>
        <w:spacing w:after="0" w:line="13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key mission is to expand and strengthen the Bitcoin network’s critical infrastructure. As of February 29, 2024, we operated approximately 80,000 miners, with an aggregate hashrate capacity of approximately 8.4 exahash per second (“EH/s”), deploying approximately 267 megawatts (“MW”) of electricity, of which we owned approximately 70,000 miners, with an aggregate hashrate capacity of approximately 7.4 EH/s, deploying approximately 236 MW of electricity. For further details on our joint ventures, see “</w:t>
      </w:r>
      <w:r>
        <w:rPr>
          <w:rFonts w:ascii="Times New Roman" w:cs="Times New Roman" w:eastAsia="Times New Roman" w:hAnsi="Times New Roman"/>
          <w:sz w:val="18"/>
          <w:szCs w:val="18"/>
          <w:i w:val="1"/>
          <w:iCs w:val="1"/>
          <w:color w:val="auto"/>
        </w:rPr>
        <w:t>—Business Agreements—Joint Ventures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Structure</w:t>
      </w:r>
    </w:p>
    <w:p>
      <w:pPr>
        <w:spacing w:after="0" w:line="20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revenue is primarily derived from mining bitcoin. Specifically, we purchase electrical power and use it to run miners that produce computing power. We contribute the computing power we produce to one or more mining pools verifying transactions on the Bitcoin blockchain in exchange for block rewards and transaction fees. In this way, we produce bitcoin. To the extent that we can produce bitcoin at a cost that is lower than the price of bitcoin, over the long term we expect to generate profits.</w:t>
      </w:r>
    </w:p>
    <w:p>
      <w:pPr>
        <w:spacing w:after="0" w:line="14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Block rewards are rewards paid in bitcoin that are programmed into the Bitcoin software and awarded to a miner, or a group of miners, for solving the cryptographic problem required to create a new block on the Bitcoin blockchain. Block rewards are fixed and the Bitcoin network is designed to reduce them periodically through halving. Most recently, in May 2020, the block reward was reduced from 12.5 to 6.25 bitcoin, and it will halve again, to 3.125 bitcoin, which is estimated to occur in April 2024.</w:t>
      </w:r>
    </w:p>
    <w:p>
      <w:pPr>
        <w:spacing w:after="0" w:line="14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fees, but transaction fees vary and it is difficult to predict what transaction fees will be in the future.</w:t>
      </w:r>
    </w:p>
    <w:p>
      <w:pPr>
        <w:spacing w:after="0" w:line="15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hold, sell or hedge the bitcoin that we mine as part of our normal treasury management processes. From time to time, we sell some or all of the bitcoin that we have mined to generate US dollars for operating expenses, capital expenditures, or other general corporate purposes. We may conduct those bitcoin sales transactions through OTC providers or exchanges or through one or more custodians. From time to time, we may also hedge a portion of the value of our bitcoin inventory or a portion of the value of our expected forward production. We generally store the majority of our bitcoin in cold storage, unless we transfer it to a trading account to be sold. We primarily use Coinbase Prime as our custodian to store our bitcoin, but also have accounts at Anchorage Digital Bank N.A. and Fidelity Digital Assets Services. We periodically re-evaluate these services and, in the future, we may also decide to use additional or other custodians. See “</w:t>
      </w:r>
      <w:r>
        <w:rPr>
          <w:rFonts w:ascii="Times New Roman" w:cs="Times New Roman" w:eastAsia="Times New Roman" w:hAnsi="Times New Roman"/>
          <w:sz w:val="18"/>
          <w:szCs w:val="18"/>
          <w:i w:val="1"/>
          <w:iCs w:val="1"/>
          <w:color w:val="auto"/>
        </w:rPr>
        <w:t>Risk Factors—Risks Related to Our Business, Industry and Operations—There is a potential that, in the event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bankruptcy filing by a custodian, bitcoin held in custody could be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p>
      <w:pPr>
        <w:spacing w:after="0" w:line="149"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determined to be property of a bankruptcy estate and we could be considered a general unsecured creditor thereof”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“Our limited insurance protection exposes us and our shareholders to the risk of loss of our bitcoin for which no person is liable.”</w:t>
      </w:r>
    </w:p>
    <w:p>
      <w:pPr>
        <w:spacing w:after="0" w:line="13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use third-party mining pools, including the Foundry USA Pool (“Foundry”) and Luxor Technology Corporation (“Luxor”), to mine bitcoin. This means that we send our computing power, or hashrate, to the mining pool in exchange for a proportionate share of bitcoin mined by the pool. We have no immediate plans to establish our own mining pool. We intend to periodically re-evaluate this as part of our overall strategy going forward and, in the future, we may also decide to stop using mining pools.</w:t>
      </w:r>
    </w:p>
    <w:p>
      <w:pPr>
        <w:spacing w:after="0" w:line="14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We have a portfolio of electrical power that is designed to assist us in profitably mining bitcoin. We purchase a portion of the power in that portfolio at a fixed cost. To the extent that we do not use purchased electrical power to mine bitcoin, we seek to sell that electrical power back to the market. To the extent we can sell such surplus power at a price greater than our cost to purchase it, we expect to generate profits. Other parts of our electrical power portfolio do not have fixed costs, may be sourced from renewable sources, or may be purchased from the electrical grid applicable to the relevant data center. Additionally, from time to time, we may seek to hedge the cost of electrical power at data centers for which we do not have a fixed cost.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and Blockchain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model centers on bitcoin mining.</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Bitcoin is the oldest and most commonly used cryptocurrency today. As outlined by the seminal bitcoin whitepaper, </w:t>
      </w:r>
      <w:r>
        <w:rPr>
          <w:rFonts w:ascii="Times New Roman" w:cs="Times New Roman" w:eastAsia="Times New Roman" w:hAnsi="Times New Roman"/>
          <w:sz w:val="18"/>
          <w:szCs w:val="18"/>
          <w:i w:val="1"/>
          <w:iCs w:val="1"/>
          <w:color w:val="auto"/>
        </w:rPr>
        <w:t>Bitcoin: A Peer-to-Peer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Electronic Cash System</w:t>
      </w:r>
      <w:r>
        <w:rPr>
          <w:rFonts w:ascii="Times New Roman" w:cs="Times New Roman" w:eastAsia="Times New Roman" w:hAnsi="Times New Roman"/>
          <w:sz w:val="18"/>
          <w:szCs w:val="18"/>
          <w:color w:val="auto"/>
        </w:rPr>
        <w:t>, bitcoin is a form of digital currency, or an “electronic payment system based on cryptographic proof instead of trust, allowing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willing parties to transact directly with each other without the need for a trusted third party.” Bitcoin depends on a consensus-based network and a public ledger, known as a “blockchain,” which contains the record of every bitcoin transaction ever processed. Transactions listed on the Bitcoin blockchain are verified through a process called “mining.”</w:t>
      </w:r>
    </w:p>
    <w:p>
      <w:pPr>
        <w:spacing w:after="0" w:line="143"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miners we operate are highly specialized computer servers built to use application-specific integrated circuit (“ASIC”) chips that are designed specifically to mine bitcoin. These computer servers are referred to as “mining rigs,” “miners,” and “rigs.” With them we produce computing power, known as “hashrate,” with which we verify transactions on the Bitcoin blockchain. Bitcoin “mining” refers to the process of proposing and verifying transaction updates to the Bitcoin blockchain, which helps keep the Bitcoin network and its blockchain secure.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Centers</w:t>
      </w:r>
    </w:p>
    <w:p>
      <w:pPr>
        <w:spacing w:after="0" w:line="188"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We currently operate four bitcoin mining data centers in Texas, including one wholly-owned data center and three partially-owned data centers that we acquired through investments in joint ventures, and are developing one additional data center.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Odessa Facility</w:t>
      </w:r>
    </w:p>
    <w:p>
      <w:pPr>
        <w:spacing w:after="0" w:line="20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largest data center is our Odessa data center (the “Odessa Facility”), which is our wholly-owned 207 MW facility located in Odessa, Texas. The Odessa Facility is an approximately 52 acre site, located next to a natural gas power production facility. We began bitcoin mining operations on this site in November 2022 and completed the buildout of the site in September 2023. As of February 29, 2024, the Odessa Facility is capable of producing approximately 6.4 EH/s through the operation of approximately 60,000 miners. We have developed, and continue to refine, proprietary technology to increase the efficiency of our mining activity and associated curtailment due to changes in local electrical power prices at the Odessa Facility. Our goal is to maximize the time our miners are mining bitcoin at favorable prices and, in contrast, to avoid consuming electrical power when the cost of that power is significantly higher than our anticipated bitcoin mining revenues.</w:t>
      </w:r>
    </w:p>
    <w:p>
      <w:pPr>
        <w:spacing w:after="0" w:line="14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power at the Odessa Facility is supplied by Luminant ET Services Company LLC (“Luminant”) under a power purchase agreement, pursuant to which we have access, until at least 2027, to an average cost of electricity of approximately 2.7 c/kWh. For further details on our power purchase agreement with Luminant, see “</w:t>
      </w:r>
      <w:r>
        <w:rPr>
          <w:rFonts w:ascii="Times New Roman" w:cs="Times New Roman" w:eastAsia="Times New Roman" w:hAnsi="Times New Roman"/>
          <w:sz w:val="18"/>
          <w:szCs w:val="18"/>
          <w:i w:val="1"/>
          <w:iCs w:val="1"/>
          <w:color w:val="auto"/>
        </w:rPr>
        <w:t>—Business Agreements—Luminant Power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Alborz Facility</w:t>
      </w:r>
    </w:p>
    <w:p>
      <w:pPr>
        <w:spacing w:after="0" w:line="186"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Our Alborz data center (the “Alborz Facility”) is located near Happy, Texas and is partially-owned through a joint venture with WindHQ LLC (“WindHQ”). We have a 49% membership interest in Alborz LLC, which owns the Alborz Facility.</w:t>
      </w:r>
    </w:p>
    <w:p>
      <w:pPr>
        <w:spacing w:after="0" w:line="136"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We began mining bitcoin at the Alborz Facility in February 2022. In August 2022, we installed the last mining rigs to be delivered to the Alborz Facility. Alborz is currently a 40 MW facility that is not currently connected to the electrical grid. It is powered solely by Falvez Energy’s Astra Wind Project (the “Astra Wind Farm”), owned by an affiliate of WindHQ, next to which it is co-located. The Alborz Facility’s capacity is approximately 1.3 EH/s, of which we own approximately 0.64 EH/s under the WindHQ Joint Venture Agreement.</w:t>
      </w:r>
    </w:p>
    <w:p>
      <w:pPr>
        <w:spacing w:after="0" w:line="14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Because the sole source of electricity for the Alborz Facility is the nearby wind farm, operating the Alborz miners involves frequent adjustments to the hashing power because of changes in the wind. When there is not sufficient wind to generate enough electrical power for our miners, we curtail our mining activity. For certain related risks, see “</w:t>
      </w:r>
      <w:r>
        <w:rPr>
          <w:rFonts w:ascii="Times New Roman" w:cs="Times New Roman" w:eastAsia="Times New Roman" w:hAnsi="Times New Roman"/>
          <w:sz w:val="18"/>
          <w:szCs w:val="18"/>
          <w:i w:val="1"/>
          <w:iCs w:val="1"/>
          <w:color w:val="auto"/>
        </w:rPr>
        <w:t>Risk Factors—Risks Related to Our Business, Industry and Operations—Bitcoin miners and other necessary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hardware are subject to malfunction, technological obsolescence and physical degradation</w:t>
      </w:r>
      <w:r>
        <w:rPr>
          <w:rFonts w:ascii="Times New Roman" w:cs="Times New Roman" w:eastAsia="Times New Roman" w:hAnsi="Times New Roman"/>
          <w:sz w:val="18"/>
          <w:szCs w:val="18"/>
          <w:color w:val="auto"/>
        </w:rPr>
        <w:t>.” We have developed, and continue to refine,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increase the efficiency of our mining activity and associated curtailment due to wind conditions at the Alborz Facility.</w:t>
      </w:r>
    </w:p>
    <w:p>
      <w:pPr>
        <w:spacing w:after="0" w:line="14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may, with our joint venture partner, Wind HQ, seek to connect the Alborz Facility to the local electrical grid, if we are able to secure applicable regulatory approvals on favorable economic terms. There is no assurance that we will be able to secure such approval on acceptable terms, in a timely manner or at all. If we are able to do so, then our dependence on the wind power supplied by the Astra Wind Farm will be lower and, to the extent that we can supplement electrical power from the local grid at favorable cost, we anticipate being able to increasingly avoid curtailment time and increase the time spent mining bitcoin at the Alborz Facility. Separately, we may also have the opportunity to expand the capacity of the Alborz Facility up to 163 MW, subject to applicable regulatory approvals. See “</w:t>
      </w:r>
      <w:r>
        <w:rPr>
          <w:rFonts w:ascii="Times New Roman" w:cs="Times New Roman" w:eastAsia="Times New Roman" w:hAnsi="Times New Roman"/>
          <w:sz w:val="18"/>
          <w:szCs w:val="18"/>
          <w:i w:val="1"/>
          <w:iCs w:val="1"/>
          <w:color w:val="auto"/>
        </w:rPr>
        <w:t>Risk Factors—Risks Related to Our Business, Industry and Operations—Bitcoin miners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necessary hardware are subject to malfunction, technological obsolescence and physical degradation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Bear Facility</w:t>
      </w:r>
    </w:p>
    <w:p>
      <w:pPr>
        <w:spacing w:after="0" w:line="1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Bear data center (the “Bear Facility”) is located near Andrews, Texas and is also partially-owned through a joint venture with WindHQ. We have a 49% membership in Bear LLC, which owns the Bear Facility. The Bear Facility is a 10 MW data center that is connected to the local electrical grid. It was completed in October 2022 and is capable of hashing at a rate of up to approximately 0.325 EH/s. Similar to the Odessa Facility, we have developed, and continue to refine, proprietary technology to increase the efficiency of our mining activity and associated curtailment due to changes in local electrical power prices at the Bear Facility. Our goal is to maximize the time our miners are mining bitcoin at favorable prices and, in contrast, to avoid consuming electrical power when the cost of that power is significantly higher than our anticipated bitcoin mining revenues.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Bear Facility has approval to expand to 40 MW, and the capacity to expand up to 115 MW, subject to applicable regulatory approvals.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Facility</w:t>
      </w:r>
    </w:p>
    <w:p>
      <w:pPr>
        <w:spacing w:after="0" w:line="186"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Our Chief data center (the “Chief Facility”) is also located near Andrews, Texas and is also partially-owned through a joint venture with WindHQ. We have a 49% membership interest in Chief Mountain LLC, which owns the Chief Facility. The Chief Facility is a 10 MW data center that is connected to the local electrical grid. It was completed in October 2022 and is capable of hashing at a rate of up to approximately 0.325 EH/s. Similar to the Odessa and Bear Facilities, we have developed, and continue to refine, proprietary technology to increase the efficiency of our mining activity and associated curtailment due to changes in local electrical power prices at the Chief Facility. Our goal is to maximize the time our miners are mining bitcoin at favorable prices and, in contrast, to avoid consuming electrical power when the cost of that power is significantly higher than our anticipated bitcoin mining revenues.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 w:name="page10"/>
    <w:bookmarkEnd w:id="9"/>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Chief Facility has approval to expand to 40 MW, and the capacity to expand up to 115 MW, subject to applicable regulatory approvals.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 Pearl Facility</w:t>
      </w:r>
    </w:p>
    <w:p>
      <w:pPr>
        <w:spacing w:after="0" w:line="18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newest facility at which we plan to build a data center is called Black Pearl, which is located in Winkler County, Texas. The Black Pearl Facility has conditional ERCOT interconnection approval of up to 300 MW. We expect to energize 150 MW of the Black Pearl Facility in 2025. With interconnection up to 300 MW, we expect Black Pearl to be the largest of our sites.</w:t>
      </w:r>
    </w:p>
    <w:p>
      <w:pPr>
        <w:spacing w:after="0" w:line="137"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2025, we anticipate operating approximately 37,396 Antminer T21 miners at the Black Pearl Facility, capable of generating approximately 7.1 EH/s. If we exercise the Bitmain Antminer T21 purchase option and build out the full 300 MW of the Black Pearl Facility’s electrical power capacity, we anticipate such facility will operate approximately 76,946 Antminer T21 miners, capable of generating approximately 14.6 EH/s. For further details on our miners, see “</w:t>
      </w:r>
      <w:r>
        <w:rPr>
          <w:rFonts w:ascii="Times New Roman" w:cs="Times New Roman" w:eastAsia="Times New Roman" w:hAnsi="Times New Roman"/>
          <w:sz w:val="18"/>
          <w:szCs w:val="18"/>
          <w:i w:val="1"/>
          <w:iCs w:val="1"/>
          <w:color w:val="auto"/>
        </w:rPr>
        <w:t>—Business Agreements—Miner Purchases—2023 Purchases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Agreements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188"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On June 10, 2021, we and WindHQ signed a framework agreement for a joint venture for the construction, buildout, deployment and operation of one or more data centers in the United States (the “WindHQ Joint Venture Agreement”). We currently operate three data centers (the Alborz Facility, the Bear Facility, and the Chief Facility) that were built under the WindHQ Joint Venture Agreement, each of which is owned by a separate limited liability company in which WindHQ owns 51% of the membership interests and we own 49% of the membership interests.</w:t>
      </w:r>
    </w:p>
    <w:p>
      <w:pPr>
        <w:spacing w:after="0" w:line="15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WindHQ provides the power to the Alborz Facility, and certain construction and operations support. At the Bear Facility and the Chief Facility, Bear LLC and Chief LLC, respectively, purchase electrical power from a retailer at market prices. We manage each data center to mine bitcoin when the cost of electrical power in the relevant market is such that we think we can mine bitcoin profitably. In contrast, when the cost of electrical power is higher than we think makes it possible for us to profitably mine bitcoin, we curtail our mining operations at the data center. The Bear Facility and the Chief Facility do not currently have fixed price power purchase agreements. Depending on market conditions, we may enter into such agreements, but only if we are able to do so on favorable terms, which we cannot guarantee.</w:t>
      </w:r>
    </w:p>
    <w:p>
      <w:pPr>
        <w:spacing w:after="0" w:line="14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procured the miners for the data centers and provide certain development and operations support. Under the WindHQ Joint Venture Agreement, WindHQ is required to use commercially reasonable efforts to procure energy for possible additional data centers (“Future Data Centers”) at the most favorable pricing then available. Similarly, we are required to use commercially reasonable efforts to procure the applicable equipment needed for Future Data Centers at the most favorable pricing then available. In the absence of any material breaches by either party, the WindHQ Joint Venture Agreement may only be terminated by mutual written consent of both parties.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Luminant Power Agreement</w:t>
      </w:r>
    </w:p>
    <w:p>
      <w:pPr>
        <w:spacing w:after="0" w:line="202" w:lineRule="exact"/>
        <w:rPr>
          <w:sz w:val="20"/>
          <w:szCs w:val="20"/>
          <w:color w:val="auto"/>
        </w:rPr>
      </w:pPr>
    </w:p>
    <w:p>
      <w:pPr>
        <w:jc w:val="both"/>
        <w:ind w:right="260" w:firstLine="509"/>
        <w:spacing w:after="0" w:line="274" w:lineRule="auto"/>
        <w:rPr>
          <w:sz w:val="20"/>
          <w:szCs w:val="20"/>
          <w:color w:val="auto"/>
        </w:rPr>
      </w:pPr>
      <w:r>
        <w:rPr>
          <w:rFonts w:ascii="Times New Roman" w:cs="Times New Roman" w:eastAsia="Times New Roman" w:hAnsi="Times New Roman"/>
          <w:sz w:val="17"/>
          <w:szCs w:val="17"/>
          <w:color w:val="auto"/>
        </w:rPr>
        <w:t>On June 23, 2021, we entered into a power purchase agreement with Luminant for the supply of electric power to the Odessa Facility, which was subsequently amended and restated on July 9, 2021, and further amended on February 28, 2022, August 26, 2022 and August 23, 2023 (as amended, the “Luminant Power Agreement”), pursuant to which we have access, until at least 2027, to an average cost of electricity of approximately 2.7 c/kWh. The Luminant Power Agreement provides for a take or pay arrangement, whereby, Luminant will supply, and we are obligated to accept and pay for, a total electrical power capacity equal to at least 66.7% of the full 207 MW capacity each year at a predetermined MWh rate. The agreement also provides for certain curtailment events pursuant to which Luminant has a right to curtail the electrical power delivered in each contractual year.</w:t>
      </w:r>
    </w:p>
    <w:p>
      <w:pPr>
        <w:spacing w:after="0" w:line="131"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Subject to certain early termination exceptions, the agreement provides for a subsequent automatic annual renewal, unless either party provides written notice to the other party of its intent to terminate the agreement at least six months prior to the expiration of then current term.</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Purchases</w:t>
      </w:r>
    </w:p>
    <w:p>
      <w:pPr>
        <w:spacing w:after="0" w:line="202"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 substantial majority of our capital expenditures to date have been devoted to the development and construction of our bitcoin mining data centers and the acquisition of mining hardware. We have purchased miners from Bitmain, SuperAcme, and Canaan.</w:t>
      </w:r>
    </w:p>
    <w:p>
      <w:pPr>
        <w:spacing w:after="0" w:line="12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In January 2024, Bear LLC and Chief Mountain LLC each entered into agreements with Canaan to purchase 8,350 units of the latest generation Avalon A1466 miners for delivery in the second quarter of 2024. Both Bear LLC and Chief Mountain LLC plan to install 8,350 miners, representing an expansion of approximately 30 MW, or approximately 1.25 EH/s at each facility. Payment terms allow Bear LLC and Chief Mountain LLC to deliver up to 30% of the total consideration in the 90 days after delivery.</w:t>
      </w:r>
    </w:p>
    <w:p>
      <w:pPr>
        <w:spacing w:after="0" w:line="14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through our wholly-owned subsidiary Cipher Mining Infrastructure LLC, a Delaware limited liability company, we entered into a Future Sales and Purchase Agreement with Bitmain Technologies Delaware Limited to purchase 37,396 Antminer T21 miners (the “2025 Bitmain Miners”). This purchase represents approximately 7.1 EH/s of self-mining capacity, and we expect the miners to be delivered in one batch in April 2025. Pursuant to this agreement, we also have the option, but not an obligation, to purchase 45,706 additional Antminer T21 miners (the “2024 Optional Bitmain Miners”), which we may exercise in whole or in part, in one or more transactions, in 2024.</w:t>
      </w:r>
    </w:p>
    <w:p>
      <w:pPr>
        <w:spacing w:after="0" w:line="15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purchase price for the 2025 Bitmain Miners under the agreement is $99,473,360, representing a $14/T unit price (the “2025 Miners Purchase Price”) with (i) 10% of the 2025 Miners Purchase Price paid on December 12, 2023 (ii) 40% of the 2025 Miners Purchase Price due 180 days prior to delivery, and (iii) the remaining 50% of the purchase price due 7 days prior to delivery. The purchase price for the 2024 Optional Bitmain Miners under the agreement is $121,577,960, representing a $14/T unit price (the “2024 Optional Miners Purchase Price”) with (i) 10% of the 2024 Optional Miners Purchase Price paid in December 2023 (ii) 40% of the 2024 Optional Miners Purchase Price of each batch due 180 days prior to each delivery, and (iii) the remaining 50% of the 2024 Optional Miners Purchase Price of each batch due 7 days prior to each delivery.</w:t>
      </w:r>
    </w:p>
    <w:p>
      <w:pPr>
        <w:spacing w:after="0" w:line="14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Separately, under our agreement of October 2023 with Bitmain Technologies Delaware Limited, we purchased approximately 1.2 EH/s worth of Antminer S21 miners, for a total commitment of $24.0 million to be paid in cash and coupons, or $16.8 million in cash after applying coupons (the “Bitmain S21 Agreement”).We expect the miners purchased under this agreement to be shipped in batches between January and June 2024. As of the date of this filing, approximately 1,760 of those miners have been delivered to us in Texas, and we have paid approximately $10.9 million of the total $16.8 million due.</w:t>
      </w:r>
    </w:p>
    <w:p>
      <w:pPr>
        <w:spacing w:after="0" w:line="14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Under our agreement of May 2023 with Canaan, we purchased a total of 11,000 A1346 model mining machines, all of which were delivered by June 2023 and have been installed at the Odessa Facility and we have no further payment obligations under that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we have strengths that give us a competitive advantage in the bitcoin mining business, including the following.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Scalable operations with attractive opportunities to deploy additional hashrate</w:t>
      </w:r>
    </w:p>
    <w:p>
      <w:pPr>
        <w:spacing w:after="0" w:line="20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scale can be a key factor in driving cost and margin improvements in the bitcoin mining business, as well as providing a degree of protection against the price volatility associated with bitcoin. As of February 29, 2024, we have deployed approximately 267 MW of electrical capacity across our four data centers, with a corresponding hashrate of approximately 8.4 EH/s, of which we owned approximately 7.4 EH/s. As further discussed in “—</w:t>
      </w:r>
      <w:r>
        <w:rPr>
          <w:rFonts w:ascii="Times New Roman" w:cs="Times New Roman" w:eastAsia="Times New Roman" w:hAnsi="Times New Roman"/>
          <w:sz w:val="18"/>
          <w:szCs w:val="18"/>
          <w:i w:val="1"/>
          <w:iCs w:val="1"/>
          <w:color w:val="auto"/>
        </w:rPr>
        <w:t>Our Strategy</w:t>
      </w:r>
      <w:r>
        <w:rPr>
          <w:rFonts w:ascii="Times New Roman" w:cs="Times New Roman" w:eastAsia="Times New Roman" w:hAnsi="Times New Roman"/>
          <w:sz w:val="18"/>
          <w:szCs w:val="18"/>
          <w:color w:val="auto"/>
        </w:rPr>
        <w:t>”, we plan to deploy an additional approximately 60 MW for a total of approximately 327 MW of electrical capacity by the end of 2024, and a corresponding hashrate of approximately 11.6 EH/s, of which we expect to own approximately 9.3 EH/s, with the remainder being owned by WindHQ, our JV partner. We also plan to deploy an additional 135 MW of rig capacity in 2025 for approximately an additional 7.1 EH/s in corresponding hashrate at our Black Pearl Facility.</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5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In 2024 and 2025, we plan to expand deployment of electrical capacity at our existing data centers, at our new Black Pearl Facility, and potentially also at new, yet to be secured, sites. We plan to use cash flows that we expect to generate from our operations and potentially additional sources of financing, or joint venture or other arrangements, to fund the required capital expenditures associated with any potential expansion.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leadership with reliable electricity supply and resilient business model with downside protection against drops in bitcoin prices</w:t>
      </w:r>
    </w:p>
    <w:p>
      <w:pPr>
        <w:spacing w:after="0" w:line="18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current portfolio of power for our data centers has an average cost that we believe to be among the lowest in the industry. For further details on those arrangements, see “</w:t>
      </w:r>
      <w:r>
        <w:rPr>
          <w:rFonts w:ascii="Times New Roman" w:cs="Times New Roman" w:eastAsia="Times New Roman" w:hAnsi="Times New Roman"/>
          <w:sz w:val="18"/>
          <w:szCs w:val="18"/>
          <w:i w:val="1"/>
          <w:iCs w:val="1"/>
          <w:color w:val="auto"/>
        </w:rPr>
        <w:t>Business—Business Agreements—Luminant Power Agreement</w:t>
      </w:r>
      <w:r>
        <w:rPr>
          <w:rFonts w:ascii="Times New Roman" w:cs="Times New Roman" w:eastAsia="Times New Roman" w:hAnsi="Times New Roman"/>
          <w:sz w:val="18"/>
          <w:szCs w:val="18"/>
          <w:color w:val="auto"/>
        </w:rPr>
        <w:t>.” We have access, until at least 2027, to competitive electricity costs, with an average cost of electricity of approximately 2.7 c/kWh. We believe that we operate one of the most efficient mining rig fleets in the global market by using leading technology and mining equipment to maximize computing power output per MW while attempting to minimize unintentional downtime and repair costs. Additionally, our strategy involves curtailing our mining operations, meaning we turn the miners on and off, for a variety of contractual, economic, weather related, business or other reasons. For further details, see “</w:t>
      </w:r>
      <w:r>
        <w:rPr>
          <w:rFonts w:ascii="Times New Roman" w:cs="Times New Roman" w:eastAsia="Times New Roman" w:hAnsi="Times New Roman"/>
          <w:sz w:val="18"/>
          <w:szCs w:val="18"/>
          <w:i w:val="1"/>
          <w:iCs w:val="1"/>
          <w:color w:val="auto"/>
        </w:rPr>
        <w:t>Risk Factors—Risks Related to Our Business, Industry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Operations—Bitcoin miners and other necessary hardware are subject to malfunction, technological obsolescence and physical degradation</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The overall hashrate of the Bitcoin network is generally correlated with bitcoin price, and any significant fall in bitcoin price may force high-cost miners to cease their mining activities, which would typically result in a decrease of the network power. Because the number of blocks available to be mined is set by Bitcoin protocol irrespective of the network’s hashrate or bitcoin prices, in periods of low bitcoin prices, low-cost producers may have the opportunity to take the market share of less-efficient participants.</w:t>
      </w:r>
    </w:p>
    <w:p>
      <w:pPr>
        <w:spacing w:after="0" w:line="155"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We believe that our controlled power costs, use of leading technology, and reliable operations and maintenance services will provide our mining operations with resilience against drops in bitcoin prices.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management’s track record with relevant expertise and capabilities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an experienced executive management team with many years of relevant experience and significant industry and technical knowledge. The executive management team has recruited talented employees with experience and expertise in finance, data science, data center construction and operation, power procurement, logistics, and computer science fields. Many of our employees have significant management experience, which complements our business model and talent management philosophy that favors a lean head count structure and the use of third-party vendors and contractors, as well as technology, to reduce fixed costs. We hope to leverage the talents and efforts of the entire team in developing and operating our bitcoin mining data centers and in sourcing new opportunities for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adjacencies with potential long-term opportunities</w:t>
      </w:r>
    </w:p>
    <w:p>
      <w:pPr>
        <w:spacing w:after="0" w:line="188"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 xml:space="preserve">We believe we are strategically well positioned to continue developing and expanding our bitcoin mining business, and also to enhance it through other long-term opportunities in the Bitcoin ecosystem. Those opportunities could include, for example, potential partnerships with larger companies in energy, technology and financial services, as well as offering operational and data science services associated with bitcoin </w:t>
      </w:r>
      <w:r>
        <w:rPr>
          <w:rFonts w:ascii="Times New Roman" w:cs="Times New Roman" w:eastAsia="Times New Roman" w:hAnsi="Times New Roman"/>
          <w:sz w:val="18"/>
          <w:szCs w:val="18"/>
          <w:color w:val="231F20"/>
        </w:rPr>
        <w:t>mining.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2"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strategy is to expand and strengthen the Bitcoin network’s critical infrastructure by developing and operating data centers at which we continue to expand the hashrate we contribute to the Bitcoin network. Key elements of this strategy include the following.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our cost leadership and maintain strong relationships with our industry partners</w:t>
      </w:r>
    </w:p>
    <w:p>
      <w:pPr>
        <w:spacing w:after="0" w:line="188"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We seek to structure relationships with our equipment and service providers, power suppliers and other potential partners as long-term relationships. We believe this approach will help us expand our operations in a cost-effective manner that will contribute to the operational stability of our bitcoin mining business. In addition, we aim</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one of the lowest cost producers of bitcoin. We believe that will serve us well in bull markets for bitcoin and protect us in bear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 flexibility in considering strategically adjacent opportunities complimentary to our business model</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the Bitcoin ecosystem develops and our business, including our bitcoin inventory, grows, we aim to retain flexibility in considering and engaging in various strategic initiatives that may be complimentary to </w:t>
      </w:r>
      <w:r>
        <w:rPr>
          <w:rFonts w:ascii="Times New Roman" w:cs="Times New Roman" w:eastAsia="Times New Roman" w:hAnsi="Times New Roman"/>
          <w:sz w:val="18"/>
          <w:szCs w:val="18"/>
          <w:color w:val="231F20"/>
        </w:rPr>
        <w:t>our</w:t>
      </w:r>
      <w:r>
        <w:rPr>
          <w:rFonts w:ascii="Times New Roman" w:cs="Times New Roman" w:eastAsia="Times New Roman" w:hAnsi="Times New Roman"/>
          <w:sz w:val="18"/>
          <w:szCs w:val="18"/>
          <w:color w:val="auto"/>
        </w:rPr>
        <w:t xml:space="preserve"> bitcoin </w:t>
      </w:r>
      <w:r>
        <w:rPr>
          <w:rFonts w:ascii="Times New Roman" w:cs="Times New Roman" w:eastAsia="Times New Roman" w:hAnsi="Times New Roman"/>
          <w:sz w:val="18"/>
          <w:szCs w:val="18"/>
          <w:color w:val="231F20"/>
        </w:rPr>
        <w:t>mining operations. For example, we have enhanced our treasury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platform by engaging market counterparties with which we can hedge some or all of the value of our bitcoin inventory or the value of our expected forward production, and we could consider initiatives such as: (i) lending out bitcoin as an additional line of revenue; (ii) engaging into strategic acquisitions or joint ventures; (iii) leveraging our expected bitcoin holdings to enter into strategic partnerships in the fintech space; (iv) engaging in asset management products; and (v) providing operational support or mining-as-a-service products, which may involve working with infrastructure investors on managed </w:t>
      </w:r>
      <w:r>
        <w:rPr>
          <w:rFonts w:ascii="Times New Roman" w:cs="Times New Roman" w:eastAsia="Times New Roman" w:hAnsi="Times New Roman"/>
          <w:sz w:val="18"/>
          <w:szCs w:val="18"/>
          <w:color w:val="000000"/>
        </w:rPr>
        <w:t xml:space="preserve">bitcoin </w:t>
      </w:r>
      <w:r>
        <w:rPr>
          <w:rFonts w:ascii="Times New Roman" w:cs="Times New Roman" w:eastAsia="Times New Roman" w:hAnsi="Times New Roman"/>
          <w:sz w:val="18"/>
          <w:szCs w:val="18"/>
          <w:color w:val="231F20"/>
        </w:rPr>
        <w:t>mining deployments and other potential projects.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mining pools</w:t>
      </w:r>
    </w:p>
    <w:p>
      <w:pPr>
        <w:spacing w:after="0" w:line="202"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As part of our operations, we use third-party mining pools, including Foundry and Luxor, to mine bitcoin. This means that we send our computing power, or hashrate, to the mining pool in exchange for a proportionate share of bitcoin mined by the pool. In 2023, we incurred pooling charges of approximately $165,000.</w:t>
      </w:r>
    </w:p>
    <w:p>
      <w:pPr>
        <w:spacing w:after="0" w:line="137"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We have no immediate plans to establish our own mining pool. We intend to periodically re-evaluate this as part of our overall strategy going forward and, in the future, we may also decide to stop using mining pools.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custodians</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generally store the majority of our bitcoin in cold storage, unless we transfer it to a trading account to be sold. We primarily use Coinbase Prime as our custodian to store our bitcoin, but also have accounts at Anchorage Digital Bank N.A. and Fidelity Digital Assets Services. We periodically re-evaluate these services and, in the future, we may also decide to use additional or other custodians. As part of our regular treasury management, we consider market conditions and our financial obligations to determine if any portion of newly mined or stored bitcoin should be transferred to the hot wallet for liquidation. See “</w:t>
      </w:r>
      <w:r>
        <w:rPr>
          <w:rFonts w:ascii="Times New Roman" w:cs="Times New Roman" w:eastAsia="Times New Roman" w:hAnsi="Times New Roman"/>
          <w:sz w:val="18"/>
          <w:szCs w:val="18"/>
          <w:i w:val="1"/>
          <w:iCs w:val="1"/>
          <w:color w:val="auto"/>
        </w:rPr>
        <w:t>Risk Factors—Risks Related to Our Business, Industry and Operations—There is a potential that, in the event of a bankruptcy filing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custodian, bitcoin held in custody could be determined to be property of a bankruptcy estate and we could be considered a general unsecured creditor thereof” and “Our limited insurance protection exposes us and our shareholders to the risk of loss of our bitcoin for which no person is liable.”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building our operations in the United States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currently all within the United States. We believe that the North American market, and specifically the United States, represents a particularly attractive geographic region for bitcoin mining. Two key drivers for this are the attractive market dynamics and its stable regulatory environment. We believe that the strong bitcoin mining dynamics in the United States are particularly driven by low-cost energy and reliable power infrastructure, investor interest in bitcoin mining and access to capital markets, access to data center construction and operations talent markets, and potential opportunities to partner with energy industry participants on projects involving renewable energy sources. On the regulatory side, while crypto asset regulation in the United States, as in the rest of the world, is still in development (see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we believe that the regulatory framework for bitcoin in the United States is sufficiently well established and accepted. Furthermore, we believe that the U.S. digital asset ecosystem is more tightly regulated and may attract more compliance-oriented investors, which is expected to contribute to the overall stability of the ecosystem. We may in the future consider establishing operations in other countries, depending on the business opportunity and the relative risks associated with the relevant jurisdiction.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8"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Bitcoin is mined all over the world by a variety of miners, including individuals, public and private companies, and mining pools. We define our principal competitors as other publicly traded bitcoin miners because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51"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there is widely available information about their operations. Several public companies (traded in the United States and internationally), such as the following, may be considered to compete with us:</w:t>
      </w:r>
    </w:p>
    <w:p>
      <w:pPr>
        <w:spacing w:after="0" w:line="136"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Marathon Digital Holdings, Inc.</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Platforms, Inc.</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CleanSpark, Inc.</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Hut 8 Mining Corp.</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Hive Blockchain Technologies Ltd.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 Energy Limited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Terawulf Inc.</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Scientific, Inc.</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 Digital, Inc.</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Technologies Group</w:t>
      </w:r>
    </w:p>
    <w:p>
      <w:pPr>
        <w:spacing w:after="0" w:line="18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data centers are located in Texas, where we may face significant and increasing competition, because Texas, through its regulatory and economic incentives, has encouraged bitcoin mining companies, like ours, to locate their operations in the state. For further details,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Industry and Operations—Delays or disruptions in the operation of our Texas sites could also materially and adversely affect our business, results of operations and financial condition</w:t>
      </w:r>
      <w:r>
        <w:rPr>
          <w:rFonts w:ascii="Times New Roman" w:cs="Times New Roman" w:eastAsia="Times New Roman" w:hAnsi="Times New Roman"/>
          <w:sz w:val="18"/>
          <w:szCs w:val="18"/>
          <w:color w:val="auto"/>
        </w:rPr>
        <w:t>.” There is also a possibility that, in the future, foreign governments may decide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subsidize or in some other way support certain large-scale cryptocurrency mining projects. See “</w:t>
      </w:r>
      <w:r>
        <w:rPr>
          <w:rFonts w:ascii="Times New Roman" w:cs="Times New Roman" w:eastAsia="Times New Roman" w:hAnsi="Times New Roman"/>
          <w:sz w:val="18"/>
          <w:szCs w:val="18"/>
          <w:i w:val="1"/>
          <w:iCs w:val="1"/>
          <w:color w:val="auto"/>
        </w:rPr>
        <w:t>Risk Factors—Risks Related to Regulatory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actions in one or more countries could severely affect the right to acquire, own, hold, sell or use certain cryptocurrencies or to exchange them for fiat currency.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Thus, we compete against many companies and entities operating both within the United States and abroad. Equally important, as bitcoin price increases, additional miners may be drawn into the market. The corollary would mean that as bitcoin price decreases, miners that are less cost-efficient may be driven out of the market.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operate in a complex and rapidly evolving regulatory environment and we are subject to a wide range of laws and regulations enacted by U.S. federal, state and local governments, governmental agencies and regulatory authorities, including the SEC, the Commodity Futures Trading Commission, the Federal Trade Commission and the Financial Crimes Enforcement Network of the U.S. Department of the Treasury, as well as similar entities in other countries. Other regulatory bodies, governmental or semi-governmental, have shown an interest in regulating or investigating companies engaged in the blockchain or cryptocurrency businesses.</w:t>
      </w:r>
    </w:p>
    <w:p>
      <w:pPr>
        <w:spacing w:after="0" w:line="15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Recently, on January 10, 2024, the SEC approved the listing and trading of spot bitcoin exchange-traded products (“ETPs”), the shares of which can be sold in public offerings and traded on U.S. national securities exchanges. The approved ETPs commenced trading directly to the public on January 11, 2024, with a trading volume of $4.6 billion on the first trading day. It is unclear how the approval of spot bitcoin ETPs will affect the price of bitcoin going forward. Regulations may substantially change in the future and it is presently not possible to know how regulations will apply to our businesses, or when they will be effective. As the regulatory and legal environment evolves, we may become subject to new laws and further regulation by the SEC and other agencies, which may affect our mining and other activities. For instance, various bills have been proposed in the U.S. Congress related to our business, which may be adopted and have an impact on us. Additionally, governmental</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5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agencies and regulatory authorities, such as the SEC, the Commodity Futures Trading Commission, the Federal Trade Commission and the Financial Crimes Enforcement Network of the U.S. Department of the Treasury, may also enact regulations related to our business, which may have an impact on us. For additional discussion regarding our belief about the potential risks existing and future regulation pose to our business, see “</w:t>
      </w:r>
      <w:r>
        <w:rPr>
          <w:rFonts w:ascii="Times New Roman" w:cs="Times New Roman" w:eastAsia="Times New Roman" w:hAnsi="Times New Roman"/>
          <w:sz w:val="18"/>
          <w:szCs w:val="18"/>
          <w:i w:val="1"/>
          <w:iCs w:val="1"/>
          <w:color w:val="auto"/>
        </w:rPr>
        <w:t>Risk Factors—Risks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Regulatory Framework.</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right="240" w:firstLine="509"/>
        <w:spacing w:after="0" w:line="283" w:lineRule="auto"/>
        <w:rPr>
          <w:sz w:val="20"/>
          <w:szCs w:val="20"/>
          <w:color w:val="auto"/>
        </w:rPr>
      </w:pPr>
      <w:r>
        <w:rPr>
          <w:rFonts w:ascii="Times New Roman" w:cs="Times New Roman" w:eastAsia="Times New Roman" w:hAnsi="Times New Roman"/>
          <w:sz w:val="18"/>
          <w:szCs w:val="18"/>
          <w:color w:val="auto"/>
        </w:rPr>
        <w:t>Furthermore, because we may strategically expand our operations into new areas,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Strategy— Retain flexibility in considering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strategically adjacent opportunities complimentary to our business model,</w:t>
      </w:r>
      <w:r>
        <w:rPr>
          <w:rFonts w:ascii="Times New Roman" w:cs="Times New Roman" w:eastAsia="Times New Roman" w:hAnsi="Times New Roman"/>
          <w:sz w:val="18"/>
          <w:szCs w:val="18"/>
          <w:color w:val="auto"/>
        </w:rPr>
        <w:t>” we may become subject to additional regulatory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8"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We use specific hardware and software for our bitcoin mining operations. In certain cases, source code and other software assets may be subject to an open source license, as much technology development underway in this sector is open source. For these works, we intend to adhere to the terms of any license agreements that may be in place.</w:t>
      </w:r>
    </w:p>
    <w:p>
      <w:pPr>
        <w:spacing w:after="0" w:line="1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have patent applications pending for aspects of our bitcoin mining operations. We rely upon trade secrets, trademarks, service marks, trade names, copyrights and other intellectual property rights and license the use of intellectual property rights owned and controlled by others. In addition, we have developed and continue to refine certain proprietary software applications to enhance the efficiency of our bitcoin mining operations and may continue to develop those applications or others in the future.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filing, we have 35 full-time employees and officers. We believe our employee relations to be good. We aim to attract and retain talented and dedicated employees who contribute to the operation of our business model. As such, we have recruited employees with experience and expertise in the following areas: finance, data science, data center construction and operation, computer science, power procurement, and logistics. Currently, each of our employees is also an owner of the Company through equity awards under the Incentive Award Plan. We aim to instill an “ownership culture” in all areas of our business model, and our compensation and benefits philosophies are designed to retain our employees and recruit new employees as necessary.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8"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Our annual and quarterly operating results have the potential to be significantly affected by seasonality related to weather and the related energy commodity price volatility. The price of electric power typically peaks during the winter and summer months, and more generally during extreme weather events, which can potentially impact the Company’s results. Additionally, extreme weather conditions may affect the efficiency and uptime of our mining operations which will have an impact on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Cipher Mining Inc. was incorporated as a Delaware corporation on August 27, 2021 in connection with the closing of a transaction (the “Business Combination”) pursuant to which Good Works Acquisition Corp. (“GWAC”), a special purpose acquisition company, consummated the merger of a wholly-owned direct subsidiary of GWAC with and into Cipher Mining Technologies Inc. (“CMTI”). Following the Business Combination, the combined company was named Cipher Mining Inc. (“Cipher” or the “Company”). The Company comprises all of GWAC’s and CMTI’s operations.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principal executive offices are located at 1 Vanderbilt Avenue, Floor 54, Suite C, New York, NY 10017, and our telephone number is (332) 262-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website address is www.ciphermining.com. The contents of, or information accessible through, our website are not part of this Annual Report on Form 10-K. We make our filings with the SEC, including our Annual Report on Form 10-K, Quarterly Reports on Form 10-Q, Current Reports on Form 8-K and all amendments to those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reports, as well as beneficial ownership filings available free of charge on our website as soon as reasonably practicable after we file such reports with, or furnish such reports to, the SEC.</w:t>
      </w:r>
    </w:p>
    <w:p>
      <w:pPr>
        <w:spacing w:after="0" w:line="136"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We may use our website as a distribution channel of material information about the Company. Financial and other important information regarding the Company is routinely posted on and accessible through the Investors sections of its website at https://investors.ciphermining.com.</w:t>
      </w:r>
    </w:p>
    <w:p>
      <w:pPr>
        <w:spacing w:after="0" w:line="12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or public warrants could decline and you could lose part or all of your investment.</w:t>
      </w:r>
    </w:p>
    <w:p>
      <w:pPr>
        <w:spacing w:after="0" w:line="151"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47" w:lineRule="exact"/>
        <w:rPr>
          <w:sz w:val="20"/>
          <w:szCs w:val="20"/>
          <w:color w:val="auto"/>
        </w:rPr>
      </w:pPr>
    </w:p>
    <w:p>
      <w:pPr>
        <w:ind w:right="40" w:firstLine="509"/>
        <w:spacing w:after="0" w:line="280" w:lineRule="auto"/>
        <w:rPr>
          <w:sz w:val="20"/>
          <w:szCs w:val="20"/>
          <w:color w:val="auto"/>
        </w:rPr>
      </w:pPr>
      <w:r>
        <w:rPr>
          <w:rFonts w:ascii="Times New Roman" w:cs="Times New Roman" w:eastAsia="Times New Roman" w:hAnsi="Times New Roman"/>
          <w:sz w:val="17"/>
          <w:szCs w:val="17"/>
          <w:color w:val="auto"/>
        </w:rPr>
        <w:t>The use of cryptocurrencies to, among other things, buy and sell goods and services and complete transactions, is part of a new and rapidly evolving industry that employs cryptocurrency assets, including bitcoin, based upon a computer-generated mathematical 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w:t>
      </w:r>
    </w:p>
    <w:p>
      <w:pPr>
        <w:spacing w:after="0" w:line="12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Industry events, such as filing for and seeking protection of Chapter 11 proceedings by major market participants, may have significant impact on further development and acceptance of digital asset networks and digital assets as they exposed how unpredictable and turbulent the digital assets industry can be. Specifically, the Chapter 11 Bankruptcy filings of digital asset exchanges FTX Trading Ltd., et al. (“FTX”) (including its affiliated hedge fund, Alameda Research LLC) was unexpected and significantly reduced confidence in the digital assets industry as it was one of the largest and considered among safest digital asset trading platforms. Furthermore, it also revealed potential systemic risks and industry contagion as a significant number of other major market participants were affected by FTX’s Chapter 11 filing – namely, among others, BlockFi Inc., et al. (“BlockFi”), as one of the largest digital assets lending companies. Although there were no significant exposures of our business to any of the industry participants who filed for Chapter 11 bankruptcy, such failure of key institutions in the cryptocurrency asset industry highlights the risk of systemic interconnectedness between major market participants and the effect it could have on the industry as a whole.</w:t>
      </w:r>
    </w:p>
    <w:p>
      <w:pPr>
        <w:spacing w:after="0" w:line="1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closure and temporary shutdown of major digital asset exchanges and trading platforms, such as FTX, due to fraud or business failure, has disrupted investor confidence in cryptocurrencies and led to a rapid escalation of oversight of the digital asset industry. Thus, the failures of key market participants and systemic contagion risk is expected to, as a consequence, invite stricter regulatory scrutiny. All this could have a negative impact on further development and acceptance of digital asset networks and digital assets, including bitcoin. See “—</w:t>
      </w:r>
      <w:r>
        <w:rPr>
          <w:rFonts w:ascii="Times New Roman" w:cs="Times New Roman" w:eastAsia="Times New Roman" w:hAnsi="Times New Roman"/>
          <w:sz w:val="18"/>
          <w:szCs w:val="18"/>
          <w:i w:val="1"/>
          <w:iCs w:val="1"/>
          <w:color w:val="auto"/>
        </w:rPr>
        <w:t>Risks Related to Regulatory Framework—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or actions may restrict the use of bitcoin in a manner that adversely affects our business, prospects or operations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factors that could affect further development and acceptance of digital asset networks and other digital assets include, but are not limited to:</w:t>
      </w:r>
    </w:p>
    <w:p>
      <w:pPr>
        <w:spacing w:after="0" w:line="184"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growth in the adoption and use of bitcoin as a medium to exchange;</w:t>
      </w:r>
    </w:p>
    <w:p>
      <w:pPr>
        <w:spacing w:after="0" w:line="184"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bitcoin and its use, or restrictions on or regulation of access to and operation of the Bitcoin network or similar cryptocurrency systems;</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7" w:name="page18"/>
    <w:bookmarkEnd w:id="17"/>
    <w:p>
      <w:pPr>
        <w:spacing w:after="0" w:line="151"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Bitcoin network;</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consolidation of contributors to the Bitcoin blockchain through bitcoin mining pools;</w:t>
      </w:r>
    </w:p>
    <w:p>
      <w:pPr>
        <w:spacing w:after="0" w:line="18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cryptocurrencies and other forms or methods of buying and selling goods and services, including new means of using fiat currencies;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networks supporting cryptocurrencies for developing smart contracts and distributed applications;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cryptocurrencies;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tax restrictions, excise taxes or other additional costs on the use of electricity to mine bitcoin;</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bitcoin transaction costs and any related reduction in the use of and demand for bitcoin;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bitcoin specifically or cryptocurrencies generally.</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13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the second half of 2022 and beginning of 2023, some of the well-known crypto asset market participants, including digital asset lenders Celsius Network LLC, et al. (“Celsius”), Voyager Digital Ltd., et al. (“Voyager”), Three Arrows Capital (“Three Arrows”) and Genesis Global Holdco, LLC, et al. (“Genesis”) declared bankruptcy, resulting in a loss of confidence in participants of the digital asset ecosystem and negative publicity surrounding digital assets more broadly. In November 2022, FTX, the third largest digital asset exchange by volume at the time, halted customer withdrawals and shortly thereafter, FTX and its subsidiaries filed for bankruptcy.</w:t>
      </w:r>
    </w:p>
    <w:p>
      <w:pPr>
        <w:spacing w:after="0" w:line="15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response to these and other similar events (including significant activity by various regulators regarding digital asset activities, such as enforcement actions, against a variety of digital asset entities, including Coinbase and Binance), the digital asset markets, including the market for bitcoin specifically,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as certain entities affiliated with FTX and platforms such as Coinbase and Binance have engaged, or may continue to engage,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It is not possible to predict at this time all of the risks these events may pose to us, our service providers or on the digital asset industry as a whole.</w:t>
      </w:r>
    </w:p>
    <w:p>
      <w:pPr>
        <w:spacing w:after="0" w:line="14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we had no direct exposure to FTX or any of the above-mentioned cryptocurrency companies (with the exception of Coinbase, which is discussed in “—</w:t>
      </w:r>
      <w:r>
        <w:rPr>
          <w:rFonts w:ascii="Times New Roman" w:cs="Times New Roman" w:eastAsia="Times New Roman" w:hAnsi="Times New Roman"/>
          <w:sz w:val="18"/>
          <w:szCs w:val="18"/>
          <w:i w:val="1"/>
          <w:iCs w:val="1"/>
          <w:color w:val="auto"/>
        </w:rPr>
        <w:t>There is a potential that, in the event of a bankruptcy filing by a custodian, bitcoin held in custody could be determined to be property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bankruptcy estate and we could be considered a general unsecured creditor thereof</w:t>
      </w:r>
      <w:r>
        <w:rPr>
          <w:rFonts w:ascii="Times New Roman" w:cs="Times New Roman" w:eastAsia="Times New Roman" w:hAnsi="Times New Roman"/>
          <w:sz w:val="18"/>
          <w:szCs w:val="18"/>
          <w:color w:val="auto"/>
        </w:rPr>
        <w:t>”), nor any material assets that may not be recovered or may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lost or misappropriated due to the bankruptcies, the failure or insolvency of large exchanges like FTX or other significant players in the digital asset space may cause the price of bitcoin to fall and decrease confidence in the ecosystem, which could adversely affect an investment in us. Such market volatility and decrease in bitcoin price have had a material and adverse effect on our results of operations and financial condition and we expect our results of operations to continue to be affected by the bitcoin price as the results of our operations are significantly tied to the price of bitcoin. If we do not continue adjusting our short-term strategy to optimize our operating efficiency in the current dynamic market conditions, such market conditions could have a further negative result on our business, prospects or operations.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markets in which we operate are new and rapidly evolving, which makes it difficult to evaluate our future prospects and the risks and challenges we may encounter.</w:t>
      </w:r>
    </w:p>
    <w:p>
      <w:pPr>
        <w:spacing w:after="0" w:line="13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and assess our future prospects and the risks and challenges that we may encounter. These risks and challenges include, among others, our ability to:</w:t>
      </w:r>
    </w:p>
    <w:p>
      <w:pPr>
        <w:spacing w:after="0" w:line="122"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bitcoin data centers in a cost-effective manner;</w:t>
      </w:r>
    </w:p>
    <w:p>
      <w:pPr>
        <w:spacing w:after="0" w:line="18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establish new commercial and supply partnerships, including our power arrangements as well as our arrangements for the supply of mining equipment and other data center construction items;</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and regulations applicable to our business and in our industry;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industry benchmarks and changes in the markets in which we operate.</w:t>
      </w:r>
    </w:p>
    <w:p>
      <w:pPr>
        <w:spacing w:after="0" w:line="19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strategy may not be successful, and we may never become profitable. Even if we achieve profitability in the future, we may not be able to sustain profitability in subsequent periods. If the risks and uncertainties that we plan for when building out and operating our business are incorrect or change, or if we fail to manage these risks successfully, our results of operations could differ materially from our expectations and our business, prospects, financial condition and operating results could be adversely affected.</w:t>
      </w:r>
    </w:p>
    <w:p>
      <w:pPr>
        <w:spacing w:after="0" w:line="137"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unfavorable global economic, business or political conditions, such as geopolitical tensions, military conflicts, acts of terrorism, natural disasters, pandemics (like the COVID-19 pandemic), and similar events could adversely affect our business, financial condition and results of operations.</w:t>
      </w:r>
    </w:p>
    <w:p>
      <w:pPr>
        <w:spacing w:after="0" w:line="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Geopolitical tensions, acts of terrorism, hostilities or the perception that hostilities may be imminent, military conflict and acts of war, including further escalation of the Russia-Ukraine conflict and the related response, including sanctions or other restrictive actions, by the United States and/or other countries, as well as the conflicts between Israel-Hamas or China-Taiwan, could adversely impact our business, supply chain or partners.</w:t>
      </w:r>
    </w:p>
    <w:p>
      <w:pPr>
        <w:spacing w:after="0" w:line="155"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Events like these, particularly if they occur in regions of the world where we operate or source our mining equipment, could cause supply chain disruptions for some of our mining equipment components. Our operations are particularly vulnerable to potential interruptions in the supply of certain critical materials and metals, such as neon gas and palladium, which are used in semiconductor manufacturing. Any interruption to semiconductor chip supply could significantly impact our ability to receive the mining equipment and timely roll-out of our operations. Furthermore, any potential increase in geopolitical tensions in Asia, particularly in the Taiwan Strait, could also significantly disrupt existing semiconductor chip manufacturing and increase the prospect of an interruption to the semiconductor chip supply across the world. The world’s largest semiconductor chip manufacturer is located in Taiwan and a large part of equipment and materials for our bitcoin miners, including ASIC chips, is manufactured in Taiwan. A setback to the current state of relative peace and stability in the region could compromise existing semiconductor chip production and have downstream implications for our company. We are continuing to monitor the situations in Ukraine, Israel and globally and assessing its potential impact on our business. There is also a potential increase in risk for cyberattacks due to cyberwarfare in connection with ongoing military conflicts, such as the Russia-Ukraine and Israel-Hamas conflicts.</w:t>
      </w:r>
    </w:p>
    <w:p>
      <w:pPr>
        <w:spacing w:after="0" w:line="13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Other global economic conditions, including natural disasters, pandemics (like the COVID-19 pandemic), economic recessions, inflationary issues and associated changes in monetary policy or potential economic recession, commodity prices, foreign currency fluctuations, international tariffs, social, political and economic risks, could adversely affect our business, financial condition and results of operations. For example, the U.S. inflation rate steadily increased since 2021 and into 2022 and 2023. These inflationary pressures, as well as disruptions in our supply chain, have increased the costs of most other goods, services and personnel, which have in turn caused our</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5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capital expenditures and operating costs to rise. Sustained levels of high inflation caused the U.S. Federal Reserve and other central banks to increase interest rates, which have raised the cost of acquiring capital and reduced economic growth, either of which—or the combination thereof—could hurt the financial and operating results of our business.</w:t>
      </w:r>
    </w:p>
    <w:p>
      <w:pPr>
        <w:spacing w:after="0" w:line="1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Any disruptions or failures of our systems or other services that we use, including as a result of these types of events, as well as power outages, telecommunications infrastructure outages, a decision by one of our third-party service providers to close facilities that we use without adequate notice or to materially change the pricing or terms of their services, or other unanticipated problems with our systems or the third-party services that we use, could severely impact our ability to conduct our business operations, which could materially adversely affect our future operating results.</w:t>
      </w:r>
    </w:p>
    <w:p>
      <w:pPr>
        <w:spacing w:after="0" w:line="14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effects of such global economic conditions and geopolitical events could adversely affect our business, prospects, financial condition, and operating results. For example, the aforementioned factors could adversely affect our ability to access the capital and other financial markets, and if so, we may need to consider alternative sources of funding for some of our growth and operations and for working capital, which may increase our cost of, as well as adversely impact our access to, capital.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grow our hashrate, we may be unable to compete, and our results of operations could suffer.</w:t>
      </w:r>
    </w:p>
    <w:p>
      <w:pPr>
        <w:spacing w:after="0" w:line="202"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Generally, a bitcoin miner’s chance of solving a block on the bitcoin blockchain and earning a bitcoin reward is a function of the miner’s hashrate (i.e., the amount of computing power devoted to supporting the Bitcoin blockchain), relative to the global network hashrate. As demand for bitcoin has increased, the global network hashrate has increased, and to the extent more adoption of bitcoin occurs, we would expect the demand for bitcoin would increase, drawing more mining companies into the industry and further increasing the global network hashrate. As new and more powerful miners are deployed, the global network hashrate will continue to increase, meaning a miner’s percentage of the total daily rewards will decline unless it deploys additional hashrate at pace with the growth of global hashrate. Accordingly, to compete in this highly competitive industry, we believe we will need to continue to acquire new miners, both to replace those lost to ordinary wear-and-tear and other damage, and to increase our hashrate to keep up with a growing global network hashrate.</w:t>
      </w:r>
    </w:p>
    <w:p>
      <w:pPr>
        <w:spacing w:after="0" w:line="149"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Furthermore, predicting the growth in network hashrate is extremely difficult. Generally, we would expect hashrate increases to be correlated with increases in bitcoin price, but that has not always been the case, including during recent periods of time during 2022 and 2023. To the extent that hashrate increases but the price of bitcoin does not, the results of our bitcoin mining operations will suffer.</w:t>
      </w:r>
    </w:p>
    <w:p>
      <w:pPr>
        <w:spacing w:after="0" w:line="13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147"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Mining bitcoin requires large amounts of electrical power, and electricity costs account for a significant portion of our overall costs. The availability and cost of electricity restrict the geographic locations of our mining activities. Any shortage of electricity supply or increase in electricity costs in any location where we operate may negatively impact the viability and the expected economic return for bitcoin mining activities in that location.</w:t>
      </w:r>
    </w:p>
    <w:p>
      <w:pPr>
        <w:spacing w:after="0" w:line="13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our business model can only be successful and our mining operations can only be profitable if the costs, including electrical power costs, associated with bitcoin mining are lower than the price of bitcoin itself. As a result, our mining operations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may also cause our electrical supply to no longer be cost-effective.</w:t>
      </w:r>
    </w:p>
    <w:p>
      <w:pPr>
        <w:spacing w:after="0" w:line="141"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Furthermore, government scrutiny related to restrictions on cryptocurrency mining facilities and their energy consumption has increased over the past few years as cryptocurrency mining has become more widespread. The consumption of electricity by mining operators may also have a negative environmental impact, including</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contribution to climate change, which could set the public opinion against allowing the use of electricity for bitcoin mining activities or create a negative consumer sentiment and perception of bitcoin.</w:t>
      </w:r>
    </w:p>
    <w:p>
      <w:pPr>
        <w:spacing w:after="0" w:line="13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State and federal regulators are increasingly focused on the energy and environmental impact of bitcoin mining activities. In March 2022, the Electricity Reliability Council of Texas (“ERCOT”), the organization that operates Texas’ electrical grid, started requiring large scale digital asset miners to apply for permission to connect to Texas’ power grid, and in April 2022, set up a taskforce committee to review the participation of large flexible loads, including bitcoin data centers, in the ERCOT market. The taskforce has been tasked to develop policy recommendations for consideration by ERCOT relating to network planning, markets, operations, and large load interconnection processes for large flexible loads in the ERCOT network. We experienced delays in the energization of the Odessa Facility due to ERCOT’s new process, and may face additional delays and obligations in the future. Separately, in November 2022, the state of New York placed a two-year moratorium on “proof-of-work” cryptocurrency mining, which includes bitcoin mining, citing environmental concerns over the energy-intensive mining process.</w:t>
      </w:r>
    </w:p>
    <w:p>
      <w:pPr>
        <w:spacing w:after="0" w:line="14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At the federal level, legislation has been proposed by various Senators that would require certain agencies to analyze and report on topics around energy consumption in the digital asset industry, including the type and amount of energy used for cryptocurrency mining and the effects of digital asset mining on energy prices and baseload power levels. There have been calls by various members of Congress on the Environmental Protection Agency (“EPA”) and Department of Energy to establish rules that would require digital asset miners to report their energy usage and emissions. In March 2022, President Biden signed an Executive Order calling on, among other things, various agencies and departments, including the EPA, to report on the connections between distributed ledger technology and energy transitions, and the impact of such technology on climate change. Also, on March 9, 2023, the Department of the Treasury published </w:t>
      </w:r>
      <w:r>
        <w:rPr>
          <w:rFonts w:ascii="Times New Roman" w:cs="Times New Roman" w:eastAsia="Times New Roman" w:hAnsi="Times New Roman"/>
          <w:sz w:val="18"/>
          <w:szCs w:val="18"/>
          <w:i w:val="1"/>
          <w:iCs w:val="1"/>
          <w:color w:val="auto"/>
        </w:rPr>
        <w:t>General Explanations of the Administration’s Fiscal Year 2024 Revenue</w:t>
      </w:r>
      <w:r>
        <w:rPr>
          <w:rFonts w:ascii="Times New Roman" w:cs="Times New Roman" w:eastAsia="Times New Roman" w:hAnsi="Times New Roman"/>
          <w:sz w:val="18"/>
          <w:szCs w:val="18"/>
          <w:color w:val="auto"/>
        </w:rPr>
        <w:t xml:space="preserve"> Proposals, in which it proposed imposing a 30% excise tax on electricity usage by digital asset miners. Any of the foregoing could reduce the availability, or increase the cost, including through taxation, of, electricity in the geographic locations in which our operating facilities are located, or could otherwise adversely impact our business. If we are forced to reduce our operations due to the availability or cost of electrical power, or restrictions on bitcoin mining activities, this will have an adverse effect on our business, prospects, financial condition and operating results.</w:t>
      </w:r>
    </w:p>
    <w:p>
      <w:pPr>
        <w:spacing w:after="0" w:line="14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Government regulators in other countries have banned or substantially limited their local cryptocurrency mining activities, or may do so in the future, which could have a material effect on our competitiveness, by affecting supply chains for mining equipment or services and the price of bitcoin. For further details on our competition, see “</w:t>
      </w:r>
      <w:r>
        <w:rPr>
          <w:rFonts w:ascii="Times New Roman" w:cs="Times New Roman" w:eastAsia="Times New Roman" w:hAnsi="Times New Roman"/>
          <w:sz w:val="18"/>
          <w:szCs w:val="18"/>
          <w:i w:val="1"/>
          <w:iCs w:val="1"/>
          <w:color w:val="auto"/>
        </w:rPr>
        <w:t>—We operate in a highly competitive industry and we compete against companies that operate in less regulated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environments as well as companies with 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Under some of our power arrangements, our power supply could be automatically reduced or curtailed by the market regulators or grid operators in cases of certain system disruptions or emergencies. If we are unable to receive adequate power supply and are forced to reduce or shut down our operations due to the availability or cost of electrical power, it would have a material adverse effect on our business, prospects, financial condition, and operating results.</w:t>
      </w:r>
    </w:p>
    <w:p>
      <w:pPr>
        <w:spacing w:after="0" w:line="14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operations and, thus, are particularly exposed to the performance of the Odessa Facility and changes in the regulatory environment, market conditions and natural disasters in Texas.</w:t>
      </w:r>
    </w:p>
    <w:p>
      <w:pPr>
        <w:spacing w:after="0" w:line="11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currently operate all of our data centers in Texas, and the Odessa Facility was responsible for mining approximately 88% of the bitcoin we produced in the year ended December 31, 2023. Consequently, our business operations and financial condition are particularly reliant on the performance of the Odessa Facility. If any critical equipment fails or there are delays in repairing equipment at the Odessa Facility, our business operations and financial results may be severely affected.</w:t>
      </w:r>
    </w:p>
    <w:p>
      <w:pPr>
        <w:spacing w:after="0" w:line="153" w:lineRule="exact"/>
        <w:rPr>
          <w:sz w:val="20"/>
          <w:szCs w:val="20"/>
          <w:color w:val="auto"/>
        </w:rPr>
      </w:pPr>
    </w:p>
    <w:p>
      <w:pPr>
        <w:ind w:right="140" w:firstLine="509"/>
        <w:spacing w:after="0" w:line="283" w:lineRule="auto"/>
        <w:rPr>
          <w:sz w:val="20"/>
          <w:szCs w:val="20"/>
          <w:color w:val="auto"/>
        </w:rPr>
      </w:pPr>
      <w:r>
        <w:rPr>
          <w:rFonts w:ascii="Times New Roman" w:cs="Times New Roman" w:eastAsia="Times New Roman" w:hAnsi="Times New Roman"/>
          <w:sz w:val="18"/>
          <w:szCs w:val="18"/>
          <w:color w:val="auto"/>
        </w:rPr>
        <w:t xml:space="preserve">Additionally, we are particularly exposed to changes in the regulatory environment, market conditions and natural disasters in this state. See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vulnerable to severe weather conditions and natural disasters,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including severe heat, winter weather events, earthquakes, fires, floods, hurricanes, as well as power outages and other industrial incidents or mechanical failures, which could severely disrupt the normal operation of our business and adversely affect our results of operations.” </w:t>
      </w:r>
      <w:r>
        <w:rPr>
          <w:rFonts w:ascii="Times New Roman" w:cs="Times New Roman" w:eastAsia="Times New Roman" w:hAnsi="Times New Roman"/>
          <w:sz w:val="18"/>
          <w:szCs w:val="18"/>
          <w:color w:val="auto"/>
        </w:rPr>
        <w:t>Texas, through its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economic incentives, has encouraged bitcoin mining companies, like ours, to locate their operations in the state. As such, we face increased competition in Texas for suitable bitcoin mining data center sites and skilled workers. If we experience delays in construction or operation of data centers, supply chain disruptions (such as the global microchip and semiconductor shortage, or the COVID-related supply chain issues of recent years), increased costs of component parts or raw materials, increased costs or lack of skilled labor, or disputes with our third party contractors or service providers, or if other unforeseen events occur, our business, financial condition and results of operations could be adversely impacted. Additionally, if the regulatory and economic environment in Texas were to become less favorable to bitcoin mining companies, including by way of increased taxes, our heavy concentration of sites in Texas means our business, financial condition and results of operations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due to the highly volatile nature of cryptocurrencies in general and, specifically, bitcoin.</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sources of revenue are dependent on bitcoin and the Bitcoin ecosystem. Due to the highly volatile nature of the cryptocurrency markets and the prices of cryptocurrency assets, and bitcoin specifically, our operating results may fluctuate significantly from quarter to quarter in accordance with market sentiments and movements in the broader cryptocurrency ecosystem and in the Bitcoin ecosystem. Bitcoin prices depend on numerous market factors beyond our control and, accordingly, some underlying bitcoin price assumptions relied on by us may materially change and actual bitcoin prices may differ materially from those expected. For instance, the introduction of cryptocurrencies backed by central banks, known as “CBDCs,” could significantly reduce the demand for bitcoin. In particular, our operating results may fluctuate as a result of a variety of factors, many of which are unpredictable and, in certain instances, outside of our control, including:</w:t>
      </w:r>
    </w:p>
    <w:p>
      <w:pPr>
        <w:spacing w:after="0" w:line="146"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across the broader blockchain ecosystem;</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trading activities of highly active retail and institutional investors, cryptocurrency users, speculators and miners;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of market participants;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innovations in bitcoin mining equipment, including ASIC chip designs;</w:t>
      </w:r>
    </w:p>
    <w:p>
      <w:pPr>
        <w:spacing w:after="0" w:line="197"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perceived value of digital assets, including due to evolving cryptographic algorithms and emerging trends in the technology securing blockchains;</w:t>
      </w:r>
    </w:p>
    <w:p>
      <w:pPr>
        <w:spacing w:after="0" w:line="122"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and events relating to the blockchain ecosystem, including public perception of the impact of the blockchain ecosystem on the environment and geopolitical developments;</w:t>
      </w:r>
    </w:p>
    <w:p>
      <w:pPr>
        <w:spacing w:after="0" w:line="122" w:lineRule="exact"/>
        <w:rPr>
          <w:rFonts w:ascii="Times New Roman" w:cs="Times New Roman" w:eastAsia="Times New Roman" w:hAnsi="Times New Roman"/>
          <w:sz w:val="18"/>
          <w:szCs w:val="18"/>
          <w:color w:val="auto"/>
        </w:rPr>
      </w:pPr>
    </w:p>
    <w:p>
      <w:pPr>
        <w:jc w:val="both"/>
        <w:ind w:left="1020" w:right="38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between the prices of digital assets, including the potential that a crash in one digital asset or widespread defaults on one digital asset exchange or trading venue may cause a crash in the price of other digital assets, or a series of defaults by counterparties on digital asset exchanges or trading venues;</w:t>
      </w:r>
    </w:p>
    <w:p>
      <w:pPr>
        <w:spacing w:after="0" w:line="15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speed associated with processing bitcoin transactions;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interest rates and inflation;</w:t>
      </w:r>
    </w:p>
    <w:p>
      <w:pPr>
        <w:spacing w:after="0" w:line="18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actions by governments or regulators that impact monetary policies, fiat currency devaluations, trade restrictions, the digital assets industry generally, or mining operations specifically;</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hardware and related installation costs;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cost-effective sources of electrical power;</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2" w:name="page23"/>
    <w:bookmarkEnd w:id="22"/>
    <w:p>
      <w:pPr>
        <w:spacing w:after="0" w:line="151"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proceedings or regulatory enforcement actions, judgments, settlements or other legal proceeding and enforcement-related costs;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expect to incur to build-up and expand our operations and to remain competitive;</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outages, including with respect to our mining hardware, power supply and third-party networks;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data privacy;</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trust in the network due to a latent fault in the Bitcoin network;</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hedge risks related to our ownership of digital assets;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digital assets, leading to a decreased adoption of bitcoin;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existing and new competitors.</w:t>
      </w:r>
    </w:p>
    <w:p>
      <w:pPr>
        <w:spacing w:after="0" w:line="1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may be difficult for us to forecast growth trends accurately and our business and future prospects are difficult to evaluate, particularly in the short term. In view of the rapidly evolving nature of our business and the Bitcoin ecosystem,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and our operating results in one or more future quarters may fall below the expectations of securities analysts and investors.</w:t>
      </w:r>
    </w:p>
    <w:p>
      <w:pPr>
        <w:spacing w:after="0" w:line="151"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including electric grid operators, electric utility providers and manufacturers of certain critical equipment and rely on components and raw materials that may be subject to price fluctuations or shortages, including ASIC chips that have been subject to periods of significant shortage and high innovation pace.</w:t>
      </w:r>
    </w:p>
    <w:p>
      <w:pPr>
        <w:spacing w:after="0" w:line="13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depend on third parties, including electric grid operator Oncor Electric Delivery Company LLC (“Oncor”), the Texas electric utility ERCOT, and manufacturers of critical components for our mining equipment and our data centers, which may be subject to price fluctuations or shortages. For example, our bitcoin mining operations require approval to operate from Oncor and ERCOT, which can be onerous to obtain. If Oncor or ERCOT delay in providing such approval, or change the requirements to operate bitcoin mining facilities, our business plans may be disrupted and our results of operations may be negatively affected.</w:t>
      </w:r>
    </w:p>
    <w:p>
      <w:pPr>
        <w:spacing w:after="0" w:line="14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Additionally, we are reliant on critical equipment, such as a single high-voltage power substation transformer to supply power to our bitcoin mining operations at the Odessa Facility. If this critical equipment malfunctions or we have delays in the ability to fix such equipment, it could adversely affect our operations and financial results.</w:t>
      </w:r>
    </w:p>
    <w:p>
      <w:pPr>
        <w:spacing w:after="0" w:line="15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Additionally,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 We cannot order ASIC chips or other equipment or services without advance payments because ASIC chip manufacturers and suppliers typically do not guarantee reserve foundry capacity or supplies without substantial order deposits. While we have already entered into certain arrangements for supply of miners and other equipment and services (for further details,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Operations—Liquidity and Capital Resources—Contractual Obligations and Other Commitments</w:t>
      </w:r>
      <w:r>
        <w:rPr>
          <w:rFonts w:ascii="Times New Roman" w:cs="Times New Roman" w:eastAsia="Times New Roman" w:hAnsi="Times New Roman"/>
          <w:sz w:val="18"/>
          <w:szCs w:val="18"/>
          <w:color w:val="auto"/>
        </w:rPr>
        <w:t>”), we cannot guarantee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our counterparties, under our supply arrangements or any other future arrangements, will be able to timely place or fulfill our purchase orders to ensure sufficient supply of the required equipment at prices acceptable to us or at all. Some of our competitors may enter into supply arrangements for mining equipment, which may have greater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capabilities or lower costs compared to ours, which could substantially harm our competitive position and results of operations.</w:t>
      </w:r>
    </w:p>
    <w:p>
      <w:pPr>
        <w:spacing w:after="0" w:line="198"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Our ability to source ASIC chips and other critical components for our data centers in a timely matter and at acceptable price and quality levels is critical to our potential expansion, including the development of the Black Pearl Facility and expansions at the Bear Facility and the Chief Facility. See “</w:t>
      </w:r>
      <w:r>
        <w:rPr>
          <w:rFonts w:ascii="Times New Roman" w:cs="Times New Roman" w:eastAsia="Times New Roman" w:hAnsi="Times New Roman"/>
          <w:sz w:val="17"/>
          <w:szCs w:val="17"/>
          <w:i w:val="1"/>
          <w:iCs w:val="1"/>
          <w:color w:val="auto"/>
        </w:rPr>
        <w:t>Business—Bitcoin and Blockchain</w:t>
      </w:r>
      <w:r>
        <w:rPr>
          <w:rFonts w:ascii="Times New Roman" w:cs="Times New Roman" w:eastAsia="Times New Roman" w:hAnsi="Times New Roman"/>
          <w:sz w:val="17"/>
          <w:szCs w:val="17"/>
          <w:color w:val="auto"/>
        </w:rPr>
        <w:t>.” We are exposed to the risk of disruptions or other failures in the overall global supply chain for bitcoin mining and related data center hardware. This is particularly relevant to the ASIC chip production since there is only a small number of fabrication facilities capable of such production, which increases our risk exposure to manufacturing disruptions or other supply chain failures, but it also applies to other infrastructure hardware necessary for operating our data centers, such as transformers, cables, and switch gear. In addition, our ability to initiate operations at the Black Pearl Facility depends on on-time delivery by Oncor of the substation for the facility. For further details see “</w:t>
      </w:r>
      <w:r>
        <w:rPr>
          <w:rFonts w:ascii="Times New Roman" w:cs="Times New Roman" w:eastAsia="Times New Roman" w:hAnsi="Times New Roman"/>
          <w:sz w:val="17"/>
          <w:szCs w:val="17"/>
          <w:i w:val="1"/>
          <w:iCs w:val="1"/>
          <w:color w:val="auto"/>
        </w:rPr>
        <w:t>—We are exposed to risks related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disruptions or other failures in the supply chain for bitcoin mining hardware and related data center hardware, and difficulties in obtaining new hardware.</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There is also a risk that a manufacturer or seller of ASIC chips or other necessary mining equipment may adjust the prices according to bitcoin prices or otherwise, so the cost of new machines could become unpredictable and extremely high. As a result, at times, we may be forced to obtain miners and other hardware at premium prices, to the extent they are available at all. Such events could have a material adverse effect on our business, prospects,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price fluctuations in the wholesale and retail power markets.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While our power arrangements contain fixed power prices, they also contain certain price adjustment mechanisms in case of certain events.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 portion of our power arrangements includes merchant power prices, or power prices reflecting market movements.</w:t>
      </w:r>
    </w:p>
    <w:p>
      <w:pPr>
        <w:spacing w:after="0" w:line="166"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Market prices for power, generation capacity and ancillary services, are unpredictable. Depending upon the effectiveness of any price risk management activity undertaken by us,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spacing w:after="0" w:line="141"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and decreases in generation capacity;</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transmission or fuel transportation capacity constraints or inefficiencies;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conditions, particularly unusually hot or mild summers or unusually cold or warm winters;</w:t>
      </w:r>
    </w:p>
    <w:p>
      <w:pPr>
        <w:spacing w:after="0" w:line="184" w:lineRule="exact"/>
        <w:rPr>
          <w:rFonts w:ascii="Times New Roman" w:cs="Times New Roman" w:eastAsia="Times New Roman" w:hAnsi="Times New Roman"/>
          <w:sz w:val="18"/>
          <w:szCs w:val="18"/>
          <w:color w:val="auto"/>
        </w:rPr>
      </w:pPr>
    </w:p>
    <w:p>
      <w:pPr>
        <w:ind w:left="1020" w:right="8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15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power, market and environmental regulation and legislation;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capacity prices and capacity markets.</w:t>
      </w:r>
    </w:p>
    <w:p>
      <w:pPr>
        <w:spacing w:after="0" w:line="184"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If we are unable to secure power supply at prices or on terms acceptable to us, it would have a material adverse effect on our business, prospects, financial condition, and operating results.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14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business is subject to the risks of severe weather conditions and natural disasters, including severe heat, winter weather events, earthquakes, fires, floods, hurricanes, as well as power outages and other industrial incidents, any of which could result in system failures, power supply disruptions and other interruptions that could harm our business. Since our business and operations are located in Texas, we are particularly vulnerable to disruptions affecting that state. Furthermore, the majority of our bitcoin production and revenues currently come from the Odessa Facility. Any significant system failures or power disruptions at that site could harm our business even if our other sites remain unaffected. See “</w:t>
      </w:r>
      <w:r>
        <w:rPr>
          <w:rFonts w:ascii="Times New Roman" w:cs="Times New Roman" w:eastAsia="Times New Roman" w:hAnsi="Times New Roman"/>
          <w:sz w:val="18"/>
          <w:szCs w:val="18"/>
          <w:i w:val="1"/>
          <w:iCs w:val="1"/>
          <w:color w:val="auto"/>
        </w:rPr>
        <w:t>—We have concentrated our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thus, are particularly exposed to the performance of the Odessa Facility and changes in the regulatory environment, market conditions and natural disasters in Texas.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example, in February 2023, Texas was hit with a major winter storm, which triggered power outages across the state for several days and left hundreds of thousands of businesses and households without power. Texas experienced a similar major storm in 2021, which also left millions of homes, offices and factories without power. Future power outages may disrupt our business operations and adversely affect our results of operations. Furthermore, the grid damages that occurred in Texas could potentially lead to delays and increased prices in our procurement of certain equipment essential to our operations, such as switch gear, cables and transformers. This could adversely impact our operations.</w:t>
      </w:r>
    </w:p>
    <w:p>
      <w:pPr>
        <w:spacing w:after="0" w:line="14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the majority of our power arrangements contain fixed power prices, some portion of our power arrangements have merchant power prices, or power prices reflecting the market movements. In an event of a major power outage, such as the abovementioned power outage in Texas, the merchant power prices could be too high to make bitcoin mining profitable. Furthermore, even the fixed-price power arrangements would still depend upon prevailing market prices to some degree. To extent the power prices increase significantly as result of severe weather conditions, natural disasters or any other causes, resulting in contract prices for power being significantly lower than current market prices, the counterparties under our power arrangements may refuse to supply power to us during that period of fluctuating prices. See “</w:t>
      </w:r>
      <w:r>
        <w:rPr>
          <w:rFonts w:ascii="Times New Roman" w:cs="Times New Roman" w:eastAsia="Times New Roman" w:hAnsi="Times New Roman"/>
          <w:sz w:val="18"/>
          <w:szCs w:val="18"/>
          <w:i w:val="1"/>
          <w:iCs w:val="1"/>
          <w:color w:val="auto"/>
        </w:rPr>
        <w:t>—We are exposed to the risk of nonperformance by counterparties,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counterparties under our power arrangements.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From time to time, we may consider protecting against power price movements by adopting a more risk averse power procurement strategy and hedging our power purchase prices, which would translate into additional hedging costs for us.</w:t>
      </w:r>
    </w:p>
    <w:p>
      <w:pPr>
        <w:spacing w:after="0" w:line="12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Furthermore, events such as the aforementioned outage in Texas may lead federal, state or regional government officials to introduce new legislation and requirements on power providers that may result in, among other things, increased taxes on power used for bitcoin mining or restrictions on cryptocurrency mining operations in general.</w:t>
      </w:r>
    </w:p>
    <w:p>
      <w:pPr>
        <w:spacing w:after="0" w:line="13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do not carry business interruption insurance sufficient to compensate us for the losses that may result from interruptions in our operations as a result of system failures. A system outage or data loss, caused by it, could have a material adverse effect on our business, prospects, financial condition, and operating results.</w:t>
      </w:r>
    </w:p>
    <w:p>
      <w:pPr>
        <w:spacing w:after="0" w:line="14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disruptions or other failures in the supply chain for bitcoin mining hardware and related data center hardware, and difficulties in obtaining new hardware.</w:t>
      </w:r>
    </w:p>
    <w:p>
      <w:pPr>
        <w:spacing w:after="0" w:line="117"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Manufacture, assembly and delivery of certain components and products for our data center operations are complex and long processes, in the course of which various problems could arise, including disruptions or delays in the supply chain, product quality control issues, as well other external factors, over which we have no control.</w:t>
      </w:r>
    </w:p>
    <w:p>
      <w:pPr>
        <w:spacing w:after="0" w:line="13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mining operations can only be successful and profitable if the costs associated with bitcoin mining, including hardware costs, are lower than the price of bitcoin itself. In the course of the normal operation of our bitcoin mining data centers, our miners and other critical equipment and materials related to data center construction and maintenance, such as containers, switch gear, transformers and cables, experience ordinary wear and tear and</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may also face more significant malfunctions caused by a number of extraneous factors beyond our control. Declines in the condition of our miners and other hardware require us, over time, to repair or replace those miners or other hardware. See “—</w:t>
      </w:r>
      <w:r>
        <w:rPr>
          <w:rFonts w:ascii="Times New Roman" w:cs="Times New Roman" w:eastAsia="Times New Roman" w:hAnsi="Times New Roman"/>
          <w:sz w:val="18"/>
          <w:szCs w:val="18"/>
          <w:i w:val="1"/>
          <w:iCs w:val="1"/>
          <w:color w:val="auto"/>
        </w:rPr>
        <w:t>Bitcoin miners and other necessary hardware are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malfunction, technological obsolescence</w:t>
      </w:r>
      <w:r>
        <w:rPr>
          <w:rFonts w:ascii="Times New Roman" w:cs="Times New Roman" w:eastAsia="Times New Roman" w:hAnsi="Times New Roman"/>
          <w:sz w:val="18"/>
          <w:szCs w:val="18"/>
          <w:color w:val="auto"/>
        </w:rPr>
        <w:t>.” Additionally, as technology evolves, we may be required to acquire newer models of miners to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in the market. Any upgrading process may require substantial capital investment, and we may face challenges in doing so on a timely and cost-effective basis.</w:t>
      </w:r>
    </w:p>
    <w:p>
      <w:pPr>
        <w:spacing w:after="0" w:line="15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is subject to limitations inherent within the supply chain of certain of our components, including competitive, governmental, and legal limitations, and other events. For example, we significantly rely on foreign imports to obtain certain equipment and materials. The miners for our operations are imported from Thailand and Malaysia, and other necessary equipment and materials for our data centers, such as transformers, cables and switch gear, are imported from many other countries around the world. Any global trade disruption, introductions of tariffs, trade barriers and bilateral trade frictions, together with any potential downturns in the global economy resulting therefrom, could adversely affect our necessary supply chains. See also, “—</w:t>
      </w:r>
      <w:r>
        <w:rPr>
          <w:rFonts w:ascii="Times New Roman" w:cs="Times New Roman" w:eastAsia="Times New Roman" w:hAnsi="Times New Roman"/>
          <w:sz w:val="18"/>
          <w:szCs w:val="18"/>
          <w:i w:val="1"/>
          <w:iCs w:val="1"/>
          <w:color w:val="auto"/>
        </w:rPr>
        <w:t>Any unfavorable global economic, business or political conditions, such as geopolitical tensions, military conflicts, acts of terrorism, natural disasters,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pandemics (like the COVID-19 pandemic), and similar events could adversely affect our business, financial condition and results of operations.</w:t>
      </w:r>
      <w:r>
        <w:rPr>
          <w:rFonts w:ascii="Times New Roman" w:cs="Times New Roman" w:eastAsia="Times New Roman" w:hAnsi="Times New Roman"/>
          <w:sz w:val="18"/>
          <w:szCs w:val="18"/>
          <w:color w:val="auto"/>
        </w:rPr>
        <w:t>” Our third-party manufacturers, suppliers and subcontractors may also experience disruptions by worker absenteeism, quarantines, restrictions on employees’ ability to work, office and factory closures, disruptions to ports and other shipping infrastructure, border closures, or other travel or health-related restrictions, such as those that were triggered by the COVID-19 pandemic, for example. Depending on the magnitude of such effects on our supply chain, shipments of parts for our miners, or any new miners that we order or other equipment necessary to operate our data centers, may be delayed or costs could increase.</w:t>
      </w:r>
    </w:p>
    <w:p>
      <w:pPr>
        <w:spacing w:after="0" w:line="148"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Furthermore, the global supply chain for cryptocurrency miners is presently heavily dependent on China, where numerous cryptocurrency mining equipment suppliers are located. In the wake of the COVID-19 pandemic, the industry experienced some significant supply disruptions from China. The Chinese government has also been actively advancing a crackdown on bitcoin mining and trading in China. Specifically, in September 2021, the Chinese government declared that all digital currency-related business activities are illegal, effectively banning mining and trading in cryptocurrencies, such as bitcoin. Most bitcoin miners in China were taken offline. While the supply of cryptocurrency hardware from China has not yet been banned, China has limited the shipment of products in and out of its borders and there is a risk that further regulation or government action, on the national or local level in China, could lead to significant disruptions in the supply chain for cryptocurrency hardware. Overall, we cannot anticipate all the ways in which this regulatory action and any additional restrictions could adversely impact our industry and business. If further regulation or government action follows, for example, in the form of prohibition on production or exports of mining equipment, it is possible that our industry may be severely affected. Should any disruptions to the China-based global supply chain for cryptocurrency hardware occur, such as, for example, as result of worsening of the U.S. trade relations with China, including imposition of new tariffs, trade barriers and bilateral trade frictions, we may not be able to obtain adequate equipment from the manufacturer on a timely basis. Such events could have a material adverse effect on our business, prospects,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miners and other necessary hardware are subject to malfunction, technological obsolescence and physical degradation.</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miners are subject to malfunctions and normal wear and tear, and, at any point in time, a certain number of our miners are typically off-line for maintenance or repair. The physical degradation of our miners will require us to replace miners that are no longer functional. Because we use many units of the same miner models, if there is a model wide component malfunction whether in the hardware or the software that powers these miners, the percentage of offline miners could increase substantially, disrupting our operations. Any major miner malfunction out of the typical range of downtime for normal maintenance and repair could cause significant economic damage to us.</w:t>
      </w:r>
    </w:p>
    <w:p>
      <w:pPr>
        <w:spacing w:after="0" w:line="14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Furthermore, physical degradation of our miners could be potentially exacerbated by certain factors particular to our facilities. For example, wind power is the sole source of electricity at the Alborz Facility and operating miners at this facility involves frequent curtailment, meaning we automatically turn the miners on and off depending on wind conditions, power prices, bitcoin prices and other factors. We cannot predict how that cycling on and off process will affect the efficiency of our miners over time or whether they will age faster than machines that are not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turned on and off as frequently. As such, there is a risk that our miners and other data center equipment at the Alborz Facility may experience more rapid wear and tear, compared to miners at the other facilities.</w:t>
      </w:r>
    </w:p>
    <w:p>
      <w:pPr>
        <w:spacing w:after="0" w:line="13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operate containerized data centers, meaning that our miners and other equipment are more exposed to outdoor environmental factors, including temperature changes and dust, than might be the case at other facilities. As such, our miners and other data center equipment may also experience more rapid wear and tear compared to miners at other facilities. Additionally, our strategy involves curtailing our mining operations for a variety of contractual, economic, weather-related, business or other reasons. Thus, in addition to the curtailment process at the Alborz Facility for changes in wind power generation, we also curtail our machines frequently at all of our data centers. As such, there is a risk that our miners and other data center equipment at all of our data centers may experience more rapid wear and tear compared to miners at the other facilities.</w:t>
      </w:r>
    </w:p>
    <w:p>
      <w:pPr>
        <w:spacing w:after="0" w:line="145"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7"/>
          <w:szCs w:val="17"/>
          <w:color w:val="auto"/>
        </w:rPr>
        <w:t>A hardware replacement or upgrading process may require substantial capital investment and we may face challenges in doing so on a timely and cost-effective basis, which could put us at a competitive disadvantage. We may also be impacted by disruptions in the supply chain for cryptocurrency hardware, see “—</w:t>
      </w:r>
      <w:r>
        <w:rPr>
          <w:rFonts w:ascii="Times New Roman" w:cs="Times New Roman" w:eastAsia="Times New Roman" w:hAnsi="Times New Roman"/>
          <w:sz w:val="17"/>
          <w:szCs w:val="17"/>
          <w:i w:val="1"/>
          <w:iCs w:val="1"/>
          <w:color w:val="auto"/>
        </w:rPr>
        <w:t>We are exposed to risks related to disruptions or other failures in the supply chain for cryptocurrency hardware and difficulties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obtaining new hardware.” </w:t>
      </w:r>
      <w:r>
        <w:rPr>
          <w:rFonts w:ascii="Times New Roman" w:cs="Times New Roman" w:eastAsia="Times New Roman" w:hAnsi="Times New Roman"/>
          <w:sz w:val="17"/>
          <w:szCs w:val="17"/>
          <w:color w:val="auto"/>
        </w:rPr>
        <w:t>Any of the risks above could have a material adverse effect on our business, prospects, financial condition, and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automated processes with respect to curtailment may adversely affect our operations.</w:t>
      </w:r>
    </w:p>
    <w:p>
      <w:pPr>
        <w:spacing w:after="0" w:line="202"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Our data centers are subject to curtailment, meaning we automatically turn the miners on and off depending on wind conditions, power prices, bitcoin prices and other factors. Additionally, at the Odessa Facility, we must curtail in certain instances when our power provider instructs us to do so. Failing to do so in a timely manner could result in the incurrence of potentially significant increased costs. Thus, if we are unable to accurately monitor power prices and bitcoin economic data, or timely respond to a curtailment demand, it could have a material adverse effect on our business, prospects,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properties in our mining network may experience damages, including damages that are not covered by insurance.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bitcoin mining operations in Texas are subject to a variety of risks relating to physical condition and operation, including:</w:t>
      </w:r>
    </w:p>
    <w:p>
      <w:pPr>
        <w:spacing w:after="0" w:line="198"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construction or repair defects or other structural or building damage;</w:t>
      </w:r>
    </w:p>
    <w:p>
      <w:pPr>
        <w:spacing w:after="0" w:line="184"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noncompliance with, or liabilities under, applicable environmental, health or safety regulations or requirements or building permit requirements;</w:t>
      </w:r>
    </w:p>
    <w:p>
      <w:pPr>
        <w:spacing w:after="0" w:line="122"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resulting from extreme weather conditions or natural disasters, such as hurricanes, earthquakes, fires, floods and snow or windstorms; and</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employees and others for injuries sustained at our properties.</w:t>
      </w:r>
    </w:p>
    <w:p>
      <w:pPr>
        <w:spacing w:after="0" w:line="18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For example, our bitcoin data centers could be rendered inoperable, temporarily or permanently, as a result of, among others, a fire or other natural disasters. The security and other measures we anticipate taking to protect against these risks may not be sufficient.</w:t>
      </w:r>
    </w:p>
    <w:p>
      <w:pPr>
        <w:spacing w:after="0" w:line="122"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Additionally, our bitcoin coin mining operations could be materially adversely affected by a power outage or loss of access to the electrical grid or loss by the grid of cost-effective sources of electrical power generating capacity. For further details on our reliance on the power generating capacity, see “</w:t>
      </w:r>
      <w:r>
        <w:rPr>
          <w:rFonts w:ascii="Times New Roman" w:cs="Times New Roman" w:eastAsia="Times New Roman" w:hAnsi="Times New Roman"/>
          <w:sz w:val="18"/>
          <w:szCs w:val="18"/>
          <w:i w:val="1"/>
          <w:iCs w:val="1"/>
          <w:color w:val="auto"/>
        </w:rPr>
        <w:t>—Bitcoin mining activities are energy intensive, which may restrict the geographic locations of miners and have a negative environmental impact.</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Government regulators may potentially restrict the ability of electricity suppliers to provide electricity to mining operations, such as ours.</w:t>
      </w:r>
      <w:r>
        <w:rPr>
          <w:rFonts w:ascii="Times New Roman" w:cs="Times New Roman" w:eastAsia="Times New Roman" w:hAnsi="Times New Roman"/>
          <w:sz w:val="18"/>
          <w:szCs w:val="18"/>
          <w:color w:val="auto"/>
        </w:rPr>
        <w:t>” Our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covers the replacement costs of any lost or damaged miners, but will not cover any interruption of our mining activities. Our insurance therefore may not be adequate to cover the losses we suffer as a result of any of these events. In the event of an uninsured loss, including a loss in excess of insured limits,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5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at any of the mines in our network, such mines may not be adequately repaired in a timely manner or at all and we may lose some or all of the future revenues anticipated to be derived from such mines.</w:t>
      </w:r>
    </w:p>
    <w:p>
      <w:pPr>
        <w:spacing w:after="0" w:line="13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117"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source our mining equipment from Asia, particularly Malaysia and Thailand. Our third-party manufacturers, suppliers and contractors, on the other hand, may rely on supplies of raw materials for the production of such components and equipment from various other markets, including Eastern Europe, China and other markets. Accordingly, our business and results of operations are subject to risks associated with instability in a specific country’s or region’s political or economic conditions, including:</w:t>
      </w:r>
    </w:p>
    <w:p>
      <w:pPr>
        <w:spacing w:after="0" w:line="141" w:lineRule="exact"/>
        <w:rPr>
          <w:sz w:val="20"/>
          <w:szCs w:val="20"/>
          <w:color w:val="auto"/>
        </w:rPr>
      </w:pPr>
    </w:p>
    <w:p>
      <w:pPr>
        <w:ind w:left="1020" w:right="40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Europe and Asia, and political conditions in Eastern Europe, the Middle East, Asia, the Trans-Pacific region and other emerging markets;</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84"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financial market or economic instability relating to epidemics or pandemics, including the wars in Ukraine and Israel, or the COVID-19 pandemic;</w:t>
      </w:r>
    </w:p>
    <w:p>
      <w:pPr>
        <w:spacing w:after="0" w:line="122"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geopolitical, economic and regulatory effects or changes due to recent or upcoming domestic and international elections;</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governmental economic sanctions on countries;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 or tax examinations;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of enforcing agreements through some foreign legal systems;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in some cases, more stringent labor regulations;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fluctuations in foreign currency exchange rates;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or total expropriation;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protection of intellectual property.</w:t>
      </w:r>
    </w:p>
    <w:p>
      <w:pPr>
        <w:spacing w:after="0" w:line="184" w:lineRule="exact"/>
        <w:rPr>
          <w:sz w:val="20"/>
          <w:szCs w:val="20"/>
          <w:color w:val="auto"/>
        </w:rPr>
      </w:pPr>
    </w:p>
    <w:p>
      <w:pPr>
        <w:ind w:right="420" w:firstLine="509"/>
        <w:spacing w:after="0" w:line="265" w:lineRule="auto"/>
        <w:rPr>
          <w:sz w:val="20"/>
          <w:szCs w:val="20"/>
          <w:color w:val="auto"/>
        </w:rPr>
      </w:pPr>
      <w:r>
        <w:rPr>
          <w:rFonts w:ascii="Times New Roman" w:cs="Times New Roman" w:eastAsia="Times New Roman" w:hAnsi="Times New Roman"/>
          <w:sz w:val="18"/>
          <w:szCs w:val="18"/>
          <w:color w:val="auto"/>
        </w:rPr>
        <w:t>Our failure to successfully manage our geographically diverse supply chain could impair our ability to react quickly to changing business and market conditions. Our future success will depend, in large part, on our ability to anticipate and effectively manage these and other risks. Any of these factors could, however, could have a material adverse effect on our business, prospects, financial condition, and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and cash equivalents at financial institutions, often in balances that exceed federally insured limits.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majority of our cash and cash equivalents is held in accounts at U.S. banking institutions that we believe are of high quality. Cash held in these accounts may exceed the Federal Deposit Insurance Corporation (“FDIC”) insurance limits. If such banking institutions were to fail, we could lose all or a portion of those amounts held in excess of such insurance limitations. In 2023, the FDIC took control of three such banking institutions, Silicon Valley Bank (“SVB”), on March 10, 2023, Signature Bank on March 12, 2023, and First Republic Bank on May 1, 2023. We had an account with Signature Bank, where the cash balance exceeded insured limits, but we closed the account in April 2023, the amounts we held there were not material and we did not experience any specific risk of loss. Thus, we do not view the risk as material to our financial condition. We did not have accounts with SVB or First Republic Bank either, and as such, did not experience any specific risk of loss associated with the FDIC takeover of these banks. However, in the event of the failure of any of the financial institutions where we maintain our cash and cash equivalents, there can be no assurance that we would be able to access uninsured funds in a timely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5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manner or at all.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50"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Furthermore, our ability to open accounts at certain financial institutions is also limited by the policies of such financial institutions to not accept clients that are in the digital asset industry. See also, “—</w:t>
      </w:r>
      <w:r>
        <w:rPr>
          <w:rFonts w:ascii="Times New Roman" w:cs="Times New Roman" w:eastAsia="Times New Roman" w:hAnsi="Times New Roman"/>
          <w:sz w:val="18"/>
          <w:szCs w:val="18"/>
          <w:i w:val="1"/>
          <w:iCs w:val="1"/>
          <w:color w:val="auto"/>
        </w:rPr>
        <w:t>Banks and financial institutions may not provide banking services, or may cut off services,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businesses that provide cryptocurrency-related services or that accept cryptocurrencies as payment.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threats, such as cyber-attacks, data breaches, hacking attacks or malware, targeting us or our third-party service providers may disrupt our operations and trigger significant liability for us, which could harm our operating results and financial condition, and damage our reputation or otherwise materially harm our business.</w:t>
      </w:r>
    </w:p>
    <w:p>
      <w:pPr>
        <w:spacing w:after="0" w:line="13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a publicly traded company, we experience cyber-attacks, such as phishing, and other attempts to gain unauthorized access to our systems on a regular basis, and we anticipate continuing to be subject to such attempts. There is an ongoing risk that some or all of our bitcoin could be lost or stolen as a result of one or more of these incursions. As we increase in size, we may become a more appealing target of hackers, malware, cyber-attacks or other security threats, and, it is impossible to eliminate all such vulnerability. For example, we provide cybersecurity training for employees, but we cannot guarantee that we will not be affected by further phishing attempts.</w:t>
      </w:r>
    </w:p>
    <w:p>
      <w:pPr>
        <w:spacing w:after="0" w:line="15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we may not be able to ensure the adequacy of the security measures employed by third parties, including our mining pool service providers, custodians or other counterparties. Our business operations and reputation depend on our ability to maintain the confidentiality, integrity and availability of data, digital assets and systems related to our business, proprietary technologies, processes and intellectual property. We and our business and commercial partners rely extensively on third-party service providers’ information technology (“IT”) systems, including renewable energy infrastructure, cloud-based systems and on-premises servers (i.e., data centers), to record and process transactions and manage our operations, among other matters. We and our third-party service providers, partners and collaborators, may experience failures of, or disruptions to, IT systems and may be subject to attempted and successful security breaches or data security incidents. Efforts to limit the ability of malicious actors to disrupt the operations of the internet or undermine our own security efforts may be costly to implement and may not be successful. Such breaches, whether attributable to a vulnerability in our systems, the systems of our third-party service providers and partners, or otherwise, could result in claims of liability against us, damage our reputation and materially harm our business.</w:t>
      </w:r>
    </w:p>
    <w:p>
      <w:pPr>
        <w:spacing w:after="0" w:line="1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equipment or services could expose us to hackers or other unscrupulous third parties who develop and deploy viruses and other malicious software programs that could attack our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governmental and regulatory investigation and enforcement actions, private litigation and other liability, any of which could adversely affect our business. A security breach may also trigger mandatory data breach notification obligations under applicable privacy and data protection laws, which, if applicable, could lead to widespread negative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insurers are currently reluctant to provide cybersecurity insurance for digital assets and cryptocurrency assets and we do not currently hold cybersecurity insurance. Therefore, in the event of any such actual or potential incidents, our costs and resources devoted and any impacted assets may not be partially or fully recoverable. Any actual or perceived data security breach at any of those third-party custodians or service providers could lead to theft or irretrievable loss of our fiat currencies or digital assets, which may or may not be covered by insurance maintained by us or our third-party custodians or service providers.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To date, we have not experienced a material cybersecurity incident; however, the occurrence of any such event in the future could damage our reputation or otherwise materially harm our business, operating results, and financial condition. Any actual or perceived data security breach at any of those third-party custodians or service providers could lead to theft or irretrievable loss of our fiat currencies or digital assets, which may or may not be covered by insurance maintained by us or our third-party custodians or service providers.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bitcoin has historically been subject to wide swings, and our operating results may be adversely affected by our hedging activity.</w:t>
      </w:r>
    </w:p>
    <w:p>
      <w:pPr>
        <w:spacing w:after="0" w:line="1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market price of one bitcoin in our principal market ranged from approximately $16,527 to $44,184 during the fiscal year ended December 31, 2023 and ranged from approximately $15,760 to $47,763 during the fiscal year ended December 31, 2022. While bitcoin prices are determined primarily using data from various exchanges, over-the-counter markets and derivative platforms, they have historically been volatile and are impacted by a variety of factors. Such factors include, but are not limited to, the worldwide growth in the adoption and use of bitcoins, the maintenance and development of the software protocol of the Bitcoin network, changes in consumer demographics and public tastes, fraudulent or illegitimate actors, real or perceived scarcity, and political, economic, regulatory or other conditions. Furthermore, pricing may be the result of, and may continue to result in, speculation regarding future appreciation in the value of bitcoin, or our share price, making prices more volatile.</w:t>
      </w:r>
    </w:p>
    <w:p>
      <w:pPr>
        <w:spacing w:after="0" w:line="14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also hedge some portion of the value of our bitcoin in inventory or some portion of the value of our expected forward production, which may limit our exposure to substantial increases in the price of bitcoin. Given the volatility of bitcoin price, there is also a risk that we execute hedges at suboptimal levels thereby foregoing some amount of price appreciation that we otherwise would have enjoyed without the hedges in place. Currently, we do not use a formula or specific methodology to determine whether or when we will sell bitcoin that we hold, or the number of bitcoins we will sell. Rather, decisions to hold or sell bitcoins are currently determined by management by analyzing forecasts and monitoring the market in real time. Such decisions, however well-informed, may result in untimely sales and even losses, adversely affecting an investment in us.</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11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All of the bitcoin we hold is held in either cold or hot storage at our custodians. We primarily use Coinbase Prime, but we also use Anchorage Digital Bank N.A. and Fidelity Digital Assets Services. We intend to periodically re-evaluate this and, in the future, we may also decide to use additional or other custodians.</w:t>
      </w:r>
    </w:p>
    <w:p>
      <w:pPr>
        <w:spacing w:after="0" w:line="13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treatment of bitcoins held by custodians that file for bankruptcy protection is uncharted territory in U.S. Bankruptcy law. We cannot say with certainty whether our bitcoin held in custody at one of our custodians, or another custodian in the future, should it declare bankruptcy, would be treated as property of a bankruptcy estate and, accordingly, whether the owner of that bitcoin would be treated as a general unsecured creditor with respect to our bitcoin held in custody at that custodian. If we are treated as a general unsecured creditor, we may not be able to recover our bitcoin in the event of a bankruptcy of any of our custodians or any other custodian we may use in the future.</w:t>
      </w:r>
    </w:p>
    <w:p>
      <w:pPr>
        <w:spacing w:after="0" w:line="200" w:lineRule="exact"/>
        <w:rPr>
          <w:sz w:val="20"/>
          <w:szCs w:val="20"/>
          <w:color w:val="auto"/>
        </w:rPr>
      </w:pPr>
    </w:p>
    <w:p>
      <w:pPr>
        <w:spacing w:after="0" w:line="34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growth, to a significant degree, depends on the skills and services of our management team. The loss of any of our management team, our inability to execute an effective succession plan, or our inability to attract and retain qualified personnel, could adversely affect our business.</w:t>
      </w:r>
    </w:p>
    <w:p>
      <w:pPr>
        <w:spacing w:after="0" w:line="94"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Our success and future growth, to a significant degree, depends on the skills and services of our management team. If our management team, including any new hires that we may make, fails to work together effectively and to execute our plans and strategies on a timely basis, our business could be significantly harmed. Furthermore, if we fail to execute an effective contingency or succession plan with the loss of any member of management, the loss of such management personnel may significantly disrupt our business.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the loss of key members of our management or other employees could inhibit our growth prospects. Our future success depends, in large part, on our ability to attract, retain and motivate key management and operating personnel. As we continue to develop and expand our operations, we may require personnel with different skills and experiences, who have a sound understanding of our business and the cryptocurrency industry, for example, specialists in power contract negotiations and management, as well as data center specialists. As cryptocurrency, and specifically bitcoin, mining, is a new and developing field, the market for highly qualified personnel in this industry is particularly competitive and we may be unable to attract such personnel. If we are unable to attract such personnel, or retain current talent, it could have a material adverse effect on our business, prospects, financial condition, and operating results.</w:t>
      </w:r>
    </w:p>
    <w:p>
      <w:pPr>
        <w:spacing w:after="0" w:line="156"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maintain a certain level of collateral at Luminant that can vary depending on energy prices. To the extent energy prices drop significantly, we may be required to post additional collateral. To the extent any such additional collateral were for a significant amount, and unanticipated, it could have a material adverse effect on our liquidity.</w:t>
      </w:r>
    </w:p>
    <w:p>
      <w:pPr>
        <w:spacing w:after="0" w:line="13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Luminant Power Agreement, we have a locked in power price until at least 2027, and we have posted to Luminant collateral to secure our payment obligations under the take or pay provisions of the Luminant Power Agreement. If energy prices were to drop significantly, and become lower than our locked in power price, we may be required to post additional collateral under the Luminant Power Agreement. If the amount of such collateral were significant, and the change triggering the additional collateral requirement had not been anticipated by our management, it could have a material adverse effect on our liquidity.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evolving business model.</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digital assets and blockchain technologies become more widely available, we expect the services and products associated with them to evolve, including as part of evolution in their regulatory treatment on the international and the U.S. federal, state and local levels. For more detail about the potential regulatory risks, see “</w:t>
      </w:r>
      <w:r>
        <w:rPr>
          <w:rFonts w:ascii="Times New Roman" w:cs="Times New Roman" w:eastAsia="Times New Roman" w:hAnsi="Times New Roman"/>
          <w:sz w:val="18"/>
          <w:szCs w:val="18"/>
          <w:i w:val="1"/>
          <w:iCs w:val="1"/>
          <w:color w:val="auto"/>
        </w:rPr>
        <w:t>Risks Related to Regulatory Framework—Regulatory changes or actions may restrict the use of bitcoin in a manner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adversely affects our business, prospects or operations.</w:t>
      </w:r>
      <w:r>
        <w:rPr>
          <w:rFonts w:ascii="Times New Roman" w:cs="Times New Roman" w:eastAsia="Times New Roman" w:hAnsi="Times New Roman"/>
          <w:sz w:val="18"/>
          <w:szCs w:val="18"/>
          <w:color w:val="auto"/>
        </w:rPr>
        <w:t>” As a result, our business model may need to evolve in order for us to stay current with the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fully comply with the federal, as well as applicable state, securities laws.</w:t>
      </w:r>
    </w:p>
    <w:p>
      <w:pPr>
        <w:spacing w:after="0" w:line="14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Furthermore, from time to time, we may modify aspects of our business model or engage in various strategic initiatives, which may be complimentary to our mining operations in the United States. For further information on our strategy, see “</w:t>
      </w:r>
      <w:r>
        <w:rPr>
          <w:rFonts w:ascii="Times New Roman" w:cs="Times New Roman" w:eastAsia="Times New Roman" w:hAnsi="Times New Roman"/>
          <w:sz w:val="18"/>
          <w:szCs w:val="18"/>
          <w:i w:val="1"/>
          <w:iCs w:val="1"/>
          <w:color w:val="auto"/>
        </w:rPr>
        <w:t>Business—Our Strategy—Retain flexibility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considering strategically adjacent opportunities complimentary to our business model.</w:t>
      </w:r>
      <w:r>
        <w:rPr>
          <w:rFonts w:ascii="Times New Roman" w:cs="Times New Roman" w:eastAsia="Times New Roman" w:hAnsi="Times New Roman"/>
          <w:sz w:val="18"/>
          <w:szCs w:val="18"/>
          <w:color w:val="auto"/>
        </w:rPr>
        <w:t>” We cannot offer any assurance that these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modifications will be successful or will not result in harm to the business, damage our reputation and limit our growth. Additionally, any such changes to our business model or strategy could cause us to become subject to additional regulatory scrutiny and a number of additional requirements, including licensing and permit requirements. All of the abovementioned factors may impose additional compliance costs on our business and higher expectations from regulators regarding risk management, planning, governance and other aspects of our operations.</w:t>
      </w:r>
    </w:p>
    <w:p>
      <w:pPr>
        <w:spacing w:after="0" w:line="146"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Further, we cannot provide any assurance that we will successfully identify all emerging trends and growth opportunities in this business sector and we may fail to capitalize on certain important business and market opportunities. Such circumstances could have a material adverse effect on our business, prospects, financial condition, and operating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effectively managing our growth and expanding our operations.</w:t>
      </w:r>
    </w:p>
    <w:p>
      <w:pPr>
        <w:spacing w:after="0" w:line="188" w:lineRule="exact"/>
        <w:rPr>
          <w:sz w:val="20"/>
          <w:szCs w:val="20"/>
          <w:color w:val="auto"/>
        </w:rPr>
      </w:pPr>
    </w:p>
    <w:p>
      <w:pPr>
        <w:ind w:right="580" w:firstLine="509"/>
        <w:spacing w:after="0" w:line="260" w:lineRule="auto"/>
        <w:rPr>
          <w:sz w:val="20"/>
          <w:szCs w:val="20"/>
          <w:color w:val="auto"/>
        </w:rPr>
      </w:pPr>
      <w:r>
        <w:rPr>
          <w:rFonts w:ascii="Times New Roman" w:cs="Times New Roman" w:eastAsia="Times New Roman" w:hAnsi="Times New Roman"/>
          <w:sz w:val="18"/>
          <w:szCs w:val="18"/>
          <w:color w:val="auto"/>
        </w:rPr>
        <w:t>Our ability to manage our growth requires us to build upon and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 material adverse effect on our business, prospects, financial condition, and operating results.</w:t>
      </w:r>
    </w:p>
    <w:p>
      <w:pPr>
        <w:spacing w:after="0" w:line="14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Additionally, rapid growth in our business may place a strain on our managerial, operational and financial resources and systems. We may not grow as we expect, if we fail to manage our growth effectively or to develop</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and expand our managerial, operational and financial resources and systems, our business, prospects, financial condition and operating results could be adversely affected. See “</w:t>
      </w:r>
      <w:r>
        <w:rPr>
          <w:rFonts w:ascii="Times New Roman" w:cs="Times New Roman" w:eastAsia="Times New Roman" w:hAnsi="Times New Roman"/>
          <w:sz w:val="18"/>
          <w:szCs w:val="18"/>
          <w:i w:val="1"/>
          <w:iCs w:val="1"/>
          <w:color w:val="auto"/>
        </w:rPr>
        <w:t>—Risks Related to our Common Stock and Warrants—We have identified a material weakness in our internal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15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form joint ventures or make other investments that could negatively affect our operating results, dilute our stockholders’ ownership, increase our debt or cause us to incur significant expenses.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consider potential acquisitions, joint venture or other investment opportunities. For example, in 2023, we acquired the site at which we will build the Black Pearl Facility. We cannot offer any assurance that acquisitions of businesses or assets, development of new sites, or entering into strategic alliances or joint ventures will be successful. We may not be able to find suitable partners or acquisition candidates and may not be able to complete such transactions on favorable terms, if at all. If we make any acquisitions, we may not be able to integrate these acquisitions successfully into the existing business and could assume unknown or contingent liabilities.</w:t>
      </w:r>
    </w:p>
    <w:p>
      <w:pPr>
        <w:spacing w:after="0" w:line="14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future acquisitions also could result in the issuance of stock, incurrence of debt, contingent liabilities or future write-offs of intangible assets or goodwill, any of which could have a negative impact on our cash flows, financial condition and results of operations. Integration of an acquired company may also disrupt ongoing operations and require management resources that otherwise would be focused on developing and expanding our existing business. We may experience losses related to potential investments in other companies, which could harm our financial condition and results of operations. Further, we may not realize the anticipated benefits of any acquisition, strategic alliance or joint venture if such investments do not materialize.</w:t>
      </w:r>
    </w:p>
    <w:p>
      <w:pPr>
        <w:spacing w:after="0" w:line="155"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To finance any acquisitions or joint ventures, we may choose to issue shares of common stock, preferred stock, debt or a combination of debt and equity as consideration, which could significantly dilute the ownership of our existing stockholders or provide rights to such preferred stockholders in priority over our common stockholders. Additional funds may not be available on terms that are favorable to us, or at all. If the price of our common stock is low or volatile, we may not be able to acquire other companies or fund a joint venture project using stock as consideration.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 of nonperformance by counterparties, including our counterparties under our power arrangements.</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of nonperformance by counterparties, whether contractual or otherwise. Risk of nonperformance includes inability or refusal of a counterparty to perform because of a counterparty’s financial condition and liquidity or for any other reason. For example, our counterparties under our power arrangements may be unable or unwilling to deliver the required amount of power at the required time for a variety of technical or economic reasons. For example, in the past, we have experienced certain power availability postponements due to infrastructure supply delays. For further details, see “</w:t>
      </w:r>
      <w:r>
        <w:rPr>
          <w:rFonts w:ascii="Times New Roman" w:cs="Times New Roman" w:eastAsia="Times New Roman" w:hAnsi="Times New Roman"/>
          <w:sz w:val="18"/>
          <w:szCs w:val="18"/>
          <w:i w:val="1"/>
          <w:iCs w:val="1"/>
          <w:color w:val="auto"/>
        </w:rPr>
        <w:t>Business—Business Agreements—Luminant Power Agreement.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Furthermore, there is a risk that during a period of power price fluctuations or prolonged or sharp power price increases on the market, our counterparties may find it economically preferable to refuse to supply power to us, despite the contractual arrangements. Any significant nonperformance by counterparties, could have a material adverse effect on our business, prospects, financial condition,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and reputation, our business, operating results and financial condition may be adversely affected.</w:t>
      </w:r>
    </w:p>
    <w:p>
      <w:pPr>
        <w:spacing w:after="0" w:line="18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believe our brand and reputation, particularly in the cryptocurrency ecosystem, is an important factor in the success and development of our business. As part of our strategy, we seek to structure our relationships with our equipment and service providers, power suppliers and other potential partners as long-term relationships. See “</w:t>
      </w:r>
      <w:r>
        <w:rPr>
          <w:rFonts w:ascii="Times New Roman" w:cs="Times New Roman" w:eastAsia="Times New Roman" w:hAnsi="Times New Roman"/>
          <w:sz w:val="18"/>
          <w:szCs w:val="18"/>
          <w:i w:val="1"/>
          <w:iCs w:val="1"/>
          <w:color w:val="auto"/>
        </w:rPr>
        <w:t>Business—Our Strategy—Establish our cost leadership and maintain strong relationships with our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Thus, maintaining, protecting, and enhancing our reputation is also important to our development plans, operational stability, and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power suppliers, equipment and service providers and other counterparties.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Furthermore, we believe that the importance of our brand and reputation may increase as competition further intensifies. Our brand and reputation could be harmed if we fail to perform under our agreements or if our public image were to be tarnished by negative publicity, unexpected events or actions by third parties. Furthermore, Bitfury Group Limited and its affiliates (collectively, the “Bitfury Group”) is a significant shareholder. If any member of the Bitfury Group is subject to negative news or extensive publicity, this, even if untrue, may cause our counterparties to lose confidence in us. Any unfavorable publicity about us, including our technology, our personnel, our significant shareholder or bitcoin and crypto assets generally could have an adverse effect on the engagement of our partners and suppliers and may result in our failure to maintain or expand our business and successfully execute our business model.</w:t>
      </w:r>
    </w:p>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trends and shareholder expectations relating to ESG businesses or reporting could adversely impact our reputation, share price and access to and cost of capital.</w:t>
      </w:r>
    </w:p>
    <w:p>
      <w:pPr>
        <w:spacing w:after="0" w:line="11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markets participants have become increasingly focused on companies’ ESG practices in evaluating their investments and business relationships, including the impact of bitcoin mining operations on the environment. Certain organizations also provide ESG ratings, scores and benchmarking studies that assess companies’ ESG practices. Although there are currently no universal standards for such ratings, scores or benchmarking studies, they are used by some investors to inform their investment and voting decisions. It is possible that our shareholders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could have a negative impact on our stock price and our access to and cost of capital.</w:t>
      </w:r>
    </w:p>
    <w:p>
      <w:pPr>
        <w:spacing w:after="0" w:line="1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13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comply with applicable complex and evolving laws, regulations, and rules is largely dependent on the maintenance of our compliance, audit, and reporting systems, as well as our ability to attract and retain qualified compliance and other risk management personnel. While we devote significant resources to develop policies and procedures to identify, monitor and manage our risks,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spacing w:after="0" w:line="1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or other intellectual property rights, our business and competitive position could be harmed.</w:t>
      </w:r>
    </w:p>
    <w:p>
      <w:pPr>
        <w:spacing w:after="0" w:line="11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process redesign efforts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14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spacing w:after="0" w:line="13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undue cost and distraction of claims that we are infringing the intellectual property rights of third parties. However, third parties may own patents (or have pending patent applications that later result in patents) that our operations may infringe. In addition, third parties may purchase patents for the purpose of asserting claims of infringement and attempting to extract license fees via settlements from us. There also could be patents that we believe we do not infringe, but that we may ultimately be found to infringe. Further, because patents can take many years to issue, there may be currently pending applications of which we are unaware that may later result in issued patents that its operations infringe.</w:t>
      </w:r>
    </w:p>
    <w:p>
      <w:pPr>
        <w:spacing w:after="0" w:line="14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Finally, third parties could accuse us of misappropriating their trade secrets. Any claims of patent infringement or trade secret misappropriation, even claims without merit,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We also may be subject to significant damages or injunctions that may cause a material adverse effect to our business and operations, if we cannot license or develop an alternative for any infringing aspect of its business, and may result in a material loss in revenue, which could adversely affect the trading price of our shares and harm our investors.</w:t>
      </w:r>
    </w:p>
    <w:p>
      <w:pPr>
        <w:spacing w:after="0" w:line="14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including mining pool service providers, custodians or other counterparties, may fail to adequately maintain the confidentiality, integrity or availability of the data we hold or detect any related threats, which could disrupt our normal business operations and our financial performance and adversely affect our business.</w:t>
      </w:r>
    </w:p>
    <w:p>
      <w:pPr>
        <w:spacing w:after="0" w:line="14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business operations and reputation depend on our ability to maintain the confidentiality, integrity and availability of data, digital assets and systems related to our business, customers, proprietary technologies, processes and intellectual property. We and our business and commercial partners, such as mining pools and other third parties with which we interact,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spacing w:after="0" w:line="14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and our third-party service providers, partners and collaborators,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economically-driven attacks to malicious attacks targeting our key operating systems with the intent to disrupt, disable or otherwise cripple our operations. This can include any combination of phishing attacks, malware, ransomware attacks, insider threats or viruses targeted at our key systems and IT systems as well as those of our third-party service providers.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negatively impact our operations and ability to earn revenue.</w:t>
      </w:r>
    </w:p>
    <w:p>
      <w:pPr>
        <w:spacing w:after="0" w:line="1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equipment or services could expose us to hackers or other unscrupulous third parties who develop and deploy viruses and other malicious software programs that could attack our equipment services and business. In the case of such a security breach, security incident or other IT failure, we may suffer damage to our</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governmental and regulatory investigation and enforcement actions, private litigation and other liability, any of which could adversely affect our business. A security breach may also trigger mandatory data breach notification obligations under applicable privacy and data protection laws, which, if applicable, could lead to widespread negative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insurers are currently reluctant to provide cybersecurity insurance for digital assets and cryptocurrency assets and we do not currently hold cybersecurity insurance. Therefore, in the event of any such actual or potential incidents, our costs and resources devoted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and identify vulnerabilities. There can be no guarantee that these measures and the work of the digital asset developer community will identify all vulnerabilities, errors and defects, or will resolve all vulnerabilities, errors and defects, prior to a malicious actor being able to utilize them. Any actual or perceived data security breach at any of those third-party custodians or service providers could lead to theft or irretrievable loss of our fiat currencies or digital assets, which may or may not be covered by insurance maintained by us or our third-party custodians or service providers.</w:t>
      </w:r>
    </w:p>
    <w:p>
      <w:pPr>
        <w:spacing w:after="0" w:line="16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we compete against companies that operate in less regulated environments as well as companies with greater financial and other resources, and our business, operating results, and financial condition may be adversely affected if we are unable to respond to our competitors effectively.</w:t>
      </w:r>
    </w:p>
    <w:p>
      <w:pPr>
        <w:spacing w:after="0" w:line="133"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cryptocurrency ecosystem is highly innovative, rapidly evolving, and characterized by competition, experimentation, changing customer needs, frequent introductions of new products and services, and subject to uncertain and evolving industry and regulatory requirements. In the future, we expect competition to further intensify with existing and new competitors, within and outside the United States, which may have various advantages over us, such as:</w:t>
      </w:r>
    </w:p>
    <w:p>
      <w:pPr>
        <w:spacing w:after="0" w:line="141"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mining capabilities;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timely introduction or adoption of new technologies;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relationships with suppliers of mining machines and other equipment;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more competitively priced power;</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to make acquisitions;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compliance, risk mitigation and research and development costs;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number of applicable licenses or similar authorizations;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core business models outside of the mining or trading of digital assets, allowing them to operate on lesser margins or at a loss;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certain jurisdictions with lower compliance costs and greater flexibility to explore new product offerings;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18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developments in the digital assets industry, including several high-profile bankruptcies and escalation of regulatory oversight, could potentially lead to increase in the M&amp;A activity in the industry among our competition</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5" w:name="page36"/>
    <w:bookmarkEnd w:id="35"/>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increasing consolidation. This could significantly alter the competitive landscape in which we operate and lead to increasing competition in cryptocurrency mining as well as access to capital and other opportunities. For further details on the risks related to our industry development,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Industry and Operations—The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Related to Cryptocurrency—We may temporarily store our bitcoin on digital asset trading platforms which could subject our bitcoin to the risk of loss or access, especially in light of recent developments and failures of major market participants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regulatory actions, as well as any other political developments in the regions with active cryptocurrency trading or mining, may increase our domestic competition as some of those cryptocurrency miners or new entrants in this market may move their cryptocurrency mining operations or establishing new operations in the United States. See “</w:t>
      </w:r>
      <w:r>
        <w:rPr>
          <w:rFonts w:ascii="Times New Roman" w:cs="Times New Roman" w:eastAsia="Times New Roman" w:hAnsi="Times New Roman"/>
          <w:sz w:val="18"/>
          <w:szCs w:val="18"/>
          <w:i w:val="1"/>
          <w:iCs w:val="1"/>
          <w:color w:val="auto"/>
        </w:rPr>
        <w:t>Risks Related to Regulatory Framework—Regulatory changes or actions may restrict the 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in a manner that adversely affects our business, prospects or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impact of geopolitical and economic events on the supply and demand for cryptocurrencies is uncertain</w:t>
      </w:r>
      <w:r>
        <w:rPr>
          <w:rFonts w:ascii="Times New Roman" w:cs="Times New Roman" w:eastAsia="Times New Roman" w:hAnsi="Times New Roman"/>
          <w:sz w:val="18"/>
          <w:szCs w:val="18"/>
          <w:color w:val="auto"/>
        </w:rPr>
        <w:t>.” We may not be able to compete successfully against present or future competitors. We may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to compete with larger competitors and, consequently, may experience great difficulties in expanding and improving our operations to remain competitive. For details on our current competitive landscape, see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Competition from existing and future competitors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model. Furthermore, we anticipate encountering new competition if we expand our operations to new locations geographically and into wider applications of blockchain, cryptocurrency mining and data center operations. If we are unable to expand and remain competitive, or maintain our relative share of the Bitcoin network total hashrate, our business, prospects, financial condition and operating results could be adversely affected.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mining costs may be in excess of our mining revenues, which could seriously harm our business and adversely impact an investment in us.</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Mining operations are costly and our expenses may increase in the future. Increases in mining expenses may not be offset by corresponding increases in revenue, which is primarily driven by the value of bitcoin mined. Our expenses may become greater than we anticipate, and our investments to make our business more cost-efficient may not succeed. Further, even if our expenses remain the same or decline, our revenues may not exceed our expenses to the extent the price of bitcoin continues to decrease without a corresponding decrease in bitcoin network difficulty. Increases in our costs without corresponding increases in our revenue would adversely affect our profitability and could seriously harm our business and an investment in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profitability may be adversely affected by competition from other methods of investing in cryptocurrencies.</w:t>
      </w:r>
    </w:p>
    <w:p>
      <w:pPr>
        <w:spacing w:after="0" w:line="18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compete with other users and companies that are mining cryptocurrencies and other potential financial vehicles, including securities backed by or linked to cryptocurrencies. Market and financial conditions, and other conditions beyond our control, may make it more attractive to invest in other financial vehicles, or to invest in cryptocurrencies directly, which could limit the market for our shares and reduce their liquidity. The emergence of other financial vehicles and exchange-traded funds have increased scrutiny on cryptocurrencies, and such scrutiny could be applicable to us and impact our ability to successfully establish or maintain a public market for our securities. Such circumstances could have a material adverse effect on our business, prospects or operations and potentially the value of any bitcoin we mine or otherwise acquire or hold for our own account, and harm investors.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insurance protection exposes us and our shareholders to the risk of loss of our bitcoin for which no person is liable.</w:t>
      </w:r>
    </w:p>
    <w:p>
      <w:pPr>
        <w:spacing w:after="0" w:line="20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maintain our own insurance coverage for our bitcoin holdings, which are held in custody by our custodians, Coinbase, Anchorage and Fidelity. Therefore, a loss may be suffered with respect to our bitcoin that is not covered by insurance and for which no person is liable in damages, which could adversely affect our operations and, consequently, an investment in us. Our custodians maintain a certain insurance coverage of such types and amounts as they assert to be commercially reasonable for their custodial services provided under our custody agreements with them, including certain commercial crime insurance of limited aggregate principal amount which covers losses stemming from fraud, security breach, hack and asset theft. However, such insurance coverage may be insufficient to protect us against all losses of our bitcoin holdings held in custody with our custodians, whether or not stemming from security breaches, cyberattacks or other types of unlawful activity. Therefore, a loss may be suffered with respect to our bitcoin that is not covered by insurance and for which no person is liable in damages, which could adversely affect our operations and, consequently, an investment in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terms acceptable to us, or at all.</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require additional capital to expand our operations or to respond to technological advancements, competitive dynamics or technologies, customer demands, business opportunities, challenges, acquisitions or unforeseen circumstances. Accordingly, we may determine to engage in equity or debt financings or enter into credit facilities for the above-mentioned or other reasons. We may not be able to timely secure additional debt or equity financing on favorable terms, or at all. Our ability to obtain additional funds may also be affected by economic uncertainty and any disruptions in credit or capital markets as a result of geopolitical instability. See “—</w:t>
      </w:r>
      <w:r>
        <w:rPr>
          <w:rFonts w:ascii="Times New Roman" w:cs="Times New Roman" w:eastAsia="Times New Roman" w:hAnsi="Times New Roman"/>
          <w:sz w:val="18"/>
          <w:szCs w:val="18"/>
          <w:i w:val="1"/>
          <w:iCs w:val="1"/>
          <w:color w:val="auto"/>
        </w:rPr>
        <w:t>Any unfavorable global economic, business or political conditions,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geopolitical tensions, military conflicts, acts of terrorism, natural disasters, pandemics (like the COVID-19 pandemic), and similar events could adversely affect our business, financial condition and results of operations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20" w:firstLine="509"/>
        <w:spacing w:after="0" w:line="276" w:lineRule="auto"/>
        <w:rPr>
          <w:sz w:val="20"/>
          <w:szCs w:val="20"/>
          <w:color w:val="auto"/>
        </w:rPr>
      </w:pPr>
      <w:r>
        <w:rPr>
          <w:rFonts w:ascii="Times New Roman" w:cs="Times New Roman" w:eastAsia="Times New Roman" w:hAnsi="Times New Roman"/>
          <w:sz w:val="17"/>
          <w:szCs w:val="17"/>
          <w:color w:val="auto"/>
        </w:rPr>
        <w:t>Furthermore, if we raise additional funds through equity financing, our existing stockholders could experience significant dilution. Any debt financing obtained by us in the future could also involve restrictive covenants relating to our capital 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grow or support our business and to respond to business challenges could be significantly limited and it could have a material adverse effect on our business, prospects, financial condition, and operating results.</w:t>
      </w:r>
    </w:p>
    <w:p>
      <w:pPr>
        <w:spacing w:after="0" w:line="12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storage and custody of our bitcoin assets are subject to cybersecurity breaches, hacking, fraud risks and restriction on access, and we may not have adequate sources of recovery if our bitcoin assets are lost, stolen or destroyed.</w:t>
      </w:r>
    </w:p>
    <w:p>
      <w:pPr>
        <w:spacing w:after="0" w:line="117"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There is a risk that some or all of our bitcoin assets could be subject to cybersecurity breaches, hacking, fraud risks and restriction on access, and we may not have adequate sources of recovery if our bitcoin assets are lost, stolen or destroyed. Hackers or malicious actors may launch attacks to steal or compromise cryptocurrencies, such as by attacking the cryptocurrency network source code, exchange miners, third-party platforms, cold and hot storage locations or software, or by other means.</w:t>
      </w:r>
    </w:p>
    <w:p>
      <w:pPr>
        <w:spacing w:after="0" w:line="15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primarily use Coinbase Prime as our custodian to store our bitcoin, and we also use Anchorage Digital Bank N.A. and Fidelity Digital Assets Services, to reduce the risk of loss. We rely on our custodians’ security systems to safeguard our bitcoin holdings from theft, loss, destruction or other issues relating to hackers and technological attack. There can be no assurance that these custody services are more secure than self-storage or other alternatives. Human error and the constantly evolving state of cybercrime and hacking techniques may render present security protocols and procedures ineffective in ways which we cannot predict. Additionally, if our bitcoin holdings are lost, stolen or destroyed under circumstances rendering a party, such as our custodians, liable to us, the responsible party may not have the financial resources sufficient to satisfy our claim. For example, as to a particular event of loss, the only source of recovery for us might be limited, to the extent identifiable, to other responsible third parties (e.g., a thief or terrorist), any of which may not have the financial resources (including liability insurance coverage) to satisfy a valid claim of ours.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our custodians maintain insurance coverage of such types and amounts as they assert to be commercially reasonable for their custodial services provided under our custody agreements with them, including certain commercial crime insurance of limited aggregate principal amount which covers losses stemming from fraud, security breach, hack and asset theft, such insurance coverage may be insufficient to protect us against all losses of bitcoin holdings held in custody with the custodian, whether or not stemming from security breaches, cyberattacks or other types of unlawful activity. Cryptocurrency transactions and accounts are also not insured by any type of government program and cryptocurrency transactions generally are permanent by design of the networks. Certain features of cryptocurrency networks, such as decentralization, the open source protocols, and the reliance on peer-to-peer connectivity, may increase the risk of fraud or cyber-attack by potentially reducing the likelihood of a coordinated response. Cryptocurrencies have suffered from hacking incidents and several cryptocurrency exchanges and miners have reported large cryptocurrency losses, which highlight concerns over the security of cryptocurrencies and in turn affect the demand and the market price of cryptocurrencies. The price of bitcoin can be adversely affected by hacking incidents.</w:t>
      </w:r>
    </w:p>
    <w:p>
      <w:pPr>
        <w:spacing w:after="0" w:line="164" w:lineRule="exact"/>
        <w:rPr>
          <w:sz w:val="20"/>
          <w:szCs w:val="20"/>
          <w:color w:val="auto"/>
        </w:rPr>
      </w:pPr>
    </w:p>
    <w:p>
      <w:pPr>
        <w:ind w:right="20" w:firstLine="509"/>
        <w:spacing w:after="0" w:line="280" w:lineRule="auto"/>
        <w:rPr>
          <w:sz w:val="20"/>
          <w:szCs w:val="20"/>
          <w:color w:val="auto"/>
        </w:rPr>
      </w:pPr>
      <w:r>
        <w:rPr>
          <w:rFonts w:ascii="Times New Roman" w:cs="Times New Roman" w:eastAsia="Times New Roman" w:hAnsi="Times New Roman"/>
          <w:sz w:val="17"/>
          <w:szCs w:val="17"/>
          <w:color w:val="auto"/>
        </w:rPr>
        <w:t>The risk of damage to or loss of our bitcoin assets cannot be wholly eliminated. If our security procedures and protocols, or those of Coinbase Prime or other trading or custody platforms we use, are ineffective and our cryptocurrency assets are compromised by cybercriminals, we may not have adequate recourse to recover our losses stemming from such compromise. A security breach could also harm our reputation. A resulting perception that our measures do not adequately protect our bitcoin assets could have a material adverse effect on our business, prospects, financial condition, and operating results.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bitcoin and adversely affect our business.</w:t>
      </w:r>
    </w:p>
    <w:p>
      <w:pPr>
        <w:spacing w:after="0" w:line="117"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business strategy is substantially dependent on the market price of bitcoin. As of the date of this Annual Report, bitcoin was the largest digital asset by market capitalization and had the largest user base and largest combined mining power. Despite this first to market advantage, there are approximately 9,000 alternative digital assets tracked by CoinMarketCap.com.</w:t>
      </w:r>
    </w:p>
    <w:p>
      <w:pPr>
        <w:spacing w:after="0" w:line="15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Many entities, including consortiums and financial institutions are also researching and investing resources into private or permissioned blockchain platforms or digital currencies that do not use proof-of-work mining like the Bitcoin network. Additionally, 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Whether or not they incorporate blockchain or similar technology, CBDCs, as legal tender in the issuing jurisdiction, could have an advantage in competing with, or replacing, bitcoin and other cryptocurrencies as a medium of exchange or store of value. As a result, the value of bitcoin could decrease, which could have a material adverse effect on our business, prospects, financial condition, and operating results.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Framework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bitcoin in a manner that adversely affects our business, prospects or operations.</w:t>
      </w:r>
    </w:p>
    <w:p>
      <w:pPr>
        <w:spacing w:after="0" w:line="20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Bitcoin and other forms of digital assets have been the source of much regulatory consternation, resulting in differing definitional outcomes without a single unifying statement. Bitcoin and other digital assets are viewed differently by different regulatory and standards setting organizations globally as well as in the United States on the federal and state levels. For example, the Financial Action Task Force (“FATF”) and the U.S. Internal Revenue Service (“IRS”) consider a digital asset as currency or an asset or property. Further, the IRS applies general tax principles that apply to property transactions to transactions involving virtual currency. The U.S. Commodity Futures Trading Commission (“CTFC”) classifies bitcoin as a commodity. The SEC has also publicly stated that it considers bitcoin to be a commodity, but that some digital assets should be categorized as securities. How a digital asset is characterized by a regulator impacts the rules that apply to activities related to that digital asset.</w:t>
      </w:r>
    </w:p>
    <w:p>
      <w:pPr>
        <w:spacing w:after="0" w:line="146"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and barring</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banking institutions from accepting deposits of digital assets. Other nations, however, allow digital assets to be used and traded without restriction. In some jurisdictions, such as in the U.S., digital assets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significant decrease in the price of bitcoin. If another government with considerable economic power were to ban digital assets or related activities, this could have further impact on the price of bitcoin. As a result, the markets and opportunities discussed herein may not reflect the markets and opportunities available to us in the future.</w:t>
      </w:r>
    </w:p>
    <w:p>
      <w:pPr>
        <w:spacing w:after="0" w:line="15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Digital asset trading platforms may also be subject to increased regulation and there is a risk that increased compliance costs are passed through to users, including us, as we exchange bitcoin earned through our mining activities. There is a risk that a lack of stability in the bitcoin exchange market and the closure or temporary shutdown of bitcoin exchanges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 Although bitcoin is not currently treated as a security by the SEC, the exchanges on which bitcoin is traded typically provide trading services with respect to numerous other cryptocurrencies and digital assets, some of which may be deemed to be securities by the SEC, and some of them are currently under investigation by other regulators as well. If any of these exchanges are shut down due to regulatory action, it could become more difficult to us and for other holders of bitcoin to monetize our holdings. This could also result in a decrease in the overall price of bitcoin.</w:t>
      </w:r>
    </w:p>
    <w:p>
      <w:pPr>
        <w:spacing w:after="0" w:line="14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February 2023, the SEC proposed regulations which would require investment advisers (including fund managers of many funds) to custody all cryptocurrency they hold on behalf of clients with “qualified custodians.” Because the majority of cryptocurrency exchanges are not “qualified custodians,” and because these exchanges require users to prefund their trades (in effect requiring users to place cryptocurrency in custody with them), it may be practically impossible for investment advisers to hold cryptocurrency on behalf of their institutional clients or managed funds. The exit of institutional investors and funds from the market for bitcoin could have an adverse effect on the price of bitcoin and thus on our results of operations.</w:t>
      </w:r>
    </w:p>
    <w:p>
      <w:pPr>
        <w:spacing w:after="0" w:line="14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U.S., the Federal Reserve Board, U.S. Congress and certain U.S. agencies (e.g., the CTFC, the SEC, the Financial Crimes Enforcement Network of the U.S. Treasury Department (“FinCEN”) and the Federal Bureau of Investigation) have begun to examine the operations of the Bitcoin network, bitcoin users and the bitcoin exchange market, in light of the FTX and other bankruptcies. Increasing regulation and regulatory scrutiny may result in new costs for us and our management may have to devote increased time and attention to regulatory matters or change aspects of our business. Increased regulation may also result in limitations on the use cases of bitcoin. In addition, regulatory developments may require us to comply with certain regulatory regimes. For example, to the extent that our activities cause us to be deemed a “money service business” under the regulations promulgated by FinCEN under the authority of the U.S. Bank Secrecy Act (“BSA”), we may be required to comply with FinCEN regulations, including those that would mandate us to implement certain anti-money laundering programs, make certain reports to FinCEN and maintain certain records. See also “</w:t>
      </w:r>
      <w:r>
        <w:rPr>
          <w:rFonts w:ascii="Times New Roman" w:cs="Times New Roman" w:eastAsia="Times New Roman" w:hAnsi="Times New Roman"/>
          <w:sz w:val="18"/>
          <w:szCs w:val="18"/>
          <w:i w:val="1"/>
          <w:iCs w:val="1"/>
          <w:color w:val="auto"/>
        </w:rPr>
        <w:t>—If regulatory changes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negative effect on our business and the results of our operations</w:t>
      </w:r>
      <w:r>
        <w:rPr>
          <w:rFonts w:ascii="Times New Roman" w:cs="Times New Roman" w:eastAsia="Times New Roman" w:hAnsi="Times New Roman"/>
          <w:sz w:val="18"/>
          <w:szCs w:val="18"/>
          <w:color w:val="auto"/>
        </w:rPr>
        <w:t>.” Any of the foregoing or similar regulatory activity in the future could reduce the availability, or increase the cost, including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taxation, of, electricity in the geographic locations in which our operating facilities are located, or could otherwise adversely impact our business. If we are forced to reduce our operations due to the availability or cost of electrical power, or restrictions on bitcoin mining activities, this will have an adverse effect on our business, prospects, financial condition and operating results.</w:t>
      </w:r>
    </w:p>
    <w:p>
      <w:pPr>
        <w:spacing w:after="0" w:line="165"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Furthermore, in the future, foreign governments may decide to subsidize or in some other way support certain large-scale bitcoin mining projects, thus adding hashrate to the overall network. Such circumstances could have a</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material adverse effect on the amount of bitcoin that we may be able to mine as well as the value of bitcoin and, consequently, our business, prospects, financial condition and operating results.</w:t>
      </w:r>
    </w:p>
    <w:p>
      <w:pPr>
        <w:spacing w:after="0" w:line="13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digital assets we hold or expect to acquire for our own account.</w:t>
      </w:r>
    </w:p>
    <w:p>
      <w:pPr>
        <w:spacing w:after="0" w:line="14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an “investment company” under the Investment Company Act of 1940, as amended (the “1940 Act”), applicable restrictions could make it impractical for us to continue our business as contemplated and could have a material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1940 Act if:</w:t>
      </w:r>
    </w:p>
    <w:p>
      <w:pPr>
        <w:spacing w:after="0" w:line="198" w:lineRule="exact"/>
        <w:rPr>
          <w:sz w:val="20"/>
          <w:szCs w:val="20"/>
          <w:color w:val="auto"/>
        </w:rPr>
      </w:pPr>
    </w:p>
    <w:p>
      <w:pPr>
        <w:ind w:left="1020" w:right="24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122"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p>
      <w:pPr>
        <w:spacing w:after="0" w:line="137"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We believe that we are not and will not be primarily engaged in the business of investing, reinvesting or trading in securities, and we do not hold ourselves out as being engaged in those activities. We intend to hold ourselves out as a cryptocurrency mining business, specializing in bitcoin. Accordingly, we do not believe that we are an “orthodox” investment company as described in the first bullet point above.</w:t>
      </w:r>
    </w:p>
    <w:p>
      <w:pPr>
        <w:spacing w:after="0" w:line="1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While certain cryptocurrencies may be deemed to be securities, we do not believe that certain other cryptocurrencies, in particular bitcoin, are securities. Our cryptocurrency mining activities focus on bitcoin; therefore, we believe that less than 40% of our total assets (exclusive of U.S. government securities and cash items) on an unconsolidated basis will comprise cryptocurrencies or assets that could be considered investment securities. Accordingly, we do not believe that we are an inadvertent investment company by virtue of the 40% test as described in the second bullet point above. There is uncertainty as to whether bitcoin and other cryptocurrencies that we may own, acquire or mine are, or will in the future be deemed to be, securities for purposes of the 1940 Act. See </w:t>
      </w:r>
      <w:r>
        <w:rPr>
          <w:rFonts w:ascii="Times New Roman" w:cs="Times New Roman" w:eastAsia="Times New Roman" w:hAnsi="Times New Roman"/>
          <w:sz w:val="18"/>
          <w:szCs w:val="18"/>
          <w:i w:val="1"/>
          <w:iCs w:val="1"/>
          <w:color w:val="auto"/>
        </w:rPr>
        <w:t>“—Regulatory changes or actions may restrict the use of bitcoin in a manner that adversely affects our business,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cryptocurrencies, including bitcoin, were to be deemed securities, and consequently, investment securities by the SEC, we intend to continue to operate our business in a manner such that we would not be deemed an inadvertent investment company. However, it is possible that we would be deemed an inadvertent investment company in such event, despite our intention not to operate as an investment company.</w:t>
      </w:r>
    </w:p>
    <w:p>
      <w:pPr>
        <w:spacing w:after="0" w:line="14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spacing w:after="0" w:line="15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Finally, we believe we are not an investment company under Section 3(b)(1) of the 1940 Act because we are primarily engaged in a non-investment company business.</w:t>
      </w:r>
    </w:p>
    <w:p>
      <w:pPr>
        <w:spacing w:after="0" w:line="12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spacing w:after="0" w:line="14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regulatory changes or 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 prohibitive. If we become subject to these regulations, our costs in complying with them may have a material negative effect on our business and results of operations.</w:t>
      </w:r>
    </w:p>
    <w:p>
      <w:pPr>
        <w:spacing w:after="0" w:line="15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FinCEN regulates providers of certain services with respect to “convertible virtual currency,” including bitcoin. Businesses engaged in the transfer of convertible virtual currencies are subject to registration and licensure requirements at the U.S. federal level and also under U.S. state laws. While FinCEN has issued guidance that cryptocurrency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spacing w:after="0" w:line="146"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w:t>
      </w:r>
    </w:p>
    <w:p>
      <w:pPr>
        <w:spacing w:after="0" w:line="14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blockchain. If it is deemed to be subject to and determine not to comply with such additional regulatory and registration requirements, we may act to dissolve and liquidate.</w:t>
      </w:r>
    </w:p>
    <w:p>
      <w:pPr>
        <w:spacing w:after="0" w:line="15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spacing w:after="0" w:line="138"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The CFTC has stated, and judicial decisions involving CFTC enforcement actions have confirmed, that bitcoin and other digital assets fall within the definition of a “commodity” under the U.S. Commodities Exchange Act of 1936, as amended (the “CEA”), and the regulations promulgated by the CFTC thereunder (“CFTC Rules”). As a result, the CFTC has general enforcement authority to police against manipulation and fraud in the spot markets for</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bitcoin and other digital assets. From time to time, manipulation, fraud and other forms of improper trading by other participants involved in the markets for bitcoin and other digital assets have resulted in, and may in the future result in, CFTC investigations, inquiries, enforcement action, and similar actions by other regulators, government agencies and civil litigation. Such investigations, inquiries, enforcement actions and litigation may cause negative publicity for bitcoin and other digital assets, which could adversely impact mining profitability.</w:t>
      </w:r>
    </w:p>
    <w:p>
      <w:pPr>
        <w:spacing w:after="0" w:line="15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CFTC’s general enforcement authority to police against manipulation and fraud in spot markets for bitcoin and other digital assets,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the CEA, CFTC Rules, or the interpretations and guidance of the CFTC may subject us to additional regulatory requirements, licenses and approvals which could result in significant increased compliance and operational costs.</w:t>
      </w:r>
    </w:p>
    <w:p>
      <w:pPr>
        <w:spacing w:after="0" w:line="14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Furthermore, trusts, syndicates and other collective investment vehicles operated for the purpose of trading in Commodity Interests may be subject to regulation and oversight by the CFTC and the National Futures Association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spacing w:after="0" w:line="14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spacing w:after="0" w:line="15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p>
    <w:p>
      <w:pPr>
        <w:spacing w:after="0" w:line="13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SEC and its staff have taken the position that certain digital assets fall within the definition of a “security” under the U.S. federal securities laws. The legal test for determining whether any given digital asset is a security is a highly complex, fact-driven analysis that may evolve over time, and the outcome is difficult to predict. The SEC generally does not provide advance guidance or confirmation on the status of any particular digital asset as a security. It is also possible that a change in the governing administration or the appointment of new SEC commissioners could substantially impact the views of the SEC and its staff.</w:t>
      </w:r>
    </w:p>
    <w:p>
      <w:pPr>
        <w:spacing w:after="0" w:line="14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Public statements made by senior officials at the SEC indicate that the SEC does not intend to take the position that bitcoin and Ether (as currently offered and sold) are securities under the federal securities laws. However, such statements are not official policy statements by the SEC and reflect only the speakers’ views, which are not binding on the SEC or any other agency or court and cannot be generalized to any other digital asset. With the exception of certain centrally issued digital assets that have received “no-action” letters from the SEC staff, bitcoin and Ether are the only digital assets which senior officials at the SEC have publicly stated are unlikely to be considered securities. With respect to all other digital assets, there is no certainty under the applicable legal test that such assets are not securities, notwithstanding the conclusions we may draw based on our risk-based assessment regarding the likelihood that a particular digital asset could be deemed a security under applicable laws.</w:t>
      </w:r>
    </w:p>
    <w:p>
      <w:pPr>
        <w:spacing w:after="0" w:line="160" w:lineRule="exact"/>
        <w:rPr>
          <w:sz w:val="20"/>
          <w:szCs w:val="20"/>
          <w:color w:val="auto"/>
        </w:rPr>
      </w:pPr>
    </w:p>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digital assets are incompatible with regulations applying to transactions in securities. If a digital asset is determined or asserted to be a</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security, it is likely to become difficult or impossible for the digital asset to be traded, cleared or custodied in the United States and elsewhere through the same channels used by non-security digital assets, which in addition to materially and adversely affecting the trading value of the digital asset is likely to significantly impact its liquidity and market participants’ ability to convert the digital asset into U.S. dollars and other currencies.</w:t>
      </w:r>
    </w:p>
    <w:p>
      <w:pPr>
        <w:spacing w:after="0" w:line="14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and legislative developments related to climate change may materially adversely affect our brand, reputation, business, results of operations and financial position.</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number of governments or governmental bodies have introduced or are contemplating legislative and regulatory changes in response to the increasing focus on climate change and its potential impact, including from governmental bodies, interest groups and stakeholders. For example, the Paris Agreement became effective in November 2016, and signatories are required to submit their most recent emissions goals in the form of nationally determined contributions. Given the significant amount of electrical power required to operate bitcoin mining machines, as well as the environmental impact of mining for the rare earth metals used in the production of mining servers, the bitcoin mining industry may become a target for future environmental and energy regulations. See “</w:t>
      </w:r>
      <w:r>
        <w:rPr>
          <w:rFonts w:ascii="Times New Roman" w:cs="Times New Roman" w:eastAsia="Times New Roman" w:hAnsi="Times New Roman"/>
          <w:sz w:val="18"/>
          <w:szCs w:val="18"/>
          <w:i w:val="1"/>
          <w:iCs w:val="1"/>
          <w:color w:val="auto"/>
        </w:rPr>
        <w:t>—Risks Related to Our Business, Industry and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mining activities are energy-intensive,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Legislation and increased regulation regarding climate change could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jurisdictions where we operate or on electricity that we purchase could result in substantially higher energy costs, and due to the significant amount of electrical power required to operate bitcoin mining machines, could in turn put our facilities at a competitive disadvantage. Any future climate change regulations could also negatively affect our ability to compete with companies situated in areas not subject to such limitations.</w:t>
      </w:r>
    </w:p>
    <w:p>
      <w:pPr>
        <w:spacing w:after="0" w:line="15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Given the political significance and uncertainty around the impact of climate change and how it should be addressed, we cannot predict how legislation and regulation will affect our financial condition, operating performance and ability to compete. Furthermore, even without such regulation, increasing awareness of climate change and any negative publicity in the global marketplace about potential impacts on climate change by us or other companies in our industry could harm our reputation. Any of the foregoing could have a material adverse effect on our financial position, prospects, results of operations and cash flows.</w:t>
      </w:r>
    </w:p>
    <w:p>
      <w:pPr>
        <w:spacing w:after="0" w:line="1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interactions with a blockchain may expose us to SDN or blocked persons or cause us to violate provisions of law that did not contemplate distribute ledger technology.</w:t>
      </w:r>
    </w:p>
    <w:p>
      <w:pPr>
        <w:spacing w:after="0" w:line="11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Office of Financial Assets Control of the U.S. Department of Treasury (“OFAC”) requires us to comply with its sanction program and not conduct business with persons named on its specially designated nationals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selling digital assets. Moreover, there is a risk of malicious individuals using cryptocurrencies, including bitcoin, as a potential means of avoiding federally-imposed sanctions, such as those imposed in connection with the Russian invasion of Ukraine. For example, on March 2, 2022, a group of United States Senators sent the Secretary of the United States Treasury Department a letter asking Secretary Yellen to investigate its ability to enforce such sanctions with respect to bitcoin, and on March 8, 2022, President Biden announced an executive order on cryptocurrencies which seeks to establish a unified federal regulatory regime for cryptocurrencies. We are unable to predict the nature or extent of new and proposed legislation and regulation affecting the cryptocurrency industry, or the potential impact of the use of cryptocurrencies by SDN or other blocked or sanctioned persons, which could have material adverse effects on our business and our industry more broadly. Further, we may be subject to investigation, administrative or court proceedings, and civil or criminal monetary fines and penalties as a result of any regulatory enforcement actions, all of which could harm our reputation and affect the value of our common stock.</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5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pacing w:after="0" w:line="15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Moreover, federal law prohibits any U.S. person from knowingly or unknowingly possessing any visual depiction commonly known as child pornography. Some media reports have suggested that persons have, in the past, imbedded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spacing w:after="0" w:line="14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actions in one or more countries could severely affect the right to acquire, own, hold, sell or use certain cryptocurrencies or to exchange them for fiat currency.</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2021, the Chinese government declared that all digital currency-related business activities are illegal, effectively banning mining and trading in cryptocurrencies, such as bitcoin. Other countries, such as India or Russia, may take similar regulatory actions in the future that could severely restrict the right to acquire, own, hold, sell or use cryptocurrencies or to exchange them for fiat currency. In some nations,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w:t>
      </w:r>
    </w:p>
    <w:p>
      <w:pPr>
        <w:spacing w:after="0" w:line="15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Furthermore, in the future, foreign governments may decide to subsidize or in some other way support certain large-scale cryptocurrency mining projects, thus adding hashrate to the overall network. Such circumstances could have a material adverse effect on the amount of bitcoin we may be able to mine, the value of bitcoin and any other cryptocurrencies we may potentially acquire or hold in the future and, consequently, our business, prospects,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central bank digital currencies (“CBDCs”) could adversely affect the value of bitcoin and other digital assets.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A 2021 survey of central banks by the Bank for International Settlements found that 86% are actively researching the potential for CBDCs, 60% were experimenting with the technology and 14% were deploying pilot projects. Whether or not they incorporate blockchain or similar technology, CBDCs, as legal tender in the issuing jurisdiction, could have an advantage in competing with, or replace, bitcoin and other cryptocurrencies as a medium of exchange or store of value. As a result, the value of bitcoin could decrease, which could have a material adverse effect on our business, prospects, financial condition, and operating results.</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1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We are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22"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51"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84"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36"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applicable state, local and non-U.S. tax purposes could adversely impact our business.</w:t>
      </w:r>
    </w:p>
    <w:p>
      <w:pPr>
        <w:spacing w:after="0" w:line="11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assets and related transactions, many significant aspects of the U.S. federal income and applicable state, local and non-U.S. tax treatment of transactions involving digital assets, such as the purchase and sale of bitcoin and the receipt of staking rewards and other digital asset incentives and rewards products, are uncertain, and it is unclear what guidance may be issued in the future with respect to the tax treatment of digital assets and related transactions.</w:t>
      </w:r>
    </w:p>
    <w:p>
      <w:pPr>
        <w:spacing w:after="0" w:line="1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Current IRS guidance indicates that for U.S. federal income tax purposes digital assets such as bitcoins should be treated and taxed as property, and that transactions involving the payment of bitcoins for goods and services should be treated in effect as barter transactions. The IRS has also released guidance to the effect that, under certain circumstances, hard forks of digital currencies are taxable events giving rise to taxable income and guidance with respect to the determination of the tax basis of digital currency. However, current IRS guidance does not address other significant aspects of the U.S. federal income tax treatment of digital assets and related transactions. Moreover, although current IRS guidance addresses the treatment of certain forks, there continues to be uncertainty with respect to the timing and amount of income inclusions for various crypto asset transactions, including, but not limited to, staking rewards and other crypto asset incentives and rewards products. While current IRS guidance creates a potential tax reporting requirement for any circumstance where the ownership of a bitcoin passes from one person to another, it preserves the right to apply capital gains treatment to those transactions, which is generally favorable for investors in bitcoin.</w:t>
      </w:r>
    </w:p>
    <w:p>
      <w:pPr>
        <w:spacing w:after="0" w:line="14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IRS will not alter its existing position with respect to digital assets in the future or that other state, local and non-U.S. taxing authorities or courts will follow the approach of the IRS with respect 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addition, future technological and operational developments that may arise with respect to digital currencies may increase the uncertainty with respect to the treatment of digital currencies for U.S. federal income and applicable state, local and non-U.S. tax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or destruction of our private keys to our digital wallets, causing a loss of some or all of our bitcoin assets.</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Digital assets, such as cryptocurrencies, are stored in a so-called “digital wallet”, which may be accessed to exchange a holder’s digital assets, and is controllable by the processor of both the public key and the private key relating to this digital wallet in which the digital assets are held, both of which are unique. The blockchain publishes the public key relating to digital wallets in use when transactions are made on the network, but users need to safeguard the private keys relating to such digital wallets. If one or more of our private keys are lost, destroyed, or otherwise compromised, we may be unable to access our bitcoin held in the related digital wallet which will essentially be lost. If the private key is acquired by a third party, then this third party may be able to gain access to</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bitcoin. Any loss of private keys relating to digital wallets used to store our bitcoin, whether by us or digital asset exchanges where we hold our bitcoin, could have a material adverse effect on our ability to continue as a going concern or could have a material adverse effect on our business, prospects, financial condition, and operating results.</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temporarily store our bitcoin on digital asset trading platforms which could subject our bitcoin to the risk of loss or access, especially in light of recent developments and failures of major market participants.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our treasury management processes, in preparing to sell bitcoin, we may temporarily store all or a portion of our bitcoin on various digital asset trading platforms which requires us to rely on the security protocols of these trading platforms to safeguard our bitcoin. No security system is perfect and trading platforms have been subject to hacks resulting in the loss of businesses’ and customers’ digital assets in the past. Such trading platforms may not be well capitalized and may not have adequate insurance necessary to cover any loss or may not compensate for loss where permitted under the laws of the relevant jurisdiction. In addition, malicious actors may be able to intercept our bitcoin when we transact in or otherwise transfer our bitcoin or while we are in the process of selling our bitcoin via such trading platforms. Digital asset trading platforms have been a target for malicious actors in the past, and given the growth in their size and their relatively unregulated nature, we believe these trading platforms may continue to be targets for malicious actors. An actual or perceived security breach or data security incident at the digital asset trading platforms with which we have accounts could harm our ability to operate, result in loss of our assets, damage our reputation and negatively affect the market perception of our effectiveness, all of which could adversely affect the value of our ordinary shares.</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the collapse of FTX, one of the largest digital asset trading platforms and exchanges, exposed risks of digital asset trading platforms and exchanges being undercapitalized and/or overexposed in liabilities to the extent that they cannot survive a sudden “bank run” or significant amount of withdrawal requests submitted at the same time by multiple customers. FTX, one of the largest and considered among safest digital asset trading platforms and exchanges, had to file for and seek protection of Chapter 11 court proceedings after it was not able to fulfill a larger number of customer withdrawal requests made at the same time. The collapse of FTX also exposed potential industry contagion and systemic risks as its Chapter 11 filings had a fallout effect on a significant number of major market participants, namely one of the largest digital assets lending companies BlockFi. With significant exposure to FTX through unused credit line and various assets held at FTX, and after experiencing a similar “bank run” by multiple customers due to rumors of its exposure to FTX, BlockFi was forced to file for and seek protection of Chapter 11 court proceedings shortly after FTX Chapter 11 filing. A number of other digital assets companies have felt the pressure of FTX’s bankruptcy, raising questions of potential systemic risks and contagion of FTX’s Chapter 11 filings. See also “—</w:t>
      </w:r>
      <w:r>
        <w:rPr>
          <w:rFonts w:ascii="Times New Roman" w:cs="Times New Roman" w:eastAsia="Times New Roman" w:hAnsi="Times New Roman"/>
          <w:sz w:val="18"/>
          <w:szCs w:val="18"/>
          <w:i w:val="1"/>
          <w:iCs w:val="1"/>
          <w:color w:val="auto"/>
        </w:rPr>
        <w:t>Risks Related to Our Business, Industry and Operations—The further development and acceptance of digital asset networks and other digital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there were no significant exposures of our business to any of the industry participants who filed for Chapter 11 bankruptcy. However, such failure of key institutions in the cryptocurrency asset industry highlights the risk of systemic interconnectedness between major market participants and the effect it could have on the industry as a whole. If any such digital assets trading platform and exchange, on which we store our bitcoin, experiences similar or same issues and is, therefore, forced to file for Chapter 11, we will be exposed to significant loss of value of our bitcoin stored on such digital assets trading platform and exchange.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Incorrect or fraudulent cryptocurrency transactions may be irreversible.</w:t>
      </w:r>
    </w:p>
    <w:p>
      <w:pPr>
        <w:spacing w:after="0" w:line="18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Cryptocurrency transactions are irrevocable and stolen or incorrectly transferred cryptocurrencies may be irretrievable. As a result, any incorrectly executed or fraudulent cryptocurrency transactions could adversely affect our investments and assets.</w:t>
      </w:r>
    </w:p>
    <w:p>
      <w:pPr>
        <w:spacing w:after="0" w:line="136" w:lineRule="exact"/>
        <w:rPr>
          <w:sz w:val="20"/>
          <w:szCs w:val="20"/>
          <w:color w:val="auto"/>
        </w:rPr>
      </w:pPr>
    </w:p>
    <w:p>
      <w:pPr>
        <w:jc w:val="both"/>
        <w:ind w:right="260" w:firstLine="509"/>
        <w:spacing w:after="0" w:line="288" w:lineRule="auto"/>
        <w:rPr>
          <w:sz w:val="20"/>
          <w:szCs w:val="20"/>
          <w:color w:val="auto"/>
        </w:rPr>
      </w:pPr>
      <w:r>
        <w:rPr>
          <w:rFonts w:ascii="Times New Roman" w:cs="Times New Roman" w:eastAsia="Times New Roman" w:hAnsi="Times New Roman"/>
          <w:sz w:val="17"/>
          <w:szCs w:val="17"/>
          <w:color w:val="auto"/>
        </w:rPr>
        <w:t>Cryptocurrency transactions are not, from an administrative perspective, reversible without the consent and active participation of the recipient of the cryptocurrencies from the transaction. While theoretically cryptocurrency transactions may be reversible with the control or consent of a majority of processing power on the network, we do not now, nor is it feasible that we could in the future, possess sufficient processing power to effect this reversal.</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5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cryptocurrency rewards could be transferred in incorrect amounts or to unauthorized third parties, or to uncontrolled accounts.</w:t>
      </w:r>
    </w:p>
    <w:p>
      <w:pPr>
        <w:spacing w:after="0" w:line="15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It is possible that, through computer or human error, or through theft or criminal action, our bitcoin could be transferred from us in incorrect amounts or to unauthorized third parties. To the extent we are unable to seek a corrective transaction with such third party or are incapable of identifying the third party which has received our bitcoin through error or theft, we will be unable to revert or otherwise recover incorrectly transferred bitcoin. If we are unable to recover our losses or seek redress for such error or theft, such events could have a material adverse effect on our business, prospects, financial condition and operating results, including our ability to continue as a going concern.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and widespread use of cryptocurrency, in general, and bitcoin, specifically, is uncertain.</w:t>
      </w:r>
    </w:p>
    <w:p>
      <w:pPr>
        <w:spacing w:after="0" w:line="18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Currently, there is a relatively limited use of any cryptocurrency in the retail and commercial marketplace, contributing to price volatility of cryptocurrencies. Price volatility undermines any cryptocurrency’s role as a medium of exchange, as retailers are much less likely to accept it as a form of payment. Banks and other established financial institutions may refuse to process funds for cryptocurrency transactions, process wire transfers to or from cryptocurrency exchanges, cryptocurrency-related companies or service providers, or maintain accounts for persons or entities transacting in cryptocurrency. Furthermore, a significant portion of cryptocurrency demand, including demand for bitcoin, is generated by investors seeking a long-term store of value or speculators seeking to profit from the short- or long-term holding of the asset.</w:t>
      </w:r>
    </w:p>
    <w:p>
      <w:pPr>
        <w:spacing w:after="0" w:line="159"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The relative lack of acceptance of cryptocurrencies in the retail and commercial marketplace, or a reduction of such use, limits the ability of end users to use them to pay for goods and services. Such lack of acceptance or decline in acceptances could have a material adverse effect on the value of bitcoin or any other cryptocurrencies, and consequently our business, prospects, financial condition and operating results.</w:t>
      </w:r>
    </w:p>
    <w:p>
      <w:pPr>
        <w:spacing w:after="0" w:line="13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digital asset exchanges on which cryptocurrencies, including bitcoin, trade are relatively new and largely unregulated, and thus may be exposed to fraud and failure. Such failures may result in a reduction in the price of bitcoin and other cryptocurrencies and can adversely affect an investment in us.</w:t>
      </w:r>
    </w:p>
    <w:p>
      <w:pPr>
        <w:spacing w:after="0" w:line="133"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w:t>
      </w:r>
    </w:p>
    <w:p>
      <w:pPr>
        <w:spacing w:after="0" w:line="155"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A perceived lack of stability in the digital asset exchange market and the closure or temporary shutdown of digital asset exchanges due to business failure, hackers or malware, government-mandated regulation, or fraud, may reduce confidence in digital asset networks and result in greater volatility in cryptocurrency values. These potential consequences of a digital asset exchange’s failure could adversely affect an investment in us.</w:t>
      </w:r>
    </w:p>
    <w:p>
      <w:pPr>
        <w:spacing w:after="0" w:line="13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Ownership of bitcoin is pseudonymous, and the market supply of accessible bitcoin is unknown. Individuals or entities with substantial holdings in bitcoin may engage in large-scale sales or distributions, either on non- market terms or in the ordinary course, which could disproportionately and negatively affect the cryptocurrency market, result in a reduction in the price of bitcoin and materially and adversely affect the price of our common stock.</w:t>
      </w:r>
    </w:p>
    <w:p>
      <w:pPr>
        <w:spacing w:after="0" w:line="13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is no registry showing which individuals or entities own bitcoin or the quantity of bitcoin that is owned by any particular person or entity. It is possible, and in fact, reasonably likely, that a small group of early bitcoin adopters hold a significant proportion of the bitcoin that has been created to date. There are no regulations in place that would prevent a large holder of bitcoin from selling the bitcoin it holds. To the extent such large holders of bitcoin engage in large-scale sales or distributions, either on non-market terms or in the ordinary course, it could negatively affect the cryptocurrency market and result in a reduction in the price of bitcoin. This, in turn, could</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and adversely affect the price of our stock, our business, prospects, financial condition, and operating results.</w:t>
      </w:r>
    </w:p>
    <w:p>
      <w:pPr>
        <w:spacing w:after="0" w:line="1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open-source structure of the Bitcoin network protocol means that the contributors to the protocol are generally not directly compensated for their contributions in maintaining and developing the protocol.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Bitcoin network operates based on an open-source protocol, not represented by an official organization or authority. Instead it is maintained by a small group of core contributors, largely on the Bitcoin Core project on GitHub.com. These individuals can propose refinements or improvements to the Bitcoin network’s source code through one or more software upgrades that alter the protocols and software that govern the Bitcoin network and the properties of bitcoin, including the irreversibility of transactions and limitations on the mining of new bitcoin. Proposals for upgrades and discussions relating thereto take place on online forums.</w:t>
      </w:r>
    </w:p>
    <w:p>
      <w:pPr>
        <w:spacing w:after="0" w:line="14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the Bitcoin network protocol is not sold and its use does not generate revenues for contributors, contributors are generally not compensated for maintaining and updating the Bitcoin network protocol. Although the MIT Media Lab’s Digital Currency Initiative provides funding for individuals who perform leadership roles in the bitcoin community (known as “lead maintainers”), this type of financial incentive is not typical. The lack of guaranteed financial incentive for contributors to maintain or develop the Bitcoin network and the lack of guaranteed resources to adequately address emerging issues with the Bitcoin network may reduce incentives to address the issues adequately or in a timely manner.</w:t>
      </w:r>
    </w:p>
    <w:p>
      <w:pPr>
        <w:spacing w:after="0" w:line="15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There can be no guarantee that developer support will continue or be sufficient in the future. Additionally, some development and developers are funded by companies whose interests may be at odds with other participants in the network or with investors’ interests. To the extent that material issues arise with the Bitcoin network protocol and the core developers and open-source contributors are unable or unwilling to address the issues adequately or in a timely manner, the Bitcoin network and consequently our business, prospects, financial condition and operating results could be adversely affected.</w:t>
      </w:r>
    </w:p>
    <w:p>
      <w:pPr>
        <w:spacing w:after="0" w:line="13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contributors to a network for any particular digital asset, such as bitcoin, could propose amendments to the respective network’s protocols and software that, if accepted and authorized by such network, could adversely affect our business.</w:t>
      </w:r>
    </w:p>
    <w:p>
      <w:pPr>
        <w:spacing w:after="0" w:line="117"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If a developer or group of developers proposes a modification to the Bitcoin network that is not accepted by a majority of miners and users, but that is nonetheless accepted by a substantial plurality of miners and users, two or more competing and incompatible blockchain implementations could result, with one running the pre-modification software program and the other running the modified version (i.e., a second “Bitcoin network”).</w:t>
      </w:r>
    </w:p>
    <w:p>
      <w:pPr>
        <w:spacing w:after="0" w:line="15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This is known as a “hard fork.” Such a hard fork in the blockchain typically would be addressed by community-led efforts to reunite the forked blockchains, and several prior forks have been resolved successfully. However, a “hard fork” in the blockchain could materially and adversely affect the perceived value of bitcoin as reflected on one or both incompatible blockchains. Additionally, a “hard fork” will decrease the number of users and miners available to each fork of the blockchain as the users and miners on each fork blockchain will not be accessible to the other blockchain and, consequently, there will be fewer block rewards and transaction fees may decline in value. Any of the above could have a material adverse effect on our business, prospects, financial condition, and operating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temporary or permanent blockchain “fork” could have a negative effect on digital assets’ value.</w:t>
      </w:r>
    </w:p>
    <w:p>
      <w:pPr>
        <w:spacing w:after="0" w:line="188"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In August 2017, bitcoin “forked” into bitcoin and a new digital asset, Bitcoin Cash, as a result of a several-year dispute over how to increase the rate of transactions that the Bitcoin network can process. Since then, bitcoin has been forked numerous times to launch new digital assets, such as Bitcoin Gold, Bitcoin Silver and Bitcoin Diamond. These forks effectively result in a new blockchain being created with a shared history, and new path forward, and they have a different “proof of work” algorithm and other technical changes.</w:t>
      </w:r>
    </w:p>
    <w:p>
      <w:pPr>
        <w:spacing w:after="0" w:line="155"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value of the newly created Bitcoin Cash and the other similar digital assets may or may not have value in the long run and may affect the price of bitcoin if interest is shifted away from bitcoin to these newly created digital</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5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assets. The value of bitcoin after the creation of a fork is subject to many factors including the value of the fork product, market reaction to the creation of the fork product, and the occurrence of forks in the future.</w:t>
      </w:r>
    </w:p>
    <w:p>
      <w:pPr>
        <w:spacing w:after="0" w:line="13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Furthermore, a hard fork can introduce new security risks. For example, when Ethereum and Ethereum Classic split in July 2016, replay attacks, in which transactions from one network were rebroadcast to nefarious effect on the other network, plagued trading venues through at least October 2016. An exchange announced in July 2016 that it had lost 40,000 Ether from the Ethereum Classic network, which was worth about $100,000 at that time, as a result of replay attacks. Another possible result of a hard fork is an inherent decrease in the level of security.</w:t>
      </w:r>
    </w:p>
    <w:p>
      <w:pPr>
        <w:spacing w:after="0" w:line="14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After a hard fork, it may become easier for an individual miner or mining pool’s hashing power to exceed 50% of the processing power of the Bitcoin network, thereby making the network more susceptible to attack.</w:t>
      </w:r>
    </w:p>
    <w:p>
      <w:pPr>
        <w:spacing w:after="0" w:line="12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 fork could also be introduced by an unintentional, unanticipated software flaw in the multiple versions of otherwise compatible software that users run. It is possible, however, that a substantial number of users and miners could adopt an incompatible version of bitcoin while resisting community-led efforts to merge the two chains. This would result in a permanent fork, as in the case of Ethereum and Ethereum Classic, as detailed above.</w:t>
      </w:r>
    </w:p>
    <w:p>
      <w:pPr>
        <w:spacing w:after="0" w:line="15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If a fork occurs on a digital asset network which we hold or are mining, such as bitcoin, it may have a negative effect on the value of the digital asset and could have a material adverse effect on our business, prospects, financial condition, and operating results.</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limited precedent set for financial accounting for bitcoin and other cryptocurrency assets, and the impact of new guidance from the Financial Accounting Standards Board is still being determined.</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There has been limited precedent set for the financial accounting for bitcoin and other cryptocurrency assets and related revenue recognition. In December 2023, the Financial Accounting Standards Board (“FASB”) issued ASU No. 2023-08, Intangibles — Goodwill and Other — Crypto Assets (Subtopic 350-60): Accounting for and Disclosure of Crypto Assets. Under the guidance, an entity is required to: measure crypto assets at fair value with changes recognized in net income each reporting period, present crypto assets and related fair value changes separately in the balance sheet and income statement, and include various disclosures in interim and annual periods. The ASU is effective for fiscal years and interim periods within those fiscal years beginning after December 15, 2024, with early adoption permitted in any interim or annual period after the issuance of the ASU. The updated guidance is effective January 1, 2025, however we have chosen to early adopt the amendments as of January 1, 2023, resulting in an opening adjustment to retained earnings of $0.2 million for the year ended December 31, 2023.</w:t>
      </w:r>
    </w:p>
    <w:p>
      <w:pPr>
        <w:spacing w:after="0" w:line="162"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Because the guidance from the FASB is so recent, there is limited interpretive guidance, or examples to reference in applying the new standard. These new financial accounting standards could result in the necessity to change the accounting methods we currently intend to employ in respect of our anticipated revenues and assets and restate any financial statements produced based on those methods. Such a restatement could adversely affect our business, prospects, financial condition and results of operation.</w:t>
      </w:r>
    </w:p>
    <w:p>
      <w:pPr>
        <w:spacing w:after="0" w:line="13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cryptographic and algorithmic protocols governing the issuance of and transactions in cryptocurrencies is subject to a variety of factors that are difficult to evaluate.</w:t>
      </w:r>
    </w:p>
    <w:p>
      <w:pPr>
        <w:spacing w:after="0" w:line="117"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Digital assets, such as bitcoin, that may be used, among other things, to buy and sell goods and services are a new and rapidly evolving industry of which the digital asset networks are prominent, but not unique, parts. The growth of the digital asset industry, in general, and the digital asset networks, in particular, are subject to a high degree of uncertainty. The factors affecting the further development of the digital asset industry, as well as the digital asset networks, include:</w:t>
      </w:r>
    </w:p>
    <w:p>
      <w:pPr>
        <w:spacing w:after="0" w:line="155"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growth in the adoption and use of bitcoin and other digital assets;</w:t>
      </w:r>
    </w:p>
    <w:p>
      <w:pPr>
        <w:spacing w:after="0" w:line="18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quasi-government regulation of bitcoin and other digital assets and their use, or restrictions on or regulation of access to and operation of the digital asset network or similar digital assets systems;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52"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Bitcoin network and other digital asset block-chains;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18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regulators focusing on digital assets and digital securities and the costs associated with such regulatory oversight.</w:t>
      </w:r>
    </w:p>
    <w:p>
      <w:pPr>
        <w:spacing w:after="0" w:line="184"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outcome of these factors could have negative effects on our ability to pursue our business strategy, which could have a material adverse effect on our business, prospects, financial condition, and operating results as well as potentially negative effect on the value of bitcoin or any other cryptocurrencies we may potentially acquire or hold in the future.</w:t>
      </w:r>
    </w:p>
    <w:p>
      <w:pPr>
        <w:spacing w:after="0" w:line="13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Banks and financial institutions may not provide banking services, or may cut off services, to businesses that provide cryptocurrency-related services or that accept cryptocurrencies as payment.</w:t>
      </w:r>
    </w:p>
    <w:p>
      <w:pPr>
        <w:spacing w:after="0" w:line="13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number of companies that provide bitcoin or other cryptocurrency-related services have been unable to find banks or financial institutions that are willing to provide them with bank accounts and other services. This risk may be further exacerbated in the current environment in light of several high-profile bankruptcies in the digital assets industry, as well as recent bank failures, which have disrupted investor confidence in cryptocurrencies and led to a rapid escalation of oversight of the digital asset industry. For further details, see “—</w:t>
      </w:r>
      <w:r>
        <w:rPr>
          <w:rFonts w:ascii="Times New Roman" w:cs="Times New Roman" w:eastAsia="Times New Roman" w:hAnsi="Times New Roman"/>
          <w:sz w:val="18"/>
          <w:szCs w:val="18"/>
          <w:i w:val="1"/>
          <w:iCs w:val="1"/>
          <w:color w:val="auto"/>
        </w:rPr>
        <w:t>Risks Related to Our Business, Industry and Operations—The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 Established banks and financial institutions may be reluctant to provide products and services to the digital asset industry participants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heightened concerns about the ability to comply with the heightened risks and regulatory scrutiny of banking institutions that provide such products or services.</w:t>
      </w:r>
    </w:p>
    <w:p>
      <w:pPr>
        <w:spacing w:after="0" w:line="145"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A number of companies and individuals or businesses associated with cryptocurrencies may have had and may continue to have their existing bank accounts closed or services discontinued with financial institutions. We also may be unable to maintain these services for our business.</w:t>
      </w:r>
    </w:p>
    <w:p>
      <w:pPr>
        <w:spacing w:after="0" w:line="12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difficulty that many businesses that provide bitcoin or other cryptocurrency-related services have and may continue to have in finding banks and financial institutions willing to provide them services may decrease the usefulness of cryptocurrencies as a payment system and harm public perception of cryptocurrencies. Similarly, the usefulness of cryptocurrencies as a payment system and the public perception of cryptocurrencies could be damaged if banks or financial institutions were to close the accounts of businesses providing bitcoin or other cryptocurrency-related services. This could occur as a result of compliance risk, cost, government regulation or public pressure. The risk applies to securities firms, clearance and settlement firms, national stock and commodities exchanges, the over-the-counter market and the Depository Trust Company. Such factors would have a material adverse effect on our business, prospects, financial condition, and operating results.</w:t>
      </w:r>
    </w:p>
    <w:p>
      <w:pPr>
        <w:spacing w:after="0" w:line="15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spacing w:after="0" w:line="117" w:lineRule="exact"/>
        <w:rPr>
          <w:sz w:val="20"/>
          <w:szCs w:val="20"/>
          <w:color w:val="auto"/>
        </w:rPr>
      </w:pPr>
    </w:p>
    <w:p>
      <w:pPr>
        <w:ind w:right="520" w:firstLine="509"/>
        <w:spacing w:after="0" w:line="265" w:lineRule="auto"/>
        <w:rPr>
          <w:sz w:val="20"/>
          <w:szCs w:val="20"/>
          <w:color w:val="auto"/>
        </w:rPr>
      </w:pPr>
      <w:r>
        <w:rPr>
          <w:rFonts w:ascii="Times New Roman" w:cs="Times New Roman" w:eastAsia="Times New Roman" w:hAnsi="Times New Roman"/>
          <w:sz w:val="18"/>
          <w:szCs w:val="18"/>
          <w:color w:val="auto"/>
        </w:rPr>
        <w:t>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cryptocurrency networks face significant scaling challenges. For example, cryptocurrencies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w:t>
      </w:r>
    </w:p>
    <w:p>
      <w:pPr>
        <w:spacing w:after="0" w:line="1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If the Bitcoin network is unable to address scaling issues, the price of bitcoin may decrease as users seek alternative networks. There is also a risk that any mechanisms of increasing the scale of cryptocurrency settlement may significantly alter the competitive dynamics in the cryptocurrency market and may adversely affect the value of bitcoin and the price of our common stock. Alternatively, if bitcoin does make changes to its protocol to address scaling issues, these changes may render our business model obsolete. See “</w:t>
      </w:r>
      <w:r>
        <w:rPr>
          <w:rFonts w:ascii="Times New Roman" w:cs="Times New Roman" w:eastAsia="Times New Roman" w:hAnsi="Times New Roman"/>
          <w:sz w:val="18"/>
          <w:szCs w:val="18"/>
          <w:i w:val="1"/>
          <w:iCs w:val="1"/>
          <w:color w:val="auto"/>
        </w:rPr>
        <w:t>—Risks Related to Bitcoin Mining—There is a possibility of cryptocurrency mining algorithms transitioning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“proof of stake” validation and other mining related risks, which could make us less competitive and ultimately adversely affect our business.</w:t>
      </w:r>
      <w:r>
        <w:rPr>
          <w:rFonts w:ascii="Times New Roman" w:cs="Times New Roman" w:eastAsia="Times New Roman" w:hAnsi="Times New Roman"/>
          <w:sz w:val="18"/>
          <w:szCs w:val="18"/>
          <w:color w:val="auto"/>
        </w:rPr>
        <w:t>”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foregoing could have a material adverse effect on our business, prospects, financial condition, and operating results.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competing blockchain platforms or technologies may cause consumers to use alternative distributed ledgers or other alternatives.</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development and acceptance of competing blockchain platforms or technologies may cause consumers to use alternative distributed ledgers or an alternative to distributed ledgers altogether. Our business intends to rely on presently existent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business, prospects, financial condition, and operating results and potentially the value of any bitcoin or other cryptocurrencies we may potentially acquire or hold in the future.</w:t>
      </w:r>
    </w:p>
    <w:p>
      <w:pPr>
        <w:spacing w:after="0" w:line="141"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malicious actor or botnet obtains control in excess of 50% of the processing power active on any digital asset network, including the Bitcoin network, it is possible that such actor or botnet could manipulate the blockchain in a manner that may adversely affect our business, prospects, financial condition, and operating results.</w:t>
      </w:r>
    </w:p>
    <w:p>
      <w:pPr>
        <w:spacing w:after="0" w:line="14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a malicious actor, such as a rogue mining pool or botnet (a volunteer or hacked collection of computers controlled by networked software coordinating the actions of the computers), obtains a majority of the processing power dedicated to mining on any digital asset network (the so-called “double-spend” or “51%” attacks), including the Bitcoin network, it may be able to alter the blockchain by constructing alternate blocks if it is able to solve for such blocks faster than the remainder of the miners on the blockchain can add valid blocks. In such alternate blocks, the malicious actor or botnet could control, exclude or modify the ordering of transactions, though it could not generate new digital assets or transactions using such control.</w:t>
      </w:r>
    </w:p>
    <w:p>
      <w:pPr>
        <w:spacing w:after="0" w:line="14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Using alternate blocks, the malicious actor could “double-spend” its own digital assets (i.e., spend the same digital assets in more than one transaction) and prevent the confirmation of other users’ transactions for so long as it maintains control. To the extent that such malicious actor or botnet does not yield its majority control of the processing power or the digital asset community does not reject the fraudulent blocks as malicious, reversing any changes made to the blockchain may not be possible.</w:t>
      </w:r>
    </w:p>
    <w:p>
      <w:pPr>
        <w:spacing w:after="0" w:line="14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approach towards and possible crossing of the 50% threshold indicate a greater risk that a single mining pool could exert authority over the validation of digital asset transactions. To the extent that the cryptocurrency ecosystem does not act to ensure greater decentralization of cryptocurrency mining processing power, the feasibility of a malicious actor obtaining in excess of 50% of the processing power on any digital asset network (e.g., through control of a large mining pool or through hacking such a mining pool) will increase, which could have a material adverse effect on our business, prospects, financial condition, and operating results.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4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cryptocurrencies may be affected by the sale of such cryptocurrencies by other vehicles investing in cryptocurrencies or tracking cryptocurrency markets.</w:t>
      </w:r>
    </w:p>
    <w:p>
      <w:pPr>
        <w:spacing w:after="0" w:line="13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The global market for cryptocurrency is characterized by supply constraints that differ from those present in the markets for commodities or other assets such as gold and silver. The mathematical protocols under which certain cryptocurrencies are mined permit the creation of a limited, predetermined amount of currency, while others have no limit established on total supply. To the extent that other vehicles investing in cryptocurrencies or tracking cryptocurrency markets form and come to represent a significant proportion of the demand for cryptocurrencies, large redemptions of the securities of those vehicles and the subsequent sale of cryptocurrencies by such vehicles could negatively affect cryptocurrency prices and therefore affect the value of the cryptocurrency inventory we hold. Such events could have a material adverse effect on our business, prospects, financial condition, and operating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of Internet disruptions, which could have a material adverse effect on the price of cryptocurrencies.</w:t>
      </w:r>
    </w:p>
    <w:p>
      <w:pPr>
        <w:spacing w:after="0" w:line="188"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A disruption of the Internet may affect the use of cryptocurrencies and subsequently the value of our securities. Generally, bitcoin mining is dependent upon the Internet. A significant disruption in Internet connectivity could disrupt the Bitcoin network operations, or our ability to mine bitcoin, until the disruption is resolved, and could have a material adverse effect on the price of cryptocurrencies and, bitcoin specifically, and consequently, our business, prospects, financial condition,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geopolitical and economic events on the supply and demand for cryptocurrencies is uncertain.</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Geopolitical crises may motivate large-scale purchases or sales of bitcoin and other cryptocurrencies, which could increase the price of bitcoin and other cryptocurrencies rapidly. Any significant sharp rise in demand for cryptocurrencies may increase the likelihood of a subsequent price decrease and fluctuations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cryptocurrencies as investors focus their investment on less volatile asset classes as a means of hedging their investment risk.</w:t>
      </w:r>
    </w:p>
    <w:p>
      <w:pPr>
        <w:spacing w:after="0" w:line="145" w:lineRule="exact"/>
        <w:rPr>
          <w:sz w:val="20"/>
          <w:szCs w:val="20"/>
          <w:color w:val="auto"/>
        </w:rPr>
      </w:pPr>
    </w:p>
    <w:p>
      <w:pPr>
        <w:jc w:val="both"/>
        <w:ind w:right="360" w:firstLine="509"/>
        <w:spacing w:after="0" w:line="312" w:lineRule="auto"/>
        <w:rPr>
          <w:sz w:val="20"/>
          <w:szCs w:val="20"/>
          <w:color w:val="auto"/>
        </w:rPr>
      </w:pPr>
      <w:r>
        <w:rPr>
          <w:rFonts w:ascii="Times New Roman" w:cs="Times New Roman" w:eastAsia="Times New Roman" w:hAnsi="Times New Roman"/>
          <w:sz w:val="17"/>
          <w:szCs w:val="17"/>
          <w:color w:val="auto"/>
        </w:rPr>
        <w:t>As an alternative to fiat currencies that are backed by central governments, cryptocurrencies, which are relatively new, are subject to supply and demand forces. How such supply and demand will be impacted by geopolitical events is largely uncertain but could be harmful to us and our investors.</w:t>
      </w:r>
    </w:p>
    <w:p>
      <w:pPr>
        <w:spacing w:after="0" w:line="11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any potential political, legal and economic instability in the regions with active cryptocurrency trading or mining, may lead to disruptions in cryptocurrency trading or mining activity and have a destabilizing effect on the prices of bitcoin or other cryptocurrencies. For example, in early January 2022, amid political protests in Kazakhstan, the local government ordered a temporary shut down of internet service, which took an estimated 15% of the world’s bitcoin miners offline. This, in turn, may have contributed to a decline in the price of the bitcoin from $46,055 on January 3, 2022 to $41,908 on January 7, 2022. Any potential political, legal and economic instability could also increase our domestic competition. See “—</w:t>
      </w:r>
      <w:r>
        <w:rPr>
          <w:rFonts w:ascii="Times New Roman" w:cs="Times New Roman" w:eastAsia="Times New Roman" w:hAnsi="Times New Roman"/>
          <w:sz w:val="18"/>
          <w:szCs w:val="18"/>
          <w:i w:val="1"/>
          <w:iCs w:val="1"/>
          <w:color w:val="auto"/>
        </w:rPr>
        <w:t>We operate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highly competitive industry and we compete against companies that operate in less regulated environments as well as companies with 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Bitcoin Mining</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is the only cryptocurrency that we currently mine and, thus, our success depends in large part upon the value of bitcoin; the value of bitcoin and other cryptocurrencies may be subject to pricing risk and has historically been subject to wide swings.</w:t>
      </w:r>
    </w:p>
    <w:p>
      <w:pPr>
        <w:spacing w:after="0" w:line="13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operating results depend in large part upon the value of bitcoin because it is the only cryptocurrency that we mine. Specifically, our revenues from our bitcoin mining operations are based upon two factors: (1) the number of block rewards that we successfully mine and (2) the value of bitcoin. For further details on how our operating</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9"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8"/>
          <w:szCs w:val="18"/>
          <w:color w:val="auto"/>
        </w:rPr>
        <w:t>results may be directly impacted by changes in the value of bitcoin, see “</w:t>
      </w:r>
      <w:r>
        <w:rPr>
          <w:rFonts w:ascii="Times New Roman" w:cs="Times New Roman" w:eastAsia="Times New Roman" w:hAnsi="Times New Roman"/>
          <w:sz w:val="18"/>
          <w:szCs w:val="18"/>
          <w:i w:val="1"/>
          <w:iCs w:val="1"/>
          <w:color w:val="auto"/>
        </w:rPr>
        <w:t>—Our historical financial statements do not reflect the potential variability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earnings that we may experience in the future relating to bitcoin holdings.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Furthermore, in our operations we use ASIC chips and mining rigs, which are principally utilized for mining bitcoin. Such miners cannot mine other cryptocurrencies, such as Ether, that are not mined utilizing the “SHA-256 algorithm.”</w:t>
      </w:r>
    </w:p>
    <w:p>
      <w:pPr>
        <w:spacing w:after="0" w:line="12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other cryptocurrencies were to achieve acceptance at the expense of bitcoin, causing the value of bitcoin to decline, or if bitcoin were to switch its “proof of work” algorithm from SHA-256 to another algorithm for which the miners we use are not specialized (see “</w:t>
      </w:r>
      <w:r>
        <w:rPr>
          <w:rFonts w:ascii="Times New Roman" w:cs="Times New Roman" w:eastAsia="Times New Roman" w:hAnsi="Times New Roman"/>
          <w:sz w:val="18"/>
          <w:szCs w:val="18"/>
          <w:i w:val="1"/>
          <w:iCs w:val="1"/>
          <w:color w:val="auto"/>
        </w:rPr>
        <w:t>—There is a possibility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cryptocurrency mining algorithms transitioning to “proof of stake” validation and other mining related risks, which could make us less competitive and ultimately adversely affect our business</w:t>
      </w:r>
      <w:r>
        <w:rPr>
          <w:rFonts w:ascii="Times New Roman" w:cs="Times New Roman" w:eastAsia="Times New Roman" w:hAnsi="Times New Roman"/>
          <w:sz w:val="18"/>
          <w:szCs w:val="18"/>
          <w:color w:val="auto"/>
        </w:rPr>
        <w:t>”), or the value of bitcoin were to decline for other reasons, particularly if such decline were significant or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period of time, our business, prospects, financial condition, and operating results would be adversely affected.</w:t>
      </w:r>
    </w:p>
    <w:p>
      <w:pPr>
        <w:spacing w:after="0" w:line="141"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Bitcoin and other cryptocurrency market prices have historically been volatile. Our business may be adversely affected if the markets for bitcoin deteriorate or if its prices decline, including as a result of the following factors:</w:t>
      </w:r>
    </w:p>
    <w:p>
      <w:pPr>
        <w:spacing w:after="0" w:line="136" w:lineRule="exact"/>
        <w:rPr>
          <w:sz w:val="20"/>
          <w:szCs w:val="20"/>
          <w:color w:val="auto"/>
        </w:rPr>
      </w:pPr>
    </w:p>
    <w:p>
      <w:pPr>
        <w:ind w:left="1020" w:right="8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mining rewards of bitcoin, including block reward halving events, which are events that occur after a specific period of time which reduces the block reward earned by miners;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hacks, “forks”, 51% attacks, or other similar incidents affecting the Bitcoin blockchain network;</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“forks” resulting in the creation of and divergence into multiple separate networks;</w:t>
      </w:r>
    </w:p>
    <w:p>
      <w:pPr>
        <w:spacing w:after="0" w:line="197" w:lineRule="exact"/>
        <w:rPr>
          <w:rFonts w:ascii="Times New Roman" w:cs="Times New Roman" w:eastAsia="Times New Roman" w:hAnsi="Times New Roman"/>
          <w:sz w:val="18"/>
          <w:szCs w:val="18"/>
          <w:color w:val="auto"/>
        </w:rPr>
      </w:pPr>
    </w:p>
    <w:p>
      <w:pPr>
        <w:ind w:left="1020" w:right="16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informal governance led by bitcoin’s core developers that lead to revisions to the underlying source code or inactions that prevent network scaling, and which evolve over time largely based on self- determined participation, which may result in new changes or updates that affect their speed, security, usability, or value;</w:t>
      </w:r>
    </w:p>
    <w:p>
      <w:pPr>
        <w:spacing w:after="0" w:line="13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Bitcoin blockchain network to resolve significant scaling challenges and increase the volume and speed of transactions;</w:t>
      </w:r>
    </w:p>
    <w:p>
      <w:pPr>
        <w:spacing w:after="0" w:line="18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developers and customers to use bitcoin for payment, store of value, unit of accounting, and other intended uses;</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spacing w:after="0" w:line="18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Satoshi’s bitcoin assets;</w:t>
      </w:r>
    </w:p>
    <w:p>
      <w:pPr>
        <w:spacing w:after="0" w:line="122"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perception of bitcoin or other cryptocurrencies or their reputation within the fintech influencer community or the general publicity around them;</w:t>
      </w:r>
    </w:p>
    <w:p>
      <w:pPr>
        <w:spacing w:after="0" w:line="135"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in mathematics, technology, including in digital computing, algebraic geometry, and quantum computing that could result in the cryptography being used by bitcoin becoming insecure or ineffective; and</w:t>
      </w:r>
    </w:p>
    <w:p>
      <w:pPr>
        <w:spacing w:after="0" w:line="122"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Bitcoin network or access to this network, including a determination that bitcoin constitutes a security or other regulated financial instrument under the laws of any jurisdiction.</w:t>
      </w:r>
    </w:p>
    <w:p>
      <w:pPr>
        <w:spacing w:after="0" w:line="122"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color w:val="auto"/>
        </w:rPr>
        <w:t>Furthermore, bitcoin pricing may be the result of, and may continue to result in, speculation regarding future appreciation in the value of cryptocurrencies, inflating and making their market prices more volatile or creating “bubble” type risks for bitcoin. Some market observers have asserted that the bitcoin market is experiencing a “bubble” and have predicted that, in time, the value of bitcoin will fall to a fraction of its current value, or even to</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5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zero. Bitcoin has not been in existence long enough for market participants to assess these predictions with any precision, but if these observers are even partially correct, it could have a material adverse effect on our business, prospects, financial condition, and operating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statements do not reflect the potential variability in earnings that we may experience in the future relating to bitcoin holdings.</w:t>
      </w:r>
    </w:p>
    <w:p>
      <w:pPr>
        <w:spacing w:after="0" w:line="188"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Our historical financial statements, including those for the years ended December 31, 2023 and December 31, 2022, do not fully reflect the potential variability in earnings that we may experience in the future from holding or selling significant amounts of bitcoin.</w:t>
      </w:r>
    </w:p>
    <w:p>
      <w:pPr>
        <w:spacing w:after="0" w:line="122"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The price of bitcoin has historically been subject to dramatic price fluctuations and is highly volatile. We determine the fair value of our bitcoin based on quoted (unadjusted) prices on the active exchange that we have determined is our principal market for bitcoin.</w:t>
      </w:r>
    </w:p>
    <w:p>
      <w:pPr>
        <w:spacing w:after="0" w:line="136"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As a result, any decrease in the fair value of bitcoin will require us to incur losses, and such charge could be material to our financial results for the applicable reporting period, which may create significant volatility in our reported earnings and decrease the carrying value of our digital assets, which in turn could have a material adverse effect on our financial condition and operating results.</w:t>
      </w:r>
    </w:p>
    <w:p>
      <w:pPr>
        <w:spacing w:after="0" w:line="13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Rewards for successful production of bitcoin is negatively impacted by the bitcoin halving protocol expected every four years, including an upcoming expected halving in April 2024, and the supply of bitcoin is limited.</w:t>
      </w:r>
    </w:p>
    <w:p>
      <w:pPr>
        <w:spacing w:after="0" w:line="117" w:lineRule="exact"/>
        <w:rPr>
          <w:sz w:val="20"/>
          <w:szCs w:val="20"/>
          <w:color w:val="auto"/>
        </w:rPr>
      </w:pPr>
    </w:p>
    <w:p>
      <w:pPr>
        <w:ind w:right="140" w:firstLine="509"/>
        <w:spacing w:after="0" w:line="280" w:lineRule="auto"/>
        <w:rPr>
          <w:sz w:val="20"/>
          <w:szCs w:val="20"/>
          <w:color w:val="auto"/>
        </w:rPr>
      </w:pPr>
      <w:r>
        <w:rPr>
          <w:rFonts w:ascii="Times New Roman" w:cs="Times New Roman" w:eastAsia="Times New Roman" w:hAnsi="Times New Roman"/>
          <w:sz w:val="17"/>
          <w:szCs w:val="17"/>
          <w:color w:val="auto"/>
        </w:rPr>
        <w:t>The supply of bitcoin is limited and, once the 21 million bitcoin have been “unearthed”, the network will stop producing more. Currently, there are approximately 19.6 million, or approximately 93% of the total supply of, bitcoin in circulation. The halving is an event within the Bitcoin protocol where the bitcoin reward provided upon mining a block is reduced by 50%. Halvings are scheduled to occur once every 210,000 blocks, or roughly every four years, with the latest halving having occurred in May 2020, which revised the block reward to 6.25 bitcoin and the next halving expected in April 2024.</w:t>
      </w:r>
    </w:p>
    <w:p>
      <w:pPr>
        <w:spacing w:after="0" w:line="14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Halving reduces the number of new bitcoin being generated by the network. While the effect is to slow the pace of the release of new coins, it has no impact on the quantity of total bitcoin already outstanding. As a result, the price of bitcoin could rise or fall based on overall investor and consumer demand. Given a stable network hashrate, should the price of bitcoin remain unchanged after the next halving, our revenue related to mining new coins would be reduced by 50%, with a significant impact on profit.</w:t>
      </w:r>
    </w:p>
    <w:p>
      <w:pPr>
        <w:spacing w:after="0" w:line="14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Furthermore, as the number of bitcoin remaining to be mined decreases, the processing power required to record new blocks on the blockchain may increase. Eventually the processing power required to add a block to the blockchain may exceed the value of the reward for adding a block. Additionally, at some point, there will be no new bitcoin to mine. Once the processing power required to add a block to the blockchain exceeds the value of the reward for adding a block, we may focus on other strategic initiatives, which may be complimentary to our mining operations. For further details, see “</w:t>
      </w:r>
      <w:r>
        <w:rPr>
          <w:rFonts w:ascii="Times New Roman" w:cs="Times New Roman" w:eastAsia="Times New Roman" w:hAnsi="Times New Roman"/>
          <w:sz w:val="18"/>
          <w:szCs w:val="18"/>
          <w:i w:val="1"/>
          <w:iCs w:val="1"/>
          <w:color w:val="auto"/>
        </w:rPr>
        <w:t>Business—Our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Strategy—Retain flexibility in considering strategically adjacent opportunities complimentary to our business model.</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periodic adjustments to the digital asset networks, such as bitcoin, regarding the difficulty for block solutions, with reductions in the aggregate hashrate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hashrate, to solve blocks and confirmations of transactions on the bitcoin blockchain could be slowed.</w:t>
      </w:r>
    </w:p>
    <w:p>
      <w:pPr>
        <w:spacing w:after="0" w:line="152"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Bitcoin miners record transactions when they solve for and add blocks of information to the blockchain. They generate revenue from both newly created bitcoin, known as the “block reward” and from fees taken upon verification of transactions. See “</w:t>
      </w:r>
      <w:r>
        <w:rPr>
          <w:rFonts w:ascii="Times New Roman" w:cs="Times New Roman" w:eastAsia="Times New Roman" w:hAnsi="Times New Roman"/>
          <w:sz w:val="18"/>
          <w:szCs w:val="18"/>
          <w:i w:val="1"/>
          <w:iCs w:val="1"/>
          <w:color w:val="auto"/>
        </w:rPr>
        <w:t>Business—Revenue Structure.</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If the aggregate revenue from transaction fees and the block reward is below a miner’s cost, the miner may cease operations. If the award of new units of bitcoin for solving blocks declines and/or the difficulty of solving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5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blocks increases, and transaction fees voluntarily paid by participants are not sufficiently high, miners may not have an adequate incentive to continue mining and may cease their mining operations. For example, the current fixed reward for solving a new block on the Bitcoin network is 6.25 bitcoins per block; the reward decreased from 12.5 bitcoin in May 2020, which itself was a decrease from 25 bitcoin in July 2016. It is estimated that it will “halve” again in April 2024.</w:t>
      </w:r>
    </w:p>
    <w:p>
      <w:pPr>
        <w:spacing w:after="0" w:line="155" w:lineRule="exact"/>
        <w:rPr>
          <w:sz w:val="20"/>
          <w:szCs w:val="20"/>
          <w:color w:val="auto"/>
        </w:rPr>
      </w:pPr>
    </w:p>
    <w:p>
      <w:pPr>
        <w:jc w:val="both"/>
        <w:ind w:right="460" w:firstLine="509"/>
        <w:spacing w:after="0" w:line="288" w:lineRule="auto"/>
        <w:rPr>
          <w:sz w:val="20"/>
          <w:szCs w:val="20"/>
          <w:color w:val="auto"/>
        </w:rPr>
      </w:pPr>
      <w:r>
        <w:rPr>
          <w:rFonts w:ascii="Times New Roman" w:cs="Times New Roman" w:eastAsia="Times New Roman" w:hAnsi="Times New Roman"/>
          <w:sz w:val="17"/>
          <w:szCs w:val="17"/>
          <w:color w:val="auto"/>
        </w:rPr>
        <w:t>This reduction may result in a reduction in the aggregate hashrate of the Bitcoin network as the incentive for miners decreases. Miners ceasing operations would reduce the aggregate hashrate on the Bitcoin network, which would adversely affect the confirmation process for transactions (i.e., temporarily decreasing the speed at which blocks are added to the blockchain until the next scheduled adjustment in difficulty for block solutions).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Moreover, a reduction in the hashrate expended by miners on any digital asset network could increase the likelihood of a malicious actor or botnet obtaining control in excess of fifty percent (50%) of the aggregate hashrate active on such network or the blockchain, potentially permitting such actor to manipulate the blockchain. See “</w:t>
      </w:r>
      <w:r>
        <w:rPr>
          <w:rFonts w:ascii="Times New Roman" w:cs="Times New Roman" w:eastAsia="Times New Roman" w:hAnsi="Times New Roman"/>
          <w:sz w:val="18"/>
          <w:szCs w:val="18"/>
          <w:i w:val="1"/>
          <w:iCs w:val="1"/>
          <w:color w:val="auto"/>
        </w:rPr>
        <w:t>—If a malicious actor or botnet obtains control in excess of 50% of the processing power active on any digital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network, including the Bitcoin network, it is possible that such actor or botnet could manipulate the blockchain in a manner that may adversely affect our business, prospects, financial condition, and operating results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Periodically, the Bitcoin network has adjusted the difficulty for block solutions so that solution speeds remain in the vicinity of the expected ten (10) minute confirmation time targeted by the Bitcoin network protocol. We believe that from time to time there may be further considerations and adjustments to the Bitcoin network regarding the difficulty for block solutions. More significant reductions in the aggregate hashrate on the Bitcoin network could result in material, though temporary, delays in block solution confirmation time. Any reduction in confidence in the confirmation process or aggregate hashrate of any digital asset network may negatively impact the value of digital assets, which could have a material adverse effect on our business, prospects, financial condition, and operating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Transactional fees may decrease demand for bitcoin and prevent expansion.</w:t>
      </w:r>
    </w:p>
    <w:p>
      <w:pPr>
        <w:spacing w:after="0" w:line="18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As the number of bitcoins awarded in the form of block rewards for solving a block in a blockchain decreases, the relative incentive for miners to continue to contribute to the Bitcoin network may transition to place more importance on transaction fees.</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which could have a material adverse effect on our business, prospects, financial condition,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any particular model of miner may subject our operations to increased risk of failure.</w:t>
      </w:r>
    </w:p>
    <w:p>
      <w:pPr>
        <w:spacing w:after="0" w:line="188" w:lineRule="exact"/>
        <w:rPr>
          <w:sz w:val="20"/>
          <w:szCs w:val="20"/>
          <w:color w:val="auto"/>
        </w:rPr>
      </w:pPr>
    </w:p>
    <w:p>
      <w:pPr>
        <w:jc w:val="both"/>
        <w:ind w:right="80" w:firstLine="509"/>
        <w:spacing w:after="0" w:line="280" w:lineRule="auto"/>
        <w:rPr>
          <w:sz w:val="20"/>
          <w:szCs w:val="20"/>
          <w:color w:val="auto"/>
        </w:rPr>
      </w:pPr>
      <w:r>
        <w:rPr>
          <w:rFonts w:ascii="Times New Roman" w:cs="Times New Roman" w:eastAsia="Times New Roman" w:hAnsi="Times New Roman"/>
          <w:sz w:val="17"/>
          <w:szCs w:val="17"/>
          <w:color w:val="auto"/>
        </w:rPr>
        <w:t>The performance and reliability of our miners and our technology will be critical to our reputation and our operations. If there are any technological issues with our miners, our entire system could be affected. Any system error or failure may significantly delay response times or even cause our system to fail. Any disruption in our ability to continue mining could result in lower yields and harm our reputation and business. Any exploitable weakness, flaw, or error common to our miners may affects all our miners, and if a defect other flaw is exploited, our entire mine could go offline simultaneously.</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interruption, delay or system failure could have a material adverse effect on our business, prospects, financial condition, and operating results.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possibility of cryptocurrency mining algorithms transitioning to “proof of stake” validation and other mining related risks, which could make us less competitive and ultimately adversely affect our business.</w:t>
      </w:r>
    </w:p>
    <w:p>
      <w:pPr>
        <w:spacing w:after="0" w:line="131" w:lineRule="exact"/>
        <w:rPr>
          <w:sz w:val="20"/>
          <w:szCs w:val="20"/>
          <w:color w:val="auto"/>
        </w:rPr>
      </w:pPr>
    </w:p>
    <w:p>
      <w:pPr>
        <w:ind w:right="620" w:firstLine="509"/>
        <w:spacing w:after="0" w:line="260" w:lineRule="auto"/>
        <w:rPr>
          <w:sz w:val="20"/>
          <w:szCs w:val="20"/>
          <w:color w:val="auto"/>
        </w:rPr>
      </w:pPr>
      <w:r>
        <w:rPr>
          <w:rFonts w:ascii="Times New Roman" w:cs="Times New Roman" w:eastAsia="Times New Roman" w:hAnsi="Times New Roman"/>
          <w:sz w:val="18"/>
          <w:szCs w:val="18"/>
          <w:color w:val="auto"/>
        </w:rPr>
        <w:t>“Proof of stake” is an alternative method in validating cryptocurrency transactions. Should the Bitcoin network shift from a “proof of work” validation method to a “proof of stake” validation method, mining would require less energy and may render companies, such as ours, that may be perceived as advantageously positioned in the current climate, for example, due to lower priced electricity, processing, real estate, or hosting, less competitive.</w:t>
      </w:r>
    </w:p>
    <w:p>
      <w:pPr>
        <w:spacing w:after="0" w:line="141"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Our business model and our strategic efforts are fundamentally based upon the “proof of work” validation method and the assumption that use of lower priced electricity in our cryptocurrency mining operations will make our business model more resilient to fluctuations in bitcoin price and will generally provide us with certain competitive advantage. See “</w:t>
      </w:r>
      <w:r>
        <w:rPr>
          <w:rFonts w:ascii="Times New Roman" w:cs="Times New Roman" w:eastAsia="Times New Roman" w:hAnsi="Times New Roman"/>
          <w:sz w:val="18"/>
          <w:szCs w:val="18"/>
          <w:i w:val="1"/>
          <w:iCs w:val="1"/>
          <w:color w:val="auto"/>
        </w:rPr>
        <w:t>Business—Our Strengths—Cost leadership with reliable electricity supply and resilient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model with downside protection against drops in bitcoin prices”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—Bitcoin mining activities are energy intensive, which may restrict the geographic locations of miners and have a negative environmental impact. Government regulators may potentially restrict the ability of electricity suppliers to provide electricity to mining operations, such as ours.</w:t>
      </w:r>
      <w:r>
        <w:rPr>
          <w:rFonts w:ascii="Times New Roman" w:cs="Times New Roman" w:eastAsia="Times New Roman" w:hAnsi="Times New Roman"/>
          <w:sz w:val="18"/>
          <w:szCs w:val="18"/>
          <w:color w:val="auto"/>
        </w:rPr>
        <w:t>” Consequently, if the cryptocurrency mining algorithms transition to “proof of stake”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validation, we may be exposed to the risk of losing the benefit of our perceived competitive advantage that we hope to gain and our business model may need to be reevaluated. Furthermore, ASIC chips that we intend to use in our operations are also designed for “proof of work” mechanism. Many people within the bitcoin community believe that “proof of work” is a foundation within bitcoin’s code that would not be changed. However, there have been debates on mechanism change to avoid the “de facto control” by a great majority of the network computing power. With the possibility of a change in rule or protocol of the Bitcoin network, if our bitcoin mining chips and machines cannot be modified to accommodate any such changes, our results of operations will be significantly affected. Such events could have a material adverse effect on our business, prospects, financial condition, and operating results, including our ability to continue as a going concern.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adequately respond to price fluctuations and rapidly changing technology, which may negatively affect our business.</w:t>
      </w:r>
    </w:p>
    <w:p>
      <w:pPr>
        <w:spacing w:after="0" w:line="202" w:lineRule="exact"/>
        <w:rPr>
          <w:sz w:val="20"/>
          <w:szCs w:val="20"/>
          <w:color w:val="auto"/>
        </w:rPr>
      </w:pPr>
    </w:p>
    <w:p>
      <w:pPr>
        <w:jc w:val="both"/>
        <w:ind w:right="560" w:firstLine="509"/>
        <w:spacing w:after="0" w:line="265" w:lineRule="auto"/>
        <w:rPr>
          <w:sz w:val="20"/>
          <w:szCs w:val="20"/>
          <w:color w:val="auto"/>
        </w:rPr>
      </w:pPr>
      <w:r>
        <w:rPr>
          <w:rFonts w:ascii="Times New Roman" w:cs="Times New Roman" w:eastAsia="Times New Roman" w:hAnsi="Times New Roman"/>
          <w:sz w:val="18"/>
          <w:szCs w:val="18"/>
          <w:color w:val="auto"/>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w:t>
      </w:r>
    </w:p>
    <w:p>
      <w:pPr>
        <w:spacing w:after="0" w:line="137"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New technologies, techniques or products could emerge that might offer better performance than the software and other technologies we currently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prospects, financial condition and operating results could be adversely affected.</w:t>
      </w:r>
    </w:p>
    <w:p>
      <w:pPr>
        <w:spacing w:after="0" w:line="12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the profit margins of bitcoin mining operations are not high, operators of bitcoin mining operations are more likely to immediately sell bitcoin rewards earned by mining in the market, thereby constraining growth of the price of bitcoin that could adversely impact us, and similar actions could affect other cryptocurrencies.</w:t>
      </w:r>
    </w:p>
    <w:p>
      <w:pPr>
        <w:spacing w:after="0" w:line="147"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Over the past several years, bitcoin mining operations have evolved from individual users mining with computer processors, graphics processing units and first-generation ASIC servers. Currently, new processing power is predominantly added by incorporated and unincorporated “professionalized” mining operations.</w:t>
      </w:r>
    </w:p>
    <w:p>
      <w:pPr>
        <w:spacing w:after="0" w:line="13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Professionalized mining operations may use proprietary hardware or sophisticated ASIC machines acquired from ASIC manufacturers. They require the investment of significant capital for the acquisition of this hardware, the leasing of operating space (often in data centers or warehousing facilities), incurring of electricity costs and the employment of technicians to operate the mining farms. As a result, professionalized mining operations are of a greater scale than prior miners and have more defined and regular expenses and liabilities. These regular expenses and liabilities require professionalized mining operations to maintain profit margins on the sale of bitcoin.</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5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To the extent the price of bitcoin declines and such profit margin is constrained, professionalized miners are incentivized to more immediately sell bitcoin earned from mining operations, whereas it is believed that individual miners in past years were more likely to hold newly mined bitcoin for more extended periods. The immediate selling of newly mined bitcoin greatly increases the trading volume of bitcoin, creating downward pressure on the market price of bitcoin rewards.</w:t>
      </w:r>
    </w:p>
    <w:p>
      <w:pPr>
        <w:spacing w:after="0" w:line="15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extent to which the value of bitcoin mined by a professionalized mining operation exceeds the allocable capital and operating costs determines the profit margin of such operation. A professionalized mining operation may be more likely to sell a higher percentage of its newly mined bitcoin rapidly if it is operating at a low profit margin and it may partially or completely cease operations if its profit margin is negative. In a low profit margin environment, a higher percentage could be sold more rapidly, thereby potentially depressing bitcoin prices. Lower bitcoin prices could result in further tightening of profit margins for professionalized mining operations creating a network effect that may further reduce the price of bitcoin until mining operations with higher operating costs become unprofitable forcing them to reduce mining power or cease mining operations temporarily.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foregoing risks associated with bitcoin could be equally applicable to other cryptocurrencies, whether existing now or introduced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circumstances could have a material adverse effect on our business, prospects, financial condition, and operating results.</w:t>
      </w:r>
    </w:p>
    <w:p>
      <w:pPr>
        <w:spacing w:after="0" w:line="16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digital asset network, which could adversely impact an investment in us.</w:t>
      </w:r>
    </w:p>
    <w:p>
      <w:pPr>
        <w:spacing w:after="0" w:line="14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spacing w:after="0" w:line="14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Any systemic delays in the recording and confirmation of transactions on the blockchain could result in greater exposure to double-spending transactions and a loss of confidence in certain or all digital asset networks, which could have a material adverse effect on our business, prospects, financial condition, and operating results.</w:t>
      </w:r>
    </w:p>
    <w:p>
      <w:pPr>
        <w:spacing w:after="0" w:line="13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Demand for bitcoin is driven, in part, by its status as one of the most prominent and secure digital assets. It is possible that digital assets, other than bitcoin, could have features that make them more desirable to a material portion of the digital asset user base, resulting in a reduction in demand for bitcoin, which could have a negative impact on the price of bitcoin and have a material adverse effect on our business, prospects, financial condition, and operating results.</w:t>
      </w:r>
    </w:p>
    <w:p>
      <w:pPr>
        <w:spacing w:after="0" w:line="1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Bitcoin, as an asset, holds a “first-to-market” advantage over other digital assets. This first-to-market advantage is driven in large part by having the largest user base and, more importantly, the largest mining power in use to secure its blockchain and transaction verification system. Having a large mining network results in greater user confidence regarding the security and long-term stability of a digital asset’s network and its blockchain; as a result, the advantage of more users and miners makes a digital asset more secure, which makes it more attractive to new users and miners, resulting in a network effect that strengthens the first-to-market advantage.</w:t>
      </w:r>
    </w:p>
    <w:p>
      <w:pPr>
        <w:spacing w:after="0" w:line="14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Despite the marked first-mover advantage of the Bitcoin network over other digital asset networks, it is possible that another digital asset could become materially popular due to either a perceived or exposed shortcoming of the Bitcoin network protocol that is not immediately addressed by the bitcoin contributor community or a perceived advantage of an altcoin that includes features not incorporated into bitcoin. If a digital asset obtains significant market share (either in market capitalization, mining power or use as a payment technology), this could reduce bitcoin’s market share as well as other digital assets we may become involved in and have a negative impact on the demand for, and price of, such digital assets and could have a material adverse effect on our business, prospects, financial condition, and operating results.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Bitcoin we hold is not insured and not subject to FDIC or SIPC protections.</w:t>
      </w:r>
    </w:p>
    <w:p>
      <w:pPr>
        <w:spacing w:after="0" w:line="20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bitcoin we hold is not insured. Therefore, any loss that we may suffer with respect to our bitcoin is not covered by insurance and no person may be liable in damages for such loss, which could adversely affect our operations. We do not hold our bitcoin with a banking institution or a member of the Federal Deposit Insurance Corporation (“FDIC”) or the Securities Investor Protection Corporation (“SIPC”) and, therefore, our bitcoin is not subject to the protections enjoyed by depositors with FDIC or SIPC member institutions.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147"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As described under Item 9A. “Controls and Procedures” below, as we prepared the consolidated financial statements for the year ended December 31, 2023, management has concluded that a material weakness in our internal control over financial reporting existed as of December 31, 2023. This material weakness is more fully described in Item 9A. Accordingly, internal control over financial reporting and our disclosure controls and procedures were not effective as of such date.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the deficiencies we identified relate to user access controls to ensure appropriate segregation of duties or program change management controls for certain financially relevant systems impacting the Company’s processes around revenue recognition and digital assets to ensure that IT program and data changes affecting the Company’s (i) financial IT applications, (ii) digital currency mining equipment, and (iii) underlying accounting records, are identified, tested, authorized and implemented appropriately to validate that data produced by its relevant IT system(s) were complete and accurate. Automated process-level controls and manual controls that are dependent upon the information derived from such financially relevant systems were also determined to be ineffective as a result of such deficiency. In addition, the Company has not effectively designed a manual key control to detect material misstatements in revenue.</w:t>
      </w:r>
    </w:p>
    <w:p>
      <w:pPr>
        <w:spacing w:after="0" w:line="14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Since the material weakness was identified, our management has been implementing and continues to implement measures designed to ensure that control deficiencies contributing to the material weakness are remediated, such that these controls are designed, implemented, and operating effectively. We are taking the following actions to remediate this material weakness:</w:t>
      </w:r>
    </w:p>
    <w:p>
      <w:pPr>
        <w:spacing w:after="0" w:line="137" w:lineRule="exact"/>
        <w:rPr>
          <w:sz w:val="20"/>
          <w:szCs w:val="20"/>
          <w:color w:val="auto"/>
        </w:rPr>
      </w:pPr>
    </w:p>
    <w:p>
      <w:pPr>
        <w:ind w:left="1020" w:right="46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2023 in key financial reporting and information technology areas, including hiring additional employees.</w:t>
      </w:r>
    </w:p>
    <w:p>
      <w:pPr>
        <w:spacing w:after="0" w:line="135"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13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122" w:lineRule="exact"/>
        <w:rPr>
          <w:rFonts w:ascii="Times New Roman" w:cs="Times New Roman" w:eastAsia="Times New Roman" w:hAnsi="Times New Roman"/>
          <w:sz w:val="18"/>
          <w:szCs w:val="18"/>
          <w:color w:val="auto"/>
        </w:rPr>
      </w:pPr>
    </w:p>
    <w:p>
      <w:pPr>
        <w:ind w:left="1020" w:right="180" w:hanging="504"/>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over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is complete and accurate.</w:t>
      </w:r>
    </w:p>
    <w:p>
      <w:pPr>
        <w:spacing w:after="0" w:line="155" w:lineRule="exact"/>
        <w:rPr>
          <w:sz w:val="20"/>
          <w:szCs w:val="20"/>
          <w:color w:val="auto"/>
        </w:rPr>
      </w:pPr>
    </w:p>
    <w:p>
      <w:pPr>
        <w:jc w:val="both"/>
        <w:ind w:right="440" w:firstLine="509"/>
        <w:spacing w:after="0" w:line="265" w:lineRule="auto"/>
        <w:rPr>
          <w:sz w:val="20"/>
          <w:szCs w:val="20"/>
          <w:color w:val="auto"/>
        </w:rPr>
      </w:pPr>
      <w:r>
        <w:rPr>
          <w:rFonts w:ascii="Times New Roman" w:cs="Times New Roman" w:eastAsia="Times New Roman" w:hAnsi="Times New Roman"/>
          <w:sz w:val="18"/>
          <w:szCs w:val="18"/>
          <w:color w:val="auto"/>
        </w:rPr>
        <w:t>We cannot assure you the measures we are taking to remediate the material weakness will be sufficient or that they will prevent future material weaknesses. Additional material weaknesses or failure to maintain effective internal control over financial reporting could cause us to fail to meet our reporting obligations as a public company and may result in a restatement of our financial statements for prior periods.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5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occurrence of, or failure to remediate, this material weakness and any future material weaknesses in our internal control over financial reporting may adversely affect the accuracy and reliability of our financial statements and have other consequences that could materially and adversely affect our business, including an adverse impact on the market price of our common stock, potential actions or investigations by the SEC or other regulatory authorities, shareholder lawsuits, a loss of investor confidence and damage to our reputation.</w:t>
      </w:r>
    </w:p>
    <w:p>
      <w:pPr>
        <w:spacing w:after="0" w:line="15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are able take advantage of reduced disclosure requirements applicable to “emerging growth companies,” which could make our common stock less attractive to investors.</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earlier of (i) December 31, 2025, the last day of the fiscal year following the fifth anniversary of the date of the first sale of the initial public offering of Good Works Acquisition Corp. (“GWAC”), our predecessor company; (ii) the last day of the fiscal year in which we have total annual gross revenues of $1.235 billion or more; (iii) the date on which we have issued more than $1 billion in nonconvertible debt during the previous three years; or (iv) the date on which we are deemed to be a large accelerated filer under applicable SEC rules.</w:t>
      </w:r>
    </w:p>
    <w:p>
      <w:pPr>
        <w:spacing w:after="0" w:line="14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expect that we will remain an emerging growth company for the foreseeable future but cannot retain our emerging growth company status indefinitely and will no longer qualify as an emerging growth company on or before December 31, 2025. References herein to “emerging growth company” have the meaning associated with it in the JOBS Act.</w:t>
      </w:r>
    </w:p>
    <w:p>
      <w:pPr>
        <w:spacing w:after="0" w:line="150"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specified disclosure requirements that are applicable to other public companies that are not emerging growth companies. These exemptions include:</w:t>
      </w:r>
    </w:p>
    <w:p>
      <w:pPr>
        <w:spacing w:after="0" w:line="122" w:lineRule="exact"/>
        <w:rPr>
          <w:sz w:val="20"/>
          <w:szCs w:val="20"/>
          <w:color w:val="auto"/>
        </w:rPr>
      </w:pPr>
    </w:p>
    <w:p>
      <w:pPr>
        <w:ind w:left="1020" w:right="100" w:hanging="504"/>
        <w:spacing w:after="0" w:line="312"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98"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requirement of auditor attestation of our internal controls over financial reporting;</w:t>
      </w:r>
    </w:p>
    <w:p>
      <w:pPr>
        <w:spacing w:after="0" w:line="197" w:lineRule="exact"/>
        <w:rPr>
          <w:rFonts w:ascii="Times New Roman" w:cs="Times New Roman" w:eastAsia="Times New Roman" w:hAnsi="Times New Roman"/>
          <w:sz w:val="18"/>
          <w:szCs w:val="18"/>
          <w:color w:val="auto"/>
        </w:rPr>
      </w:pPr>
    </w:p>
    <w:p>
      <w:pPr>
        <w:ind w:left="1020" w:right="440" w:hanging="504"/>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3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84"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shareholder approval of any golden parachute payments not previously approved.</w:t>
      </w:r>
    </w:p>
    <w:p>
      <w:pPr>
        <w:spacing w:after="0" w:line="13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expect that we will take advantage of the reduced disclosure obligations available to us as a result of that classification. We have taken advantage of certain of those reduced reporting burdens in this Annual Report. Accordingly, the information contained herein may be different than the information you receive from other public companies in which you hold stock.</w:t>
      </w:r>
    </w:p>
    <w:p>
      <w:pPr>
        <w:spacing w:after="0" w:line="13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We have irrevocably elected to avail ourselves of this extended transition period and, as a result, we will not be required to adopt new or revised accounting standards on the dates on which adoption of such standards is required for other public reporting companies.</w:t>
      </w:r>
    </w:p>
    <w:p>
      <w:pPr>
        <w:spacing w:after="0" w:line="14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of the Securities Exchange Act of 1934, as amended, or the Exchange Act, and have elected to take advantage of certain of the scaled disclosure available for smaller reporting companies.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Bitfury Group is a significant shareholder and, as such, may be able to exert influence over our strategic direction and matters submitted to our stockholders for approval.</w:t>
      </w:r>
    </w:p>
    <w:p>
      <w:pPr>
        <w:spacing w:after="0" w:line="13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March 4, 2024, Bitfury Group holds approximately 40% of our common stock. Accordingly, Bitfury Group may be able to exert influence over matters submitted to our stockholders for approval, such as the election of directors and amendments of our organizational documents. Bitfury Group may have interests that differ from those of the other stockholders and may vote in a way with which the other stockholders disagree and which may be adverse to their interests. This concentrated ownership may have the effect of delaying, preventing or deterring a change in control of Cipher, could deprive Cipher’s stockholders of an opportunity to receive a premium for their capital stock as part of a sale of Cipher, and might ultimately affect the market price of shares of our common stock. Thus, the decisions of Bitfury Group as a significant shareholder on certain matters may be contrary to the expectations or preferences of our other common stockholders and could have a material adverse effect on our business, prospects, financial condition, and operating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offer or sale by Bitfury Group of our common stock could have a negative effect on the price and trading volume of our common stock.</w:t>
      </w:r>
    </w:p>
    <w:p>
      <w:pPr>
        <w:spacing w:after="0" w:line="188" w:lineRule="exact"/>
        <w:rPr>
          <w:sz w:val="20"/>
          <w:szCs w:val="20"/>
          <w:color w:val="auto"/>
        </w:rPr>
      </w:pPr>
    </w:p>
    <w:p>
      <w:pPr>
        <w:ind w:right="20" w:firstLine="509"/>
        <w:spacing w:after="0" w:line="288" w:lineRule="auto"/>
        <w:rPr>
          <w:sz w:val="20"/>
          <w:szCs w:val="20"/>
          <w:color w:val="auto"/>
        </w:rPr>
      </w:pPr>
      <w:r>
        <w:rPr>
          <w:rFonts w:ascii="Times New Roman" w:cs="Times New Roman" w:eastAsia="Times New Roman" w:hAnsi="Times New Roman"/>
          <w:sz w:val="17"/>
          <w:szCs w:val="17"/>
          <w:color w:val="auto"/>
        </w:rPr>
        <w:t>As of March 4, 2024, Bitfury Group holds approximately 40% of our common stock. The market price and trading volume of our common stock could be adversely affected by, among other factors, sales of substantial amounts of common stock in the public market, investor perception that substantial amounts of common stock could be sold or by the fact or perception of other events that could have a negative effect on the market for our common stock.</w:t>
      </w:r>
    </w:p>
    <w:p>
      <w:pPr>
        <w:spacing w:after="0" w:line="132"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Any future transactions by Bitfury Group with other investors could decrease the price and trading volume of our common stock. Furthermore, as the cryptocurrency industry is developing and investments in cryptocurrency and cryptocurrency-related securities may still be highly speculative, it can contribute to any potential price volatility of our common stock and exacerbate any effects of the risks discussed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Bitfury Group beneficially owns a significant equity interest in Cipher and may take actions that conflict with your interests.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interests of Bitfury Group may not align with the interests of Cipher and our other stockholders. Bitfury Group is in the business of making investments in companies and may acquire and hold interests in businesses that compete directly or indirectly with us. Bitfury Group and its affiliates may also pursue acquisition opportunities that may be complementary to our business and, as a result, those acquisition opportunities may not be available to us. Our Certificate of Incorporation provides that certain parties or any of their managers, officers, directors, equity holders, members, principals, affiliates and subsidiaries (other than Cipher and its subsidiaries) do not have any fiduciary duty to refrain from engaging, directly or indirectly, in the same or similar business activities or lines of business as Cipher or any of its subsidiaries.</w:t>
      </w:r>
    </w:p>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Exercise of our outstanding warrants for our common stock would increase the number of shares eligible for future resale in the public market and result in dilution to our stockholders.</w:t>
      </w:r>
    </w:p>
    <w:p>
      <w:pPr>
        <w:spacing w:after="0" w:line="11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As of March 4, 2024, we had 8,613,980 outstanding warrants to purchase our common stock, which became exercisable beginning October 19, 2021. The exercise price of these warrants will be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 of our common stock. However, there is no guarantee that the public warrants will be in the money at a given time prior to their expiration, and as such, the warrants may expire worthless. See </w:t>
      </w:r>
      <w:r>
        <w:rPr>
          <w:rFonts w:ascii="Times New Roman" w:cs="Times New Roman" w:eastAsia="Times New Roman" w:hAnsi="Times New Roman"/>
          <w:sz w:val="17"/>
          <w:szCs w:val="17"/>
          <w:i w:val="1"/>
          <w:iCs w:val="1"/>
          <w:color w:val="auto"/>
        </w:rPr>
        <w:t>“—The public warrants may not be in the money at a given time, and they may expire worthless and the terms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 may be amended in a manner adverse to a holder if holders of at least 50% of the then outstanding public warrants approve of such amendment.”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public warrants will ever be in the money, and they may expire worthless.</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52"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exercise price for our public warrants is $11.50 per share of our common stock. There is no guarantee that our public warrants will ever be in the money prior to their expiration, and as such, the warrants may expire worthless.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18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An active trading market for our securities may never develop or, if developed, it may not be sustained. In addition, the price of our securities can vary due to general economic conditions and forecasts, our general business condition and the release of our financial reports.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absence of a liquid public trading market:</w:t>
      </w:r>
    </w:p>
    <w:p>
      <w:pPr>
        <w:spacing w:after="0" w:line="198"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liquidate your investment in shares of our common stock;</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common stock or public warrants may experience significant price volatility;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your purchase and sale orders.</w:t>
      </w:r>
    </w:p>
    <w:p>
      <w:pPr>
        <w:spacing w:after="0" w:line="19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Additionally, if our securities become delisted from the Nasdaq for any reason, and are quoted on the OTC Bulletin Board, an inter-dealer automated quotation system for equity securities that is not a national securities exchange, the liquidity and price of our securities may be more limited than if we were quoted or listed on the Nasdaq or another national securities exchange. You may be unable to sell your securities unless a market can be established or sustained.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and warrants has been and may continue to be volatile.</w:t>
      </w:r>
    </w:p>
    <w:p>
      <w:pPr>
        <w:spacing w:after="0" w:line="18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warrants in spite of our operating performance, which may limit or prevent investors from readily selling their common stock or warrants and may otherwise negatively affect the liquidity of our common stock or warrants. There can be no assurance that the market price of common stock and warrants will not fluctuate widely or decline significantly in the future in response to a number of factors, including, among others, the following:</w:t>
      </w:r>
    </w:p>
    <w:p>
      <w:pPr>
        <w:spacing w:after="0" w:line="155"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laws in the U.S. or foreign jurisdictions relating to our business, or speculation regarding such changes;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or other failures in the supply of cryptocurrency hardware, including chips;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digital assets industries and, specifically the bitcoin mining space;</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of bitcoin and other cryptocurrencies;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or announcements of investigations or regulatory scrutiny of its operations or lawsuits filed against us;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business or management;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51"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84"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84"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public companies following periods of volatility in the market prices of these companies’ stock. Such litigation, if instituted against us, could cause it to incur substantial costs and divert management’s attention and resources from our business.</w:t>
      </w:r>
    </w:p>
    <w:p>
      <w:pPr>
        <w:spacing w:after="0" w:line="13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131"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are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w:t>
      </w:r>
    </w:p>
    <w:p>
      <w:pPr>
        <w:spacing w:after="0" w:line="14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Any failure to develop or maintain effective controls or any difficulties encountered in their implementation or improvement could harm our results of operations or cause us to fail to meet our reporting obligations. Compliance with public company requirements will increase costs and make certain activities more time- consuming and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w:t>
      </w:r>
    </w:p>
    <w:p>
      <w:pPr>
        <w:spacing w:after="0" w:line="14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See “—</w:t>
      </w:r>
      <w:r>
        <w:rPr>
          <w:rFonts w:ascii="Times New Roman" w:cs="Times New Roman" w:eastAsia="Times New Roman" w:hAnsi="Times New Roman"/>
          <w:sz w:val="18"/>
          <w:szCs w:val="18"/>
          <w:i w:val="1"/>
          <w:iCs w:val="1"/>
          <w:color w:val="auto"/>
        </w:rPr>
        <w:t>We have identified a material weakness in our internal control over financial reporting which, if not timely remediated, may adversely affect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accuracy and reliability of our future financial statements, and our reputation, business and the price of our common stock, as well as may lead to a loss of investor confidence in us.”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or otherwise change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(or changing interpretations of them), and this investment may result in increased selling,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We also expect that being a public company and the associated rules and regulations will make it more expensive for us to obtain director and</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5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officer liability insurance, and we may be required to accept reduced coverage or incur substantially higher costs to obtain coverage. These factors could also make it more difficult for us to attract and retain qualified members of the Board, particularly to serve on our audit committee, compensation committee, and nominating and governance committee, and qualified executive officers.</w:t>
      </w:r>
    </w:p>
    <w:p>
      <w:pPr>
        <w:spacing w:after="0" w:line="15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is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 In addition, as a result of our disclosure obligations as a public company, we will have reduced flexibility and will be under pressure to focus on short-term results, which may adversely affect our ability to achieve long-term profitability.</w:t>
      </w:r>
    </w:p>
    <w:p>
      <w:pPr>
        <w:spacing w:after="0" w:line="14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market, or if they change their recommendations regarding our securities adversely, the price and trading volume of our securities could decline.</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Securities and industry analysts do not currently, and may never, publish research on us. If no securities or industry analysts commence coverage of us, our share price and trading volume would likely be negatively impacted. If any of the analysts, who may cover us, change their recommendation regarding our common stock adversely, or provide more favorable relative recommendations about its competitors, the price of our common stock would likely decline. If any analyst who may cover us were to cease coverage of us or fail to regularly publish reports on us, we could lose visibility in the financial markets, which in turn could cause its share price or trading volume to decline.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our stockholders in the public market could cause the market price for our common stock to decline.</w:t>
      </w:r>
    </w:p>
    <w:p>
      <w:pPr>
        <w:spacing w:after="0" w:line="18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13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our common stock reserved for future issuance under the Incentive Award Plan will become eligible for sale in the public market once those shares are issued.</w:t>
      </w:r>
    </w:p>
    <w:p>
      <w:pPr>
        <w:spacing w:after="0" w:line="13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total of approximately 7.0% of the fully diluted shares of our common stock was initially reserved for future issuance under the Incentive Award Plan, which amount was increased by 7,478,382 shares on January 1, 2022, by another 7,426,559 shares on January 1, 2023 and again by another 8,728,736 shares on January 1, 2024, and is subject to increase annually or from time to time in the discretion of our compensation committee. Our compensation committee may determine the exact number of shares to be reserved for future issuance under the Incentive Award Plan at its discretion. On November 17, 2021, we filed a registration statement with the SEC on Form S-8, to register 42,104,588 shares of our common stock that we may issue pursuant to the Incentive Award Plan. This, and any similar registration statements filed on Form S-8 in the future, is automatically effective upon filing. Accordingly, shares registered under such registration statements are available for sale in the open market.</w:t>
      </w:r>
    </w:p>
    <w:p>
      <w:pPr>
        <w:spacing w:after="0" w:line="146"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In the future, we may also issue its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for a price greater than that which you paid for it.</w:t>
      </w:r>
    </w:p>
    <w:p>
      <w:pPr>
        <w:spacing w:after="0" w:line="13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it or its subsidiaries incur. As a result, you may not receive any return on an investment in our common stock unless you sell your shares of common stock for a price greater than that which you paid for it.</w:t>
      </w:r>
    </w:p>
    <w:p>
      <w:pPr>
        <w:spacing w:after="0" w:line="14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our common stock or other equity securities without your approval, which would dilute your ownership interests and may depress the market price of our common stock.</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the Incentive Award Plan, we may issue an aggregate of approximately 7.0% of the fully diluted shares of our common stock, which amount was increased by 7,478,382 shares on January 1, 2022, by another 7,426,559 shares on January 1, 2023, and again by another 8,728,736 shares on January 1, 2024, and will be subject to increase annually or from time to time in the discretion of our compensation committee. For additional information about this plan, please read the discussion under the heading “</w:t>
      </w:r>
      <w:r>
        <w:rPr>
          <w:rFonts w:ascii="Times New Roman" w:cs="Times New Roman" w:eastAsia="Times New Roman" w:hAnsi="Times New Roman"/>
          <w:sz w:val="18"/>
          <w:szCs w:val="18"/>
          <w:i w:val="1"/>
          <w:iCs w:val="1"/>
          <w:color w:val="auto"/>
        </w:rPr>
        <w:t>Executive Compensation—Incentive Award Plan</w:t>
      </w:r>
      <w:r>
        <w:rPr>
          <w:rFonts w:ascii="Times New Roman" w:cs="Times New Roman" w:eastAsia="Times New Roman" w:hAnsi="Times New Roman"/>
          <w:sz w:val="18"/>
          <w:szCs w:val="18"/>
          <w:color w:val="auto"/>
        </w:rPr>
        <w:t>.” In addition, pursuant to an at-the-market offering agreement with Cantor Fitzgerald &amp; Co., Canaccord Genuity LLC, Needham &amp; Company, LLC and Compass Point Research &amp; Trading, LLC, we may, from time to time, sell shares of our common stock having an aggregate offering price of up to $250.0 million in “at-the-market” offerings, which is included in the $500.0 million of securities that may be offered pursuant to our shelf registration statement on Form S-3 that was declared effective on October 6, 2022. For further details,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We may also issue additional shares of our common stock or other equity securities of equal or senior rank in the future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future acquisitions or repayment of outstanding indebtedness, without stockholder approval, in a number of circumstances.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issuance of additional shares or other equity securities of equal or senior rank would have the following effects:</w:t>
      </w:r>
    </w:p>
    <w:p>
      <w:pPr>
        <w:spacing w:after="0" w:line="184"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our common stock may be diminished;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or public warrants may decline.</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under Delaware law could make an acquisition of Cipher, which may be beneficial to our stockholders, more difficult and may prevent attempts by our stockholders to replace or remove our current management.</w:t>
      </w:r>
    </w:p>
    <w:p>
      <w:pPr>
        <w:spacing w:after="0" w:line="13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may delay or prevent an acquisition of Cipher or a change in its management in addition to the significant rights of Bitfury Group as direct and indirect holder of approximately 40% of our common stock, as of March 4, 2024. These provisions may make it more difficult for stockholders to replace or remove members of the Board. Because the Board is responsible for appointing the members of the management team, these provisions could in turn frustrate or prevent any attempt by stockholders to replace or remove the current management. In addition, these provisions could limit the price that investors might be willing to pay in the future for shares of our common stock. Among other things, these provisions include:</w:t>
      </w:r>
    </w:p>
    <w:p>
      <w:pPr>
        <w:spacing w:after="0" w:line="145"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its directors and officers;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except at an annual or special meeting of stockholders;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51"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by written consent; and</w:t>
      </w:r>
    </w:p>
    <w:p>
      <w:pPr>
        <w:spacing w:after="0" w:line="197" w:lineRule="exact"/>
        <w:rPr>
          <w:rFonts w:ascii="Times New Roman" w:cs="Times New Roman" w:eastAsia="Times New Roman" w:hAnsi="Times New Roman"/>
          <w:sz w:val="18"/>
          <w:szCs w:val="18"/>
          <w:color w:val="auto"/>
        </w:rPr>
      </w:pPr>
    </w:p>
    <w:p>
      <w:pPr>
        <w:jc w:val="both"/>
        <w:ind w:left="1020" w:right="380" w:hanging="504"/>
        <w:spacing w:after="0" w:line="26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preferred stock without stockholder approval, which could be used to institute a “poison pill” that would work to dilute the stock ownership of a potential hostile acquirer, effectively preventing acquisitions that have not been approved by the Board.</w:t>
      </w:r>
    </w:p>
    <w:p>
      <w:pPr>
        <w:spacing w:after="0" w:line="13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a person who owns 15% or more of its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its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 For more information, see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and the federal district courts of the United States of America will be the exclusive forums for substantially all disputes between us and our stockholders, which could limit its stockholders’ ability to obtain a favorable judicial forum for disputes with us or our directors, officers or employees.</w:t>
      </w:r>
    </w:p>
    <w:p>
      <w:pPr>
        <w:spacing w:after="0" w:line="147"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122"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or the Governing Documents;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or otherwise related to our internal affairs.</w:t>
      </w:r>
    </w:p>
    <w:p>
      <w:pPr>
        <w:spacing w:after="0" w:line="1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the Certificate of Incorporation further provides that the federal district courts of the United States of America will be the exclusive forum for resolving any complaint asserting a cause of action arising under the Securities Act.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9"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potential disputes with us or our directors, officers or other employees, which may discourage lawsuits against us and our directors, officers and other employees.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02"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8"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36"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84" w:lineRule="exact"/>
        <w:rPr>
          <w:sz w:val="20"/>
          <w:szCs w:val="20"/>
          <w:color w:val="auto"/>
        </w:rPr>
      </w:pPr>
    </w:p>
    <w:p>
      <w:pPr>
        <w:ind w:left="1020" w:right="70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services, and our broader enterprise IT environment;</w:t>
      </w:r>
    </w:p>
    <w:p>
      <w:pPr>
        <w:spacing w:after="0" w:line="135" w:lineRule="exact"/>
        <w:rPr>
          <w:rFonts w:ascii="Times New Roman" w:cs="Times New Roman" w:eastAsia="Times New Roman" w:hAnsi="Times New Roman"/>
          <w:sz w:val="18"/>
          <w:szCs w:val="18"/>
          <w:color w:val="auto"/>
        </w:rPr>
      </w:pPr>
    </w:p>
    <w:p>
      <w:pPr>
        <w:ind w:left="1020" w:right="66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including employees and external third party service providers, who are responsible for managing our cybersecurity risk assessment processes, our security controls, and our response to cybersecurity incidents;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184"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t>
      </w:r>
      <w:r>
        <w:rPr>
          <w:rFonts w:ascii="Times New Roman" w:cs="Times New Roman" w:eastAsia="Times New Roman" w:hAnsi="Times New Roman"/>
          <w:sz w:val="18"/>
          <w:szCs w:val="18"/>
          <w:i w:val="1"/>
          <w:iCs w:val="1"/>
          <w:color w:val="auto"/>
        </w:rPr>
        <w:t>Cyber-attacks, data breaches or malware may disrupt our operations and trigger significant liability for us, which could harm our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and financial condition, and damage our reputation or otherwise materially harm our business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8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5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The Audit Committee receives regular reports from management on our cybersecurity risks. In addition, management updates the Committee, as necessary, regarding any material cybersecurity incidents, as well as any incidents with lesser impact potential.</w:t>
      </w:r>
    </w:p>
    <w:p>
      <w:pPr>
        <w:spacing w:after="0" w:line="13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Board members receive presentations on cybersecurity topics from our Chief Technology Officer (CTO), internal security staff or external experts as part of the Board’s continuing education on topics that impact public companies.</w:t>
      </w:r>
    </w:p>
    <w:p>
      <w:pPr>
        <w:spacing w:after="0" w:line="137"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Our management team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w:t>
      </w:r>
    </w:p>
    <w:p>
      <w:pPr>
        <w:spacing w:after="0" w:line="13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8"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we leased all of our locations, including our executive offices in New York, New York and data center facilities in Odessa, Texas, near Happy, Texas, near Andrews, Texas and in Winkler County, Texas.</w:t>
      </w:r>
    </w:p>
    <w:p>
      <w:pPr>
        <w:spacing w:after="0" w:line="122" w:lineRule="exact"/>
        <w:rPr>
          <w:sz w:val="20"/>
          <w:szCs w:val="20"/>
          <w:color w:val="auto"/>
        </w:rPr>
      </w:pPr>
    </w:p>
    <w:p>
      <w:pPr>
        <w:ind w:right="540" w:firstLine="554"/>
        <w:spacing w:after="0" w:line="281" w:lineRule="auto"/>
        <w:rPr>
          <w:sz w:val="20"/>
          <w:szCs w:val="20"/>
          <w:color w:val="auto"/>
        </w:rPr>
      </w:pPr>
      <w:r>
        <w:rPr>
          <w:rFonts w:ascii="Times New Roman" w:cs="Times New Roman" w:eastAsia="Times New Roman" w:hAnsi="Times New Roman"/>
          <w:sz w:val="18"/>
          <w:szCs w:val="18"/>
          <w:color w:val="auto"/>
        </w:rPr>
        <w:t>Management believes its leased facilities are adequate for the Company’s near-term needs and that should it be needed, suitable additional or alternative space will be available to accommodate our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a party to any material pending legal proceedings.</w:t>
      </w:r>
    </w:p>
    <w:p>
      <w:pPr>
        <w:spacing w:after="0" w:line="18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arising in the ordinary course of business, but we do not believe that any of these claims or proceedings will have a material effect on our business, consolidated financial condition or results of operations. For example, on November 18, 2022, Luminant filed suit against CMTI in the 95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$5.1 million paid to CMTI in September 2022 pursuant to a contractual provision requiring such payment in the parties’ written and executed August 25, 2022 Third Amendment to the Luminant Power Agreement, and (ii) the sum of $1.7 million also paid to CMTI in September 2022, as agreed by the parties, for electrical power sold by Luminant for CMTI’s benefit into the open market prior to the final energization of the Odessa Facility. Luminant contended that such payments were mistaken because, although voluntarily made by Luminant, they were not actually due under the terms of the Luminant Power Agreement, as amended. CMTI filed its answer on January 17, 2023, denying any liability to Luminant. We have not received payment from Luminant for electricity sold in the ERCOT market in September 2022 and October 2022.</w:t>
      </w:r>
    </w:p>
    <w:p>
      <w:pPr>
        <w:spacing w:after="0" w:line="17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We established a $2.0 million accrual for the cost of resolving the claims in the second quarter of 2023, $1.0 million of which has been paid as of December 31, 2023.</w:t>
      </w:r>
    </w:p>
    <w:p>
      <w:pPr>
        <w:spacing w:after="0" w:line="122" w:lineRule="exact"/>
        <w:rPr>
          <w:sz w:val="20"/>
          <w:szCs w:val="20"/>
          <w:color w:val="auto"/>
        </w:rPr>
      </w:pPr>
    </w:p>
    <w:p>
      <w:pPr>
        <w:ind w:right="340" w:firstLine="509"/>
        <w:spacing w:after="0" w:line="312" w:lineRule="auto"/>
        <w:rPr>
          <w:sz w:val="20"/>
          <w:szCs w:val="20"/>
          <w:color w:val="auto"/>
        </w:rPr>
      </w:pPr>
      <w:r>
        <w:rPr>
          <w:rFonts w:ascii="Times New Roman" w:cs="Times New Roman" w:eastAsia="Times New Roman" w:hAnsi="Times New Roman"/>
          <w:sz w:val="17"/>
          <w:szCs w:val="17"/>
          <w:color w:val="auto"/>
        </w:rPr>
        <w:t>On July 11, 2023, CMTI entered into an amendment of the payment schedule to the Luminant Purchase and Sale Agreement, reflecting monthly installments of principal and interest totaling $19.7 million on an undiscounted basis, due over the remaining four-year period starting in July 2023.</w:t>
      </w:r>
    </w:p>
    <w:p>
      <w:pPr>
        <w:spacing w:after="0" w:line="99"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On August 23, 2023, we settled the dispute with Luminant (the “Luminant Settlement”). In connection with the Luminant Settlement, through CMTI, we entered into (i) a Fourth Amendment to the Power Purchase Agreement (the “Amended PPA”) with Luminant, which amended the Luminant Power Agreement and (ii) a Second</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Lease Agreement (the "Amended Lease") with an affiliate of Luminant, which amended the Luminant Lease Agreement.</w:t>
      </w:r>
    </w:p>
    <w:p>
      <w:pPr>
        <w:spacing w:after="0" w:line="19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Amended PPA, among other items, reduces the notice requirements that CMTI must satisfy in connection with changes to its energy consumption at the Odessa Facility and the Amended Lease provides that the initial term of the agreement shall end on July 31,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40" w:right="1239" w:bottom="1440" w:gutter="0" w:footer="0" w:header="0"/>
        </w:sectPr>
      </w:pPr>
    </w:p>
    <w:bookmarkStart w:id="68" w:name="page69"/>
    <w:bookmarkEnd w:id="68"/>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and public warrants are listed and traded on the Nasdaq Stock Exchange under the symbols “CIFR” and “CIFRW,”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2"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As of March 4, 2024, there were 22 holders of record of our common stock and 1 holder of record of our public warrants. Such numbers do not include beneficial owners holding our securities through nominee names. The actual number of stockholders is greater than this number of record holders, and includes stockholders who are beneficial owners but whose shares are held in street name by brokers or other nominees.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the Board and will depend upon, among other factors, our financial condition, operating results, current and anticipated cash needs, plans for expansion and other factors that the Board may deem relevant.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jc w:val="center"/>
        <w:ind w:right="980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6"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1, Item 1A, “Risk Factors” and other factors set forth in other parts of this Annual Report.</w:t>
      </w:r>
    </w:p>
    <w:p>
      <w:pPr>
        <w:spacing w:after="0" w:line="172" w:lineRule="exact"/>
        <w:rPr>
          <w:sz w:val="20"/>
          <w:szCs w:val="20"/>
          <w:color w:val="auto"/>
        </w:rPr>
      </w:pPr>
    </w:p>
    <w:p>
      <w:pPr>
        <w:ind w:right="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are an emerging technology company that develops and operates industrial scale bitcoin mining data centers. Cipher Mining Inc., through itself and its consolidated subsidiaries, including CMTI, currently operates four bitcoin mining data centers in Texas. Bitcoin mining is our principal revenue generating business activity.</w:t>
      </w:r>
    </w:p>
    <w:p>
      <w:pPr>
        <w:spacing w:after="0" w:line="150"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Our current intention is to continue to expand our bitcoin mining business by developing additional data centers, expanding capacity at our current data centers and entering into other arrangements, such as joint ventures or data center hosting agreements.</w:t>
      </w:r>
    </w:p>
    <w:p>
      <w:pPr>
        <w:spacing w:after="0" w:line="122" w:lineRule="exact"/>
        <w:rPr>
          <w:sz w:val="20"/>
          <w:szCs w:val="20"/>
          <w:color w:val="auto"/>
        </w:rPr>
      </w:pPr>
    </w:p>
    <w:p>
      <w:pPr>
        <w:ind w:right="480" w:firstLine="509"/>
        <w:spacing w:after="0" w:line="288" w:lineRule="auto"/>
        <w:rPr>
          <w:sz w:val="20"/>
          <w:szCs w:val="20"/>
          <w:color w:val="auto"/>
        </w:rPr>
      </w:pPr>
      <w:r>
        <w:rPr>
          <w:rFonts w:ascii="Times New Roman" w:cs="Times New Roman" w:eastAsia="Times New Roman" w:hAnsi="Times New Roman"/>
          <w:sz w:val="17"/>
          <w:szCs w:val="17"/>
          <w:color w:val="auto"/>
        </w:rPr>
        <w:t>Our key mission is to expand and strengthen the Bitcoin network’s critical infrastructure. As of February 29, 2024, we operated approximately 80,000 miners, with an aggregate hashrate capacity of approximately 8.4 EH/s, deploying approximately 267 MW of electricity, of which we owned approximately 70,000 miners, with an aggregate hashrate capacity of approximately 7.4 EH/s, deploying approximately 236 MW of electricity.</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currently operate four bitcoin mining data centers in Texas, including one wholly-owned and three partially-owned data centers acquired through investments in joint ventures. Our largest data center is the Odessa Facility which is our wholly-owned 207 MW facility located in Odessa, Texas. We also operate our Alborz, Bear and Chief facilities in different sites across Texas pursuant to a joint venture with WindHQ where we have a 49% membership interest in each facility. Our fifth data center, which is wholly-owned, is expected to commence operations in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8"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These factors also pose risks and challenges, including those discussed in Part I, Item 1A. “Risk Factors” of this Annual Report.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 Value of Bitcoin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Our revenues comprise a combination of: (i) block rewards in bitcoin, which are fixed rewards programmed into the bitcoin software that are awarded to a miner or a group of miners for solving the cryptographic problem required to create a new block on a given blockchain and (ii) transaction fees in bitcoin, which are flexible fees earned for verifying transactions in support of the blockchain. For further details, see “</w:t>
      </w:r>
      <w:r>
        <w:rPr>
          <w:rFonts w:ascii="Times New Roman" w:cs="Times New Roman" w:eastAsia="Times New Roman" w:hAnsi="Times New Roman"/>
          <w:sz w:val="18"/>
          <w:szCs w:val="18"/>
          <w:i w:val="1"/>
          <w:iCs w:val="1"/>
          <w:color w:val="auto"/>
        </w:rPr>
        <w:t>Business—Revenue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revenues are directly impacted by changes in the market value of bitcoin. For example, the average bitcoin price for 2021 and 2022 was $47,385 and $16,526, respectively. Bitcoin price generally increased throughout 2023. As at December 31, 2023, the price of bitcoin was $42,288. Furthermore, block rewards are fixed and the Bitcoin network is designed to periodically reduce them through halving. Currently the block rewards are fixed at 6.25 bitcoin per block, and it is estimated that it will halve again to 3.125 bitcoin per block in April 2024. The halving events happen without any regard to ongoing demand, meaning that if the ongoing demand remains the same after a halving event, whatever demand was being met by new supply will be restricted, which may necessitate an adjustment of the price of bitcoin, though there is no definitive evidence of a causal link between bitcoin’s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0" w:name="page71"/>
    <w:bookmarkEnd w:id="70"/>
    <w:p>
      <w:pPr>
        <w:spacing w:after="0" w:line="15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programmatic decrease in supply and broadening demand. Once the halving occurs, we expect that it could have a negative impact on our revenues as the reward for each bitcoin mined will be reduced.</w:t>
      </w:r>
    </w:p>
    <w:p>
      <w:pPr>
        <w:spacing w:after="0" w:line="13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confirmation fees, because miners have a very low marginal cost of validating unconfirmed transactions; however, unlike the fixed block rewards, transaction fees may vary, depending on the consensus set within the network.</w:t>
      </w:r>
    </w:p>
    <w:p>
      <w:pPr>
        <w:spacing w:after="0" w:line="141"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As the use of the Bitcoin network expands and the total number of bitcoin available to mine and, thus, the block rewards, declines over time, we expect the mining incentive structure to transition to a higher reliance on transaction confirmation fees, and the transaction fees to become a larger proportion of the revenues to miners.</w:t>
      </w:r>
    </w:p>
    <w:p>
      <w:pPr>
        <w:spacing w:after="0" w:line="13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have expenses denominated primarily in United States dollars. As such, we are likely to need to sell a portion of the bitcoin we mine to generate dollars to meet expenses. This means the market value of bitcoin will always be a significant factor affecting our results of operations.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Capacity and Efficiency of Mining Machines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Because the number of bitcoin mined is directly related to the size and efficiency of a bitcoin mining company’s fleet of miners, we believe miners need to deploy increasingly sophisticated miners in ever greater quantities to remain competitive. To remain competitive, we will need to increase our hashing power to maintain market share as the overall hashrate and difficulty of the Bitcoin network increases.</w:t>
      </w:r>
    </w:p>
    <w:p>
      <w:pPr>
        <w:spacing w:after="0" w:line="13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commitment to cost and mining efficiency remains our competitive advantage. The majority of our capital expenditures have been directed towards the latest models of mining machines and technology featuring industry-leading capacity, speed and efficiency. We believe that we operate one of the most efficient mining rig fleets in the global market. In some periods, the industry has experienced, and we expect may experience again in the future, a scarcity of advanced mining rigs. We believe that to maintain our competitive advantage over the long term, we must develop and maintain strong relationships across the mining rig supply chain, and strategically invest in state-of-the art miners at attractive prices, while effectively managing our fleet as it ages along the obsolescence curve.</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All of our miners are housed in air-cooled containers and we do not currently have any immersion miners. This means we cannot increase the clock rate to speed up performance of, or “over-clock,” our miners, and it is possible that our miners will experience greater wear-and-tear due to environmental factors, including temperature changes and dust, than might other miners housed in immersion cooling containers. See “</w:t>
      </w:r>
      <w:r>
        <w:rPr>
          <w:rFonts w:ascii="Times New Roman" w:cs="Times New Roman" w:eastAsia="Times New Roman" w:hAnsi="Times New Roman"/>
          <w:sz w:val="18"/>
          <w:szCs w:val="18"/>
          <w:i w:val="1"/>
          <w:iCs w:val="1"/>
          <w:color w:val="auto"/>
        </w:rPr>
        <w:t>Risk Factors—Risks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Industry and Operations—Bitcoin miners and other necessary hardware are subject to malfunction, technological obsolescence and physical degradation.”</w:t>
      </w:r>
    </w:p>
    <w:p>
      <w:pPr>
        <w:spacing w:after="0" w:line="14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Additionally, our strategy involves curtailing our mining operations, meaning we turn the miners on and off, for a variety of contractual, economic, weather related, business or other reasons. We do not know how that cycling on and off process will affect the efficiency of our miners over time or whether they will age faster than machines that are not turned on and off as frequently. See “</w:t>
      </w:r>
      <w:r>
        <w:rPr>
          <w:rFonts w:ascii="Times New Roman" w:cs="Times New Roman" w:eastAsia="Times New Roman" w:hAnsi="Times New Roman"/>
          <w:sz w:val="18"/>
          <w:szCs w:val="18"/>
          <w:i w:val="1"/>
          <w:iCs w:val="1"/>
          <w:color w:val="auto"/>
        </w:rPr>
        <w:t>Risk Factors—Risks Related to Our Business, Industry and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miners and other necessary hardware are subject to malfunction, technological obsolescence and physical degradation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and Source of Power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Mining bitcoin is a highly power-intensive process, with large amounts of electrical power required to operate the mining rigs. We believe that cost efficiency, and particularly, maintaining cost of power efficiency in bitcoin mining over the long term, will be necessary for success. We currently have a portfolio of competitively priced electrical power. However, there is no guarantee that we will be able to negotiate additional power agreements on similar terms, or at all. See “</w:t>
      </w:r>
      <w:r>
        <w:rPr>
          <w:rFonts w:ascii="Times New Roman" w:cs="Times New Roman" w:eastAsia="Times New Roman" w:hAnsi="Times New Roman"/>
          <w:sz w:val="18"/>
          <w:szCs w:val="18"/>
          <w:i w:val="1"/>
          <w:iCs w:val="1"/>
          <w:color w:val="auto"/>
        </w:rPr>
        <w:t>Risk Factors—Risks Related to Our Business, Industry and Operations—We may be affected by price fluctuations in the wholesale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retail power markets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Related to Bitcoin Mining—We may not adequately respond to price fluctuations and rapidly changing technology, which may negatively affect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our business</w:t>
      </w:r>
      <w:r>
        <w:rPr>
          <w:rFonts w:ascii="Times New Roman" w:cs="Times New Roman" w:eastAsia="Times New Roman" w:hAnsi="Times New Roman"/>
          <w:sz w:val="18"/>
          <w:szCs w:val="18"/>
          <w:color w:val="auto"/>
        </w:rPr>
        <w:t>.” Our four data centers are all located in west Texas and the Texas Panhandle, which are areas that we believe have site development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access to competitively priced electrical power, whether through grid connection, through solar and wind generation facilities, or otherwise. Where we can, we anticipate that we will, either directly, or through our power providers, participate in demand response programs offered by ERCOT. We believe these strategic investments will generate long-term returns in the form of controlled access to low cost, responsible sources of power and differentiate us from our competitors. However, after the initial terms of our current power purchase arrangements end, we may not be able to secure similarly competitively priced access to the electrical power needed for out data centers to mine bitcoin profitably.</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Competition and Network Hashrate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business environment is constantly evolving, and bitcoin miners can range from individual enthusiasts to professional mining operations with dedicated mining facilities. We compete with other companies that focus all or a portion of their activities on mining activities at scale. In the past few years there have been many new entrants and existing competitors in the space and a general increase in the competition for industrial scale bitcoin mining companies.</w:t>
      </w:r>
    </w:p>
    <w:p>
      <w:pPr>
        <w:spacing w:after="0" w:line="14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number of bitcoin we are able to mine depends on the size of our share of the total network hashrate. It is very difficult to predict changes in network hashrate. To the extent that we are unable to maintain our market share, or in other words, to the extent that the relative portion our network hashrate represents as compared to the total network hashrate decreases, we may mine fewer bitcoin than anticipated and the results of our operations may suffer. See “</w:t>
      </w:r>
      <w:r>
        <w:rPr>
          <w:rFonts w:ascii="Times New Roman" w:cs="Times New Roman" w:eastAsia="Times New Roman" w:hAnsi="Times New Roman"/>
          <w:sz w:val="18"/>
          <w:szCs w:val="18"/>
          <w:i w:val="1"/>
          <w:iCs w:val="1"/>
          <w:color w:val="auto"/>
        </w:rPr>
        <w:t>Risk Factors — Risks Related to Our Business, Industry and Operations — We operate in a highly competitive industry and we compete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that operate in less regulated environments as well as companies with 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Global Supply Chain Constraints.</w:t>
      </w:r>
    </w:p>
    <w:p>
      <w:pPr>
        <w:spacing w:after="0" w:line="1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operations of our facilities, including the development of the Black Pearl Facility and our other expansion plans, require specialized equipment, large quantities of construction materials and other component parts that can be difficult to source. We may experience disruptions to our business operations resulting from delays in construction and obtaining necessary equipment in a timely fashion due to global supply chain delays caused by geopolitical unrest, global pandemics like COVID-19 or other factors. Global supply logistics have caused delays across all channels of distribution, and we have also experienced delays in certain of our miner delivery schedules. Additionally, the global supply chain for data center construction equipment, such as transformers and substations, is presently further constrained due to unprecedented demand. Based on our current assessments, we do not expect any material impact on long-term development, operations, or liquidity. However, we continue to monitor developments in the global supply chain and assess their potential impact on our operations and expansion plans. For further discussion, see “</w:t>
      </w:r>
      <w:r>
        <w:rPr>
          <w:rFonts w:ascii="Times New Roman" w:cs="Times New Roman" w:eastAsia="Times New Roman" w:hAnsi="Times New Roman"/>
          <w:sz w:val="18"/>
          <w:szCs w:val="18"/>
          <w:i w:val="1"/>
          <w:iCs w:val="1"/>
          <w:color w:val="auto"/>
        </w:rPr>
        <w:t>Risk Factors — Risks Related to Our Business, Industry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We are exposed to risks related to disruptions or other failures in the supply chain for bitcoin mining hardware and related data center hardware, and difficulties in obtaining new hardware.</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w:t>
      </w:r>
    </w:p>
    <w:p>
      <w:pPr>
        <w:spacing w:after="0" w:line="20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operate in a complex and rapidly evolving regulatory environment and we are subject to a wide range of laws and regulations enacted by U.S. federal, state and local governments, governmental agencies and regulatory authorities, including the SEC, the Commodity Futures Trading Commission, the Federal Trade Commission and the Financial Crimes Enforcement Network of the U.S. Department of the Treasury, as well as similar entities in other countries. Other regulatory bodies, governmental or semi-governmental, have shown an interest in regulating or investigating companies engaged in the blockchain or cryptocurrency businesses.</w:t>
      </w:r>
    </w:p>
    <w:p>
      <w:pPr>
        <w:spacing w:after="0" w:line="14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Recently, 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It is unclear how the approval of spot bitcoin ETPs will affect the price of bitcoin going forward. Regulations may substantially change in the future and it is presently not possible to know how regulations will apply to our businesses, or when they will be effective. As the regulatory and legal environment evolves, we may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become subject to new laws and further regulation by the SEC and other agencies, which may affect our mining and other activities. For instance, various bills have been proposed in the U.S. Congress related to our business, which may be adopted and have an impact on us. Additionally, governmental agencies and regulatory authorities, such as the SEC, the Commodity Futures Trading Commission, the Federal Trade Commission and the Financial Crimes Enforcement Network of the U.S. Department of the Treasury, may also enact regulations related to our business, which may have an impact on us. For additional discussion regarding our belief about the potential risks existing and future regulation pose to our business, see “</w:t>
      </w:r>
      <w:r>
        <w:rPr>
          <w:rFonts w:ascii="Times New Roman" w:cs="Times New Roman" w:eastAsia="Times New Roman" w:hAnsi="Times New Roman"/>
          <w:sz w:val="18"/>
          <w:szCs w:val="18"/>
          <w:i w:val="1"/>
          <w:iCs w:val="1"/>
          <w:color w:val="auto"/>
        </w:rPr>
        <w:t>Risk Factors—Risks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Regulatory Framework.</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right="380" w:firstLine="509"/>
        <w:spacing w:after="0" w:line="283" w:lineRule="auto"/>
        <w:rPr>
          <w:sz w:val="20"/>
          <w:szCs w:val="20"/>
          <w:color w:val="auto"/>
        </w:rPr>
      </w:pPr>
      <w:r>
        <w:rPr>
          <w:rFonts w:ascii="Times New Roman" w:cs="Times New Roman" w:eastAsia="Times New Roman" w:hAnsi="Times New Roman"/>
          <w:sz w:val="18"/>
          <w:szCs w:val="18"/>
          <w:color w:val="auto"/>
        </w:rPr>
        <w:t>Furthermore, because we may strategically expand our operations,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Strategy— Retain flexibility in considering strategically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adjacent opportunities complimentary to our business model,</w:t>
      </w:r>
      <w:r>
        <w:rPr>
          <w:rFonts w:ascii="Times New Roman" w:cs="Times New Roman" w:eastAsia="Times New Roman" w:hAnsi="Times New Roman"/>
          <w:sz w:val="18"/>
          <w:szCs w:val="18"/>
          <w:color w:val="auto"/>
        </w:rPr>
        <w:t>” we may become subject to additional regulatory requirements.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Mining Results</w:t>
      </w:r>
    </w:p>
    <w:p>
      <w:pPr>
        <w:spacing w:after="0" w:line="188"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mining activities, including bitcoin production and sales of bitcoin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0" w:type="dxa"/>
            <w:vAlign w:val="bottom"/>
          </w:tcPr>
          <w:p>
            <w:pPr>
              <w:spacing w:after="0"/>
              <w:rPr>
                <w:sz w:val="21"/>
                <w:szCs w:val="21"/>
                <w:color w:val="auto"/>
              </w:rPr>
            </w:pPr>
          </w:p>
        </w:tc>
        <w:tc>
          <w:tcPr>
            <w:tcW w:w="14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56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r>
      <w:tr>
        <w:trPr>
          <w:trHeight w:val="243"/>
        </w:trPr>
        <w:tc>
          <w:tcPr>
            <w:tcW w:w="82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60" w:type="dxa"/>
            <w:vAlign w:val="bottom"/>
            <w:shd w:val="clear" w:color="auto" w:fill="CCECFF"/>
          </w:tcPr>
          <w:p>
            <w:pPr>
              <w:spacing w:after="0"/>
              <w:rPr>
                <w:sz w:val="21"/>
                <w:szCs w:val="21"/>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CFF"/>
          </w:tcPr>
          <w:p>
            <w:pPr>
              <w:spacing w:after="0"/>
              <w:rPr>
                <w:sz w:val="21"/>
                <w:szCs w:val="21"/>
                <w:color w:val="auto"/>
              </w:rPr>
            </w:pPr>
          </w:p>
        </w:tc>
      </w:tr>
      <w:tr>
        <w:trPr>
          <w:trHeight w:val="238"/>
        </w:trPr>
        <w:tc>
          <w:tcPr>
            <w:tcW w:w="8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Cumulative effect upon adoption of ASU 2023-08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r>
      <w:tr>
        <w:trPr>
          <w:trHeight w:val="247"/>
        </w:trPr>
        <w:tc>
          <w:tcPr>
            <w:tcW w:w="822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CFF"/>
          </w:tcPr>
          <w:p>
            <w:pPr>
              <w:spacing w:after="0"/>
              <w:rPr>
                <w:sz w:val="21"/>
                <w:szCs w:val="21"/>
                <w:color w:val="auto"/>
              </w:rPr>
            </w:pPr>
          </w:p>
        </w:tc>
      </w:tr>
      <w:tr>
        <w:trPr>
          <w:trHeight w:val="238"/>
        </w:trPr>
        <w:tc>
          <w:tcPr>
            <w:tcW w:w="8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 recognized from bitcoin mined, net of receivable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w:t>
            </w:r>
          </w:p>
        </w:tc>
        <w:tc>
          <w:tcPr>
            <w:tcW w:w="100" w:type="dxa"/>
            <w:vAlign w:val="bottom"/>
          </w:tcPr>
          <w:p>
            <w:pPr>
              <w:spacing w:after="0"/>
              <w:rPr>
                <w:sz w:val="20"/>
                <w:szCs w:val="20"/>
                <w:color w:val="auto"/>
              </w:rPr>
            </w:pPr>
          </w:p>
        </w:tc>
      </w:tr>
      <w:tr>
        <w:trPr>
          <w:trHeight w:val="247"/>
        </w:trPr>
        <w:tc>
          <w:tcPr>
            <w:tcW w:w="822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102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(3,957 )</w:t>
            </w:r>
          </w:p>
        </w:tc>
        <w:tc>
          <w:tcPr>
            <w:tcW w:w="340" w:type="dxa"/>
            <w:vAlign w:val="bottom"/>
            <w:shd w:val="clear" w:color="auto" w:fill="CCECFF"/>
          </w:tcPr>
          <w:p>
            <w:pPr>
              <w:spacing w:after="0"/>
              <w:rPr>
                <w:sz w:val="21"/>
                <w:szCs w:val="21"/>
                <w:color w:val="auto"/>
              </w:rPr>
            </w:pPr>
          </w:p>
        </w:tc>
        <w:tc>
          <w:tcPr>
            <w:tcW w:w="1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(111,188 )</w:t>
            </w:r>
          </w:p>
        </w:tc>
      </w:tr>
      <w:tr>
        <w:trPr>
          <w:trHeight w:val="243"/>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bitcoin</w:t>
            </w:r>
          </w:p>
        </w:tc>
        <w:tc>
          <w:tcPr>
            <w:tcW w:w="1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21"/>
                <w:szCs w:val="21"/>
                <w:color w:val="auto"/>
              </w:rPr>
            </w:pPr>
          </w:p>
        </w:tc>
      </w:tr>
      <w:tr>
        <w:trPr>
          <w:trHeight w:val="276"/>
        </w:trPr>
        <w:tc>
          <w:tcPr>
            <w:tcW w:w="6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20" w:type="dxa"/>
            <w:vAlign w:val="bottom"/>
            <w:tcBorders>
              <w:bottom w:val="single" w:sz="8" w:color="auto"/>
            </w:tcBorders>
            <w:shd w:val="clear" w:color="auto" w:fill="CCECFF"/>
          </w:tcPr>
          <w:p>
            <w:pPr>
              <w:spacing w:after="0"/>
              <w:rPr>
                <w:sz w:val="24"/>
                <w:szCs w:val="2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6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revenue consists of bitcoin earned through mining activities at the Odessa Facility. We currently participate in third-party mining pools, including Foundry and Luxor, to mine bitcoin. The provision of computing power in accordance with the mining pool operator’s terms of service is the only performance obligation in our contract with the mining pool operator. We are entitled to a fractional share of the fixed cryptocurrency award from the mining pool operator (referred to as a “block reward”) and potentially transaction fees generated from blockchain users and distributed to individual miners by the mining pool operator.</w:t>
      </w:r>
    </w:p>
    <w:p>
      <w:pPr>
        <w:spacing w:after="0" w:line="15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fractional share of the block reward is based on the proportion of computing power we contributed to the mining pool operator to the total computing power contributed by all mining pool participants in solving the current algorithm, over the contract term. The block reward is pre-determined and hard coded into the protocol governing the relevant blockchain. Our proportionate share of transaction fees is based on our </w:t>
      </w:r>
      <w:r>
        <w:rPr>
          <w:rFonts w:ascii="Times New Roman" w:cs="Times New Roman" w:eastAsia="Times New Roman" w:hAnsi="Times New Roman"/>
          <w:sz w:val="18"/>
          <w:szCs w:val="18"/>
          <w:color w:val="231F20"/>
        </w:rPr>
        <w:t>contributed share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hashrate as a percentage of total network hashrate during the contract term. The </w:t>
      </w:r>
      <w:r>
        <w:rPr>
          <w:rFonts w:ascii="Times New Roman" w:cs="Times New Roman" w:eastAsia="Times New Roman" w:hAnsi="Times New Roman"/>
          <w:sz w:val="18"/>
          <w:szCs w:val="18"/>
          <w:color w:val="000000"/>
        </w:rPr>
        <w:t>transaction fees are the aggregate fees paid by parties whose transactions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are included in the block. </w:t>
      </w:r>
      <w:r>
        <w:rPr>
          <w:rFonts w:ascii="Times New Roman" w:cs="Times New Roman" w:eastAsia="Times New Roman" w:hAnsi="Times New Roman"/>
          <w:sz w:val="18"/>
          <w:szCs w:val="18"/>
          <w:color w:val="231F20"/>
        </w:rPr>
        <w:t>Bitcoin earned is</w:t>
      </w:r>
      <w:r>
        <w:rPr>
          <w:rFonts w:ascii="Times New Roman" w:cs="Times New Roman" w:eastAsia="Times New Roman" w:hAnsi="Times New Roman"/>
          <w:sz w:val="18"/>
          <w:szCs w:val="18"/>
          <w:color w:val="000000"/>
        </w:rPr>
        <w:t xml:space="preserve"> measured at fair value at contract inception and is recognized in revenue over the contract term as hashrate is provided.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8"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Cost of revenue consists primarily of direct production costs of bitcoin mining operations, consisting mainly of electricity expenses, as well as other facilities costs associated with our wholly-owned Odessa Facility, but excludes depreciation which is separately stated.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8"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represent salary and other employee costs including stock-based compensation, insurance expense, rent expense for non-mining locations, professional fees, including accounting and audit, consulting, legal, public relations and/or investor relations expenses, non-income taxes and licenses,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5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travel, and other expenses. We expect our administrative fees to remain high as we incur the ongoing costs of operating as a public company, including increased director and officer insurance costs, potential increases in the number of employees at the Company, and increased travel and conference participation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depreciation expense consists mainly of depreciation for our miners and mining equipment, as well as depreciation associated with leasehold improvements and other capitalized assets associated with the Odessa Facility. It also includes an immaterial amount of depreciation for other property and equipment not directly associated with our mining activities. We capitalize the cost of our mining machines and record depreciation expense on a straight-line basis over the estimated useful life of the machines, which is generally 5 years. Leasehold improvements include capitalized asset retirement costs, which are amortized over the estimated useful life of the related asset. All other leasehold improvements are depreciated over the lesser of the estimated useful life of the asset or the remaining life of the related lease.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asset and power sales</w:t>
      </w:r>
    </w:p>
    <w:p>
      <w:pPr>
        <w:spacing w:after="0" w:line="202"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change in fair value of derivative asset primarily represents the initial fair value recorded for the derivative asset related to the Luminant Power Agreement on July 1, 2022, and includes the subsequent changes in fair value recorded during the reporting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losses of equity investees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Equity in losses of equity investees includes our share of the losses recorded by Alborz LLC, Bear LLC and Chief LLC. Additionally, it includes the losses that we recognized upon our contributions of miners to these equity investees, due to the miners having a lower fair value at the time of the contributions than our costs paid to obtain them, which resulted in basis differences between the cost of the investments on our consolidated balance sheet and the amount of our underlying equity in the net assets of the investee attributed to the miners. We are accreting these basis differences and recognizing the accretion as a reduction to our share of the losses recognized by Alborz LLC, Bear LLC and Chief LLC within the equity in losses of equity investees on the consolidated statement of operations over the depreciation period for the miners.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bitcoin and realized gain/loss on sale of bitcoin</w:t>
      </w:r>
    </w:p>
    <w:p>
      <w:pPr>
        <w:spacing w:after="0" w:line="18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During 2023, we mined bitcoin and received bitcoin as distributions-in-kind from our equity investees, Alborz LLC, Bear LLC and Chief LLC. All of our bitcoin is recorded as a current asset on our consolidated balance sheet as we expect to begin regularly exchanging our bitcoin held for fiat currency to fund our operating expenses. We adopted of ASU 2023-08 effective January 1, 2023, which requires cryptocurrencies to be measured at fair value each reporting period with changes in fair value being reported in net income. Prior to adoption of this ASU, our bitcoin were accounted for as intangible assets with indefinite useful lives, and as such assessed for impairment on a daily basis. Impairment was recognized when the carrying amount of bitcoin exceeded its fair value, which was determined based on the lowest daily trading price of bitcoin based on quoted prices on the active trading platform that management has determined is our principal market for bitcoin.</w:t>
      </w:r>
    </w:p>
    <w:p>
      <w:pPr>
        <w:spacing w:after="0" w:line="14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fair value of bitcoin has been highly volatile since we began to obtain bitcoin through our operating activities, which has impacted our operating results and we expect volatility in the fair value of bitcoin to continue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8"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Our provision for income taxes primarily consists of U.S. deferred federal taxes. A valuation allowance is recorded against substantially all of our net deferred tax assets, which are composed primarily of federal and state net operating loss carryforwards, stock-based compensation, non-goodwill intangibles, investments in joint ventures and lease liabilities; in addition, we have deferred tax liabilities resulting from our derivative and right-to-use assets. Our ability to offset our deferred tax liabilities with our deferred tax assets is limited due to restrictions on the ability to offset taxable income by more than eighty percent with federal net operating losses. As a result, we have recorded a deferred tax liability for the amount of future taxable income that is not expected to be covered by net operating</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5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 xml:space="preserve">losses. We evaluate our ability to recognize our deferred tax assets annually by considering all positive and negative evidence available as proscribed by the Financial Accounting Standards Board (“FASB”) under its general principles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2023 and the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6"/>
        </w:trPr>
        <w:tc>
          <w:tcPr>
            <w:tcW w:w="68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1180" w:type="dxa"/>
            <w:vAlign w:val="bottom"/>
            <w:tcBorders>
              <w:bottom w:val="single" w:sz="8" w:color="auto"/>
            </w:tcBorders>
            <w:shd w:val="clear" w:color="auto" w:fill="CCEC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126,842</w:t>
            </w:r>
          </w:p>
        </w:tc>
        <w:tc>
          <w:tcPr>
            <w:tcW w:w="460" w:type="dxa"/>
            <w:vAlign w:val="bottom"/>
            <w:tcBorders>
              <w:bottom w:val="single" w:sz="8" w:color="CCECFF"/>
            </w:tcBorders>
            <w:shd w:val="clear" w:color="auto" w:fill="CCECFF"/>
          </w:tcPr>
          <w:p>
            <w:pPr>
              <w:spacing w:after="0"/>
              <w:rPr>
                <w:sz w:val="19"/>
                <w:szCs w:val="19"/>
                <w:color w:val="auto"/>
              </w:rPr>
            </w:pPr>
          </w:p>
        </w:tc>
        <w:tc>
          <w:tcPr>
            <w:tcW w:w="720" w:type="dxa"/>
            <w:vAlign w:val="bottom"/>
            <w:tcBorders>
              <w:bottom w:val="single" w:sz="8" w:color="auto"/>
            </w:tcBorders>
            <w:shd w:val="clear" w:color="auto" w:fill="CCEC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118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50,309</w:t>
            </w:r>
          </w:p>
        </w:tc>
        <w:tc>
          <w:tcPr>
            <w:tcW w:w="46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CFF"/>
          </w:tcPr>
          <w:p>
            <w:pPr>
              <w:spacing w:after="0"/>
              <w:rPr>
                <w:sz w:val="20"/>
                <w:szCs w:val="20"/>
                <w:color w:val="auto"/>
              </w:rPr>
            </w:pP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85,195</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70,836</w:t>
            </w:r>
          </w:p>
        </w:tc>
        <w:tc>
          <w:tcPr>
            <w:tcW w:w="100" w:type="dxa"/>
            <w:vAlign w:val="bottom"/>
          </w:tcPr>
          <w:p>
            <w:pPr>
              <w:spacing w:after="0"/>
              <w:rPr>
                <w:sz w:val="19"/>
                <w:szCs w:val="19"/>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8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59,093</w:t>
            </w:r>
          </w:p>
        </w:tc>
        <w:tc>
          <w:tcPr>
            <w:tcW w:w="46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100" w:type="dxa"/>
            <w:vAlign w:val="bottom"/>
            <w:shd w:val="clear" w:color="auto" w:fill="CCECFF"/>
          </w:tcPr>
          <w:p>
            <w:pPr>
              <w:spacing w:after="0"/>
              <w:rPr>
                <w:sz w:val="20"/>
                <w:szCs w:val="20"/>
                <w:color w:val="auto"/>
              </w:rPr>
            </w:pP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1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(26,836 )</w:t>
            </w:r>
          </w:p>
        </w:tc>
        <w:tc>
          <w:tcPr>
            <w:tcW w:w="7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(73,479 )</w:t>
            </w: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118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(9,941 )</w:t>
            </w:r>
          </w:p>
        </w:tc>
        <w:tc>
          <w:tcPr>
            <w:tcW w:w="720" w:type="dxa"/>
            <w:vAlign w:val="bottom"/>
            <w:shd w:val="clear" w:color="auto" w:fill="CCECFF"/>
          </w:tcPr>
          <w:p>
            <w:pPr>
              <w:spacing w:after="0"/>
              <w:rPr>
                <w:sz w:val="20"/>
                <w:szCs w:val="20"/>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(458 )</w:t>
            </w: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36,972</w:t>
            </w:r>
          </w:p>
        </w:tc>
        <w:tc>
          <w:tcPr>
            <w:tcW w:w="100" w:type="dxa"/>
            <w:vAlign w:val="bottom"/>
          </w:tcPr>
          <w:p>
            <w:pPr>
              <w:spacing w:after="0"/>
              <w:rPr>
                <w:sz w:val="19"/>
                <w:szCs w:val="19"/>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Gains on fair value of bitcoin</w:t>
            </w:r>
          </w:p>
        </w:tc>
        <w:tc>
          <w:tcPr>
            <w:tcW w:w="118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(11,038 )</w:t>
            </w:r>
          </w:p>
        </w:tc>
        <w:tc>
          <w:tcPr>
            <w:tcW w:w="720" w:type="dxa"/>
            <w:vAlign w:val="bottom"/>
            <w:shd w:val="clear" w:color="auto" w:fill="CCECFF"/>
          </w:tcPr>
          <w:p>
            <w:pPr>
              <w:spacing w:after="0"/>
              <w:rPr>
                <w:sz w:val="20"/>
                <w:szCs w:val="20"/>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Pr>
          <w:p>
            <w:pPr>
              <w:spacing w:after="0"/>
              <w:rPr>
                <w:sz w:val="19"/>
                <w:szCs w:val="19"/>
                <w:color w:val="auto"/>
              </w:rPr>
            </w:pPr>
          </w:p>
        </w:tc>
      </w:tr>
      <w:tr>
        <w:trPr>
          <w:trHeight w:val="236"/>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118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(2,355 )</w:t>
            </w:r>
          </w:p>
        </w:tc>
        <w:tc>
          <w:tcPr>
            <w:tcW w:w="7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3"/>
        </w:trPr>
        <w:tc>
          <w:tcPr>
            <w:tcW w:w="6860" w:type="dxa"/>
            <w:vAlign w:val="bottom"/>
            <w:tcBorders>
              <w:top w:val="single" w:sz="8" w:color="CCECFF"/>
            </w:tcBorders>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146,957</w:t>
            </w:r>
          </w:p>
        </w:tc>
        <w:tc>
          <w:tcPr>
            <w:tcW w:w="460" w:type="dxa"/>
            <w:vAlign w:val="bottom"/>
            <w:tcBorders>
              <w:top w:val="single" w:sz="8" w:color="CCEC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40,458</w:t>
            </w:r>
          </w:p>
        </w:tc>
        <w:tc>
          <w:tcPr>
            <w:tcW w:w="100" w:type="dxa"/>
            <w:vAlign w:val="bottom"/>
            <w:tcBorders>
              <w:top w:val="single" w:sz="8" w:color="CCECFF"/>
            </w:tcBorders>
          </w:tcPr>
          <w:p>
            <w:pPr>
              <w:spacing w:after="0"/>
              <w:rPr>
                <w:sz w:val="19"/>
                <w:szCs w:val="19"/>
                <w:color w:val="auto"/>
              </w:rPr>
            </w:pPr>
          </w:p>
        </w:tc>
      </w:tr>
      <w:tr>
        <w:trPr>
          <w:trHeight w:val="22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loss</w:t>
            </w:r>
          </w:p>
        </w:tc>
        <w:tc>
          <w:tcPr>
            <w:tcW w:w="118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(20,115 )</w:t>
            </w:r>
          </w:p>
        </w:tc>
        <w:tc>
          <w:tcPr>
            <w:tcW w:w="720" w:type="dxa"/>
            <w:vAlign w:val="bottom"/>
            <w:shd w:val="clear" w:color="auto" w:fill="CCECFF"/>
          </w:tcPr>
          <w:p>
            <w:pPr>
              <w:spacing w:after="0"/>
              <w:rPr>
                <w:sz w:val="19"/>
                <w:szCs w:val="19"/>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(37,421 )</w:t>
            </w:r>
          </w:p>
        </w:tc>
      </w:tr>
      <w:tr>
        <w:trPr>
          <w:trHeight w:val="216"/>
        </w:trPr>
        <w:tc>
          <w:tcPr>
            <w:tcW w:w="686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Borders>
              <w:top w:val="single" w:sz="8" w:color="CCEC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118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46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CFF"/>
          </w:tcPr>
          <w:p>
            <w:pPr>
              <w:spacing w:after="0"/>
              <w:rPr>
                <w:sz w:val="20"/>
                <w:szCs w:val="20"/>
                <w:color w:val="auto"/>
              </w:rPr>
            </w:pP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1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(1,999 )</w:t>
            </w:r>
          </w:p>
        </w:tc>
        <w:tc>
          <w:tcPr>
            <w:tcW w:w="7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(137 )</w:t>
            </w: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18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(243 )</w:t>
            </w:r>
          </w:p>
        </w:tc>
        <w:tc>
          <w:tcPr>
            <w:tcW w:w="7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CFF"/>
          </w:tcPr>
          <w:p>
            <w:pPr>
              <w:spacing w:after="0"/>
              <w:rPr>
                <w:sz w:val="20"/>
                <w:szCs w:val="20"/>
                <w:color w:val="auto"/>
              </w:rPr>
            </w:pPr>
          </w:p>
        </w:tc>
      </w:tr>
      <w:tr>
        <w:trPr>
          <w:trHeight w:val="226"/>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11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(17 )</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18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(2,095 )</w:t>
            </w:r>
          </w:p>
        </w:tc>
        <w:tc>
          <w:tcPr>
            <w:tcW w:w="720" w:type="dxa"/>
            <w:vAlign w:val="bottom"/>
            <w:shd w:val="clear" w:color="auto" w:fill="CCECFF"/>
          </w:tcPr>
          <w:p>
            <w:pPr>
              <w:spacing w:after="0"/>
              <w:rPr>
                <w:sz w:val="19"/>
                <w:szCs w:val="19"/>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CFF"/>
          </w:tcPr>
          <w:p>
            <w:pPr>
              <w:spacing w:after="0"/>
              <w:rPr>
                <w:sz w:val="19"/>
                <w:szCs w:val="19"/>
                <w:color w:val="auto"/>
              </w:rPr>
            </w:pPr>
          </w:p>
        </w:tc>
      </w:tr>
      <w:tr>
        <w:trPr>
          <w:trHeight w:val="20"/>
        </w:trPr>
        <w:tc>
          <w:tcPr>
            <w:tcW w:w="6860" w:type="dxa"/>
            <w:vAlign w:val="bottom"/>
            <w:shd w:val="clear" w:color="auto" w:fill="CCEC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C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before taxes</w:t>
            </w:r>
          </w:p>
        </w:tc>
        <w:tc>
          <w:tcPr>
            <w:tcW w:w="1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(22,210 )</w:t>
            </w:r>
          </w:p>
        </w:tc>
        <w:tc>
          <w:tcPr>
            <w:tcW w:w="7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(37,213 )</w:t>
            </w:r>
          </w:p>
        </w:tc>
      </w:tr>
      <w:tr>
        <w:trPr>
          <w:trHeight w:val="239"/>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18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(201 )</w:t>
            </w:r>
          </w:p>
        </w:tc>
        <w:tc>
          <w:tcPr>
            <w:tcW w:w="720" w:type="dxa"/>
            <w:vAlign w:val="bottom"/>
            <w:shd w:val="clear" w:color="auto" w:fill="CCECFF"/>
          </w:tcPr>
          <w:p>
            <w:pPr>
              <w:spacing w:after="0"/>
              <w:rPr>
                <w:sz w:val="20"/>
                <w:szCs w:val="20"/>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6"/>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1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(3,366 )</w:t>
            </w:r>
          </w:p>
        </w:tc>
        <w:tc>
          <w:tcPr>
            <w:tcW w:w="7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(1,840 )</w:t>
            </w:r>
          </w:p>
        </w:tc>
      </w:tr>
      <w:tr>
        <w:trPr>
          <w:trHeight w:val="20"/>
        </w:trPr>
        <w:tc>
          <w:tcPr>
            <w:tcW w:w="6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18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(3,567 )</w:t>
            </w:r>
          </w:p>
        </w:tc>
        <w:tc>
          <w:tcPr>
            <w:tcW w:w="720" w:type="dxa"/>
            <w:vAlign w:val="bottom"/>
            <w:shd w:val="clear" w:color="auto" w:fill="CCECFF"/>
          </w:tcPr>
          <w:p>
            <w:pPr>
              <w:spacing w:after="0"/>
              <w:rPr>
                <w:sz w:val="19"/>
                <w:szCs w:val="19"/>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(1,840 )</w:t>
            </w:r>
          </w:p>
        </w:tc>
      </w:tr>
      <w:tr>
        <w:trPr>
          <w:trHeight w:val="20"/>
        </w:trPr>
        <w:tc>
          <w:tcPr>
            <w:tcW w:w="6860" w:type="dxa"/>
            <w:vAlign w:val="bottom"/>
            <w:shd w:val="clear" w:color="auto" w:fill="CCEC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C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(25,777 )</w:t>
            </w: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(39,053 )</w:t>
            </w:r>
          </w:p>
        </w:tc>
      </w:tr>
      <w:tr>
        <w:trPr>
          <w:trHeight w:val="20"/>
        </w:trPr>
        <w:tc>
          <w:tcPr>
            <w:tcW w:w="6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-3441700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-3441700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-1977390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-1668780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-778510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-179070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Revenue for the year ended December 31, 2023 was $126.8 million and was generated entirely from bitcoin mining operations at the Odessa Facility, which began mining for bitcoin on November 22, 2022. The increase year over year was primarily driven by 2023 being a full year of mining, coupled with the overall increase in bitcoin price. For the period from November 22, 2022 through December 31, 2022, we recognized revenue of $3.0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6"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Cost of revenue for the year ended December 31, 2023 was $50.3 million, compared with $0.7 million for the year ended December 31, 2022, and consisted primarily of power costs at the Odessa Facility under the Luminant Power Agreement, which began operations in November, 2022. The Odessa Facility operated for the full year in 2023, compared to less than two months in the prior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6"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 xml:space="preserve">General and administrative expenses increased by $14.4 million to $85.2 million during the year ended December 31, 2023 from $70.8 million for the year ended December 31, 2022. The increase was primarily driven by an increase of $14.4 million for compensation and benefits for employees due to increasing headcount from 23 to 36, as well as a $2.0 million accrual related to our legal settlement with Luminant. See additional information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Note 14 </w:t>
      </w:r>
      <w:r>
        <w:rPr>
          <w:rFonts w:ascii="Times New Roman" w:cs="Times New Roman" w:eastAsia="Times New Roman" w:hAnsi="Times New Roman"/>
          <w:sz w:val="18"/>
          <w:szCs w:val="18"/>
          <w:i w:val="1"/>
          <w:iCs w:val="1"/>
          <w:color w:val="auto"/>
        </w:rPr>
        <w:t>Commitments and Contingencies.”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00"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Depreciation for the year ended December 31, 2023 was $59.1 million, an increase of $54.7 million compared to depreciation expense of $4.4 million for the year ended December 31, 2022. The increase was primarily due to miners, mining equipment and leasehold improvements at the Odessa Facility being in service for a full year in 2023 compared to less than two months in the prior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$26.8 million for the year ended December 31, 2023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After the start of mining operations at the Odessa Facility on November 22, 2022, we sold excess electricity that was available under the Luminant Power Agreement, but not needed in our mining operations at the Odessa Facility, back to the ERCOT market through Luminant. We sold power for proceeds of $9.9 million and $0.5 million for the years ended December 31, 2023, and December 31, 2022, respectively. Power sales increased in 2023 because that year had a full year of operations at the Odessa Facility compared to under two months of operations in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Equity in losses of equity investees totaled $2.5 million for the year ended December 31, 2023 compared to $37.0 million for the year ended December 31, 2022. Equity in losses of equity investees for the year ended December 31, 2022 primarily consisted of losses totaling $33.4 million recognized by us in relation to miners contributed between June 2022 and October 2022 to Alborz LLC, Bear LLC and Chief LLC that had fair values at the time of the contributions that were less than the costs we paid to obtain the miners. These losses created basis differences in our investments in the equity investees, which we are accreting over the five-year useful life of the miners. There was no loss on contribution for the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fair value of bitcoin</w:t>
      </w:r>
    </w:p>
    <w:p>
      <w:pPr>
        <w:spacing w:after="0" w:line="20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adoption of ASC 2023-08, which we adopted as of January 1, 2023, crypto assets are required to be presented at fair value on the balance sheet, with changes in fair value recorded to the statement of operations. On January 1, 2023, upon adoption of ASC 2023-08, we recorded an opening retained earnings adjustment of $0.2 million, which represents the difference between the carrying value (presented as cost less impairment prior to the adoption of ASC 2023-08) and the fair value of our bitcoin holdings. During the year ended December 31, 2023, we recognized a total of $11.0 million of gains on bitcoin earned from our mining activities and received as distributions from our equity investees.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6"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Other expense totaled $2.1 million for the year ended December 31, 2023, compared to $0.2 million of Other income for the year ended December 31, 2022. The increase is primarily related to interest expense on finance leases during the year ended December 31, 2023 related to the Odessa Facility.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6"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we recorded a provision for income taxes of $3.6 million primarily driven by an increase in the valuation allowance resulting from an increase in net operating loss carryforwards generated in the current period. For the year ended December 31, 2022, we recorded a provision for income taxes of $1.8 million.</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incurred a net loss of $25.8 million and negative cash flows from operations of $94.2 million for the year ended December 31, 2023. As of December 31, 2023, we had cash and cash equivalents of $86.1 million, 780 bitcoin with a fair value of $33.0 million, total stockholders’ equity of $491.3 million and an accumulated deficit of $136.8 million. To date, we have relied in large part on proceeds from the consummation of our business combination with GWAC (the “Business Combination”), as well as liquidating our bitcoin inventory, to fund our operations. During the year ended December 31, 2023, we paid approximately $33.9 million as deposits on equipment, primarily for miners, and had $30.8 million of deposits on equipment still on our consolidated balance sheet as of December 31, 2023. We currently have purchase commitments for miners of $98.8 million primarily related to the Black Pearl Facility that will require resources beyond our existing financial resources as of December 31, 2023. Management intends to continue with the infrastructure buildout at the Black Pearl Facility to get the site to full capacity in support of our current business plans. Our management believes that our existing financial resources, combined with projected cash and bitcoin inflows from its data centers and our intent and ability to sell bitcoin received or earned, will be sufficient to enable us to meet our operating and capital requirements for at least 12 months from the date these consolidated financial statements are issued.</w:t>
      </w:r>
    </w:p>
    <w:p>
      <w:pPr>
        <w:spacing w:after="0" w:line="14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master loan agreement with Coinbase Credit, Inc., as lender, and Coinbase, Inc., as lending service provider. Pursuant to the master loan agreement, we established a secured line of credit up to $10.0 million (the “Credit Facility”). We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December 31, 2023, we have not drawn upon the Credit Facility.</w:t>
      </w:r>
    </w:p>
    <w:p>
      <w:pPr>
        <w:spacing w:after="0" w:line="186"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and our intent and ability to sell bitcoin received or earned, will be sufficient to enable us to meet our operating and capital requirements for at least 12 months from the date these unaudited condensed consolidated financial statements are issued.</w:t>
      </w:r>
    </w:p>
    <w:p>
      <w:pPr>
        <w:spacing w:after="0" w:line="13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September 21, 2022, we filed the Registration Statement with the SEC. In connection with the filing of the Registration Statement, we also entered into an at-the market offering agreement (the “Prior Sales Agreement”) with H.C. Wainwright &amp; Co., LLC (the “Prior Agent”), under which we may, from time to time, sell shares of our Common Stock having an aggregate offering price of up to $250.0 million in “at-the-market” offerings through the Agent, which is included in the $500.0 million of securities that may be offered pursuant to the Registration Statement. Effective August 1, 2023, the Company terminated the Prior Sales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3, 2023, the Company entered into a Controlled Equity Offering SM Sales Agreement (the “Sales Agreement”) with Cantor Fitzgerald</w:t>
      </w:r>
    </w:p>
    <w:p>
      <w:pPr>
        <w:spacing w:after="0" w:line="27" w:lineRule="exact"/>
        <w:rPr>
          <w:sz w:val="20"/>
          <w:szCs w:val="20"/>
          <w:color w:val="auto"/>
        </w:rPr>
      </w:pPr>
    </w:p>
    <w:p>
      <w:pPr>
        <w:ind w:firstLine="8"/>
        <w:spacing w:after="0" w:line="253" w:lineRule="auto"/>
        <w:tabs>
          <w:tab w:leader="none" w:pos="1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Canaccord Genuity LLC, Needham &amp; Company, LLC and Compass Point Research &amp; Trading, LLC (each, an “Agent” and, together, the “Agents”), pursuant to which the Company may offer and sell, from time to time through or to the Agents, shares of its Common Stock, for aggregate gross proceeds of up to $250.0 million. As of December 31, 2023, we received gross proceeds on sales of 37,433,923 shares of common stock under the Prior Sales Agreement and the Sales Agreement of approximately $135.8 million at a weighted average price of $3.79.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20" w:type="dxa"/>
            <w:vAlign w:val="bottom"/>
            <w:gridSpan w:val="2"/>
            <w:shd w:val="clear" w:color="auto" w:fill="CCEC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(94,241 )</w:t>
            </w:r>
          </w:p>
        </w:tc>
        <w:tc>
          <w:tcPr>
            <w:tcW w:w="720" w:type="dxa"/>
            <w:vAlign w:val="bottom"/>
            <w:shd w:val="clear" w:color="auto" w:fill="CCEC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(20,915 )</w:t>
            </w:r>
          </w:p>
        </w:tc>
        <w:tc>
          <w:tcPr>
            <w:tcW w:w="0" w:type="dxa"/>
            <w:vAlign w:val="bottom"/>
          </w:tcPr>
          <w:p>
            <w:pPr>
              <w:spacing w:after="0"/>
              <w:rPr>
                <w:sz w:val="1"/>
                <w:szCs w:val="1"/>
                <w:color w:val="auto"/>
              </w:rPr>
            </w:pPr>
          </w:p>
        </w:tc>
      </w:tr>
      <w:tr>
        <w:trPr>
          <w:trHeight w:val="238"/>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52,755</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(173,909 )</w:t>
            </w:r>
          </w:p>
        </w:tc>
        <w:tc>
          <w:tcPr>
            <w:tcW w:w="0" w:type="dxa"/>
            <w:vAlign w:val="bottom"/>
          </w:tcPr>
          <w:p>
            <w:pPr>
              <w:spacing w:after="0"/>
              <w:rPr>
                <w:sz w:val="1"/>
                <w:szCs w:val="1"/>
                <w:color w:val="auto"/>
              </w:rPr>
            </w:pPr>
          </w:p>
        </w:tc>
      </w:tr>
      <w:tr>
        <w:trPr>
          <w:trHeight w:val="243"/>
        </w:trPr>
        <w:tc>
          <w:tcPr>
            <w:tcW w:w="47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140" w:type="dxa"/>
            <w:vAlign w:val="bottom"/>
            <w:shd w:val="clear" w:color="auto" w:fill="CCECFF"/>
          </w:tcPr>
          <w:p>
            <w:pPr>
              <w:spacing w:after="0"/>
              <w:rPr>
                <w:sz w:val="21"/>
                <w:szCs w:val="21"/>
                <w:color w:val="auto"/>
              </w:rPr>
            </w:pPr>
          </w:p>
        </w:tc>
        <w:tc>
          <w:tcPr>
            <w:tcW w:w="1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115,664</w:t>
            </w:r>
          </w:p>
        </w:tc>
        <w:tc>
          <w:tcPr>
            <w:tcW w:w="4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(3,090 )</w:t>
            </w:r>
          </w:p>
        </w:tc>
        <w:tc>
          <w:tcPr>
            <w:tcW w:w="0" w:type="dxa"/>
            <w:vAlign w:val="bottom"/>
          </w:tcPr>
          <w:p>
            <w:pPr>
              <w:spacing w:after="0"/>
              <w:rPr>
                <w:sz w:val="1"/>
                <w:szCs w:val="1"/>
                <w:color w:val="auto"/>
              </w:rPr>
            </w:pPr>
          </w:p>
        </w:tc>
      </w:tr>
      <w:tr>
        <w:trPr>
          <w:trHeight w:val="20"/>
        </w:trPr>
        <w:tc>
          <w:tcPr>
            <w:tcW w:w="4720" w:type="dxa"/>
            <w:vAlign w:val="bottom"/>
            <w:shd w:val="clear" w:color="auto" w:fill="CCECFF"/>
          </w:tcPr>
          <w:p>
            <w:pPr>
              <w:spacing w:after="0" w:line="20" w:lineRule="exact"/>
              <w:rPr>
                <w:sz w:val="1"/>
                <w:szCs w:val="1"/>
                <w:color w:val="auto"/>
              </w:rPr>
            </w:pPr>
          </w:p>
        </w:tc>
        <w:tc>
          <w:tcPr>
            <w:tcW w:w="2140" w:type="dxa"/>
            <w:vAlign w:val="bottom"/>
            <w:shd w:val="clear" w:color="auto" w:fill="CCEC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C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140" w:type="dxa"/>
            <w:vAlign w:val="bottom"/>
          </w:tcPr>
          <w:p>
            <w:pPr>
              <w:spacing w:after="0"/>
              <w:rPr>
                <w:sz w:val="20"/>
                <w:szCs w:val="20"/>
                <w:color w:val="auto"/>
              </w:rPr>
            </w:pP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74,178</w:t>
            </w:r>
          </w:p>
        </w:tc>
        <w:tc>
          <w:tcPr>
            <w:tcW w:w="46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(197,914 )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14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71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7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0"/>
        </w:trPr>
        <w:tc>
          <w:tcPr>
            <w:tcW w:w="47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-1232535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increased by $73.3 million to $94.2 million for the year ended December 31, 2023 compared to $20.9 million for the year ended December 31, 2022. This was primarily driven by a $68.2 million change in non-cash items year-over-year, specifically a $57.7 million negative impact of non-cash adjustments in 2023 compared to a $10.5 million positive impact in 2022. The negative impact of non-cash adjustments in 2023 consisted primarily of $126.3 million of bitcoin received as payment for services, representing a $123.4 million increase over the prior year due to increased operations at the Odessa Facility, where we began mining in November 2022, as well as a decrease of $34.4 million of equity in losses of equity investees which was comprised mainly of the $33.4 million of losses recognized upon our contributions of equipment during the prior year. These negative non-cash adjustments were partially offset by the positive impact of $54.6 million of additional depreciation and a $46.6 million decrease in the unrealized gain resulting from the revaluation of our derivative asset. Additionally, changes in assets and liabilities resulted in a $18.4 million increase in cash used in operating activities, including a $13.2 million decrease in accounts payable and accounts payable, related party.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investing activities increased by $226.7 million to $52.8 million for the year ended December 31, 2023 compared to net cash used in investing activities of $173.9 million for the year ended December 31, 2022. This was primarily due to a decrease of $154.0 million of deposits paid for miners and mining equipment, and an increase of $111.2 million in proceeds from sale of bitcoin, partially offset by a decrease of $50.2 million of capital distributions from equity investees.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8"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increased by $118.8 million to $115.7 million for the year ended December 31, 2023 from net cash used in financing activities of $3.1 million for the year ended December 31, 2022. The increase was primarily due to the cash proceeds from common stock issuances in the year ended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0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have no current intention of entering into a merger or acquisition within the next 12 months. We may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being a public company. Accordingly, we may in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w:t>
      </w:r>
      <w:r>
        <w:rPr>
          <w:rFonts w:ascii="Times New Roman" w:cs="Times New Roman" w:eastAsia="Times New Roman" w:hAnsi="Times New Roman"/>
          <w:sz w:val="18"/>
          <w:szCs w:val="18"/>
          <w:i w:val="1"/>
          <w:iCs w:val="1"/>
          <w:color w:val="auto"/>
        </w:rPr>
        <w:t>Risks Factors—Risks Related to Our Business, Industry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i w:val="1"/>
          <w:iCs w:val="1"/>
          <w:color w:val="231F20"/>
        </w:rPr>
        <w:t>We may</w:t>
      </w:r>
      <w:r>
        <w:rPr>
          <w:rFonts w:ascii="Times New Roman" w:cs="Times New Roman" w:eastAsia="Times New Roman" w:hAnsi="Times New Roman"/>
          <w:sz w:val="18"/>
          <w:szCs w:val="18"/>
          <w:i w:val="1"/>
          <w:iCs w:val="1"/>
          <w:color w:val="auto"/>
        </w:rPr>
        <w:t xml:space="preserve"> need to raise additional capital, which may not be available on terms acceptable to us, or at all.</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6"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On December 17, 2021, we entered into a lease agreement for executive office space, with an effective term commencing on February 1, 2022 and monthly rent payments of approximately $0.1 million commencing on June 1, 2022. The initial lease term is for a period of five years and four months.</w:t>
      </w:r>
    </w:p>
    <w:p>
      <w:pPr>
        <w:spacing w:after="0" w:line="9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entered into a series of agreements with affiliates of Luminant, including the Lease Agreement dated June 29, 2021, with amendment and restatement on July 9, 2021, with amendment and restatement on July 9, 2021 and August 23, 2023 (as amended and restated, the “Luminant Lease Agreement”). The Luminant Lease Agreement leases a plot of land to us where our data center, ancillary infrastructure and electrical system (the “Interconnection Electrical Facilities” or “substation”) have been set up for the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 Despite the lease commencement in November 2022, the Company had not been required by Luminant to make any lease payments for the substation prior to July 2023, therefore the Company accrued amounts due under the Combined Luminant Lease Agreement in accrued expenses and other current liabilities on its consolidated balance sheet.</w:t>
      </w:r>
    </w:p>
    <w:p>
      <w:pPr>
        <w:spacing w:after="0" w:line="14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On July 11, 2023, the Company entered into an amendment of the payment schedule to the Luminant Purchase and Sale Agreement, reflecting monthly installments of principal and interest totaling $19.7 million on an undiscounted basis, due over the remaining four-year period starting in July 2023. On August 23, 2023, the Company entered into a second amendment of the Luminant Lease Agreement, the terms of which included confirming the initial term will end on July 31, 2027. These amendments did not have a material impact on the Company’s consolidated financial statements.</w:t>
      </w:r>
    </w:p>
    <w:p>
      <w:pPr>
        <w:spacing w:after="0" w:line="14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Financing for use of the land and substation is provided by Luminant affiliates, with monthly installments of principal and interest due over a five-year period starting upon transfer of legal title of the substation to us (estimated total undiscounted principal payments of $15.0 million).</w:t>
      </w:r>
    </w:p>
    <w:p>
      <w:pPr>
        <w:spacing w:after="0" w:line="13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At the end of the lease term for the Interconnection Electrical Facilities, the substation will be sold back to Luminant’s affiliate, Vistra Operations Company, LLC at a price to be determined based upon bids obtained in the secondary market.</w:t>
      </w:r>
    </w:p>
    <w:p>
      <w:pPr>
        <w:spacing w:after="0" w:line="13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On December 8, 2023, we entered into an agreement with Trinity Mining Group, Inc. (“Trinity”) to assume a lease for a 70 acre plot of land in Winkler County, Texas, for the purpose of constructing a data center, and ancillary infrastructure to construct the Black Pearl Facility. The initial term of the lease is ten years, and includes four consecutive renewal provisions.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and Mining Equipment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had the following contractual obligations and other commitments for miners and other mining equipment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Open Purchase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Expected Shipping for Open Purchase</w:t>
            </w:r>
          </w:p>
        </w:tc>
      </w:tr>
      <w:tr>
        <w:trPr>
          <w:trHeight w:val="245"/>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Vendor</w:t>
            </w:r>
          </w:p>
        </w:tc>
        <w:tc>
          <w:tcPr>
            <w:tcW w:w="120" w:type="dxa"/>
            <w:vAlign w:val="bottom"/>
          </w:tcPr>
          <w:p>
            <w:pPr>
              <w:spacing w:after="0"/>
              <w:rPr>
                <w:sz w:val="21"/>
                <w:szCs w:val="21"/>
                <w:color w:val="auto"/>
              </w:rPr>
            </w:pPr>
          </w:p>
        </w:tc>
        <w:tc>
          <w:tcPr>
            <w:tcW w:w="2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Agreement Dates</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Deposit Balance</w:t>
            </w:r>
          </w:p>
        </w:tc>
        <w:tc>
          <w:tcPr>
            <w:tcW w:w="22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11"/>
        </w:trPr>
        <w:tc>
          <w:tcPr>
            <w:tcW w:w="1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Bitmain</w:t>
            </w:r>
          </w:p>
        </w:tc>
        <w:tc>
          <w:tcPr>
            <w:tcW w:w="120" w:type="dxa"/>
            <w:vAlign w:val="bottom"/>
            <w:shd w:val="clear" w:color="auto" w:fill="CCECFF"/>
          </w:tcPr>
          <w:p>
            <w:pPr>
              <w:spacing w:after="0"/>
              <w:rPr>
                <w:sz w:val="18"/>
                <w:szCs w:val="18"/>
                <w:color w:val="auto"/>
              </w:rPr>
            </w:pPr>
          </w:p>
        </w:tc>
        <w:tc>
          <w:tcPr>
            <w:tcW w:w="26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8"/>
                <w:szCs w:val="18"/>
                <w:color w:val="auto"/>
              </w:rPr>
              <w:t>October 4, 2023 and December   $</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98,759</w:t>
            </w:r>
          </w:p>
        </w:tc>
        <w:tc>
          <w:tcPr>
            <w:tcW w:w="3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220" w:type="dxa"/>
            <w:vAlign w:val="bottom"/>
            <w:shd w:val="clear" w:color="auto" w:fill="CCECFF"/>
          </w:tcPr>
          <w:p>
            <w:pPr>
              <w:spacing w:after="0"/>
              <w:rPr>
                <w:sz w:val="18"/>
                <w:szCs w:val="18"/>
                <w:color w:val="auto"/>
              </w:rPr>
            </w:pPr>
          </w:p>
        </w:tc>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January 2024 - April 2025</w:t>
            </w:r>
          </w:p>
        </w:tc>
      </w:tr>
      <w:tr>
        <w:trPr>
          <w:trHeight w:val="248"/>
        </w:trPr>
        <w:tc>
          <w:tcPr>
            <w:tcW w:w="1700" w:type="dxa"/>
            <w:vAlign w:val="bottom"/>
            <w:shd w:val="clear" w:color="auto" w:fill="CCECFF"/>
          </w:tcPr>
          <w:p>
            <w:pPr>
              <w:spacing w:after="0"/>
              <w:rPr>
                <w:sz w:val="21"/>
                <w:szCs w:val="21"/>
                <w:color w:val="auto"/>
              </w:rPr>
            </w:pPr>
          </w:p>
        </w:tc>
        <w:tc>
          <w:tcPr>
            <w:tcW w:w="24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18, 2023</w:t>
            </w:r>
          </w:p>
        </w:tc>
        <w:tc>
          <w:tcPr>
            <w:tcW w:w="1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6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4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3140" w:type="dxa"/>
            <w:vAlign w:val="bottom"/>
            <w:shd w:val="clear" w:color="auto" w:fill="CCECFF"/>
          </w:tcPr>
          <w:p>
            <w:pPr>
              <w:spacing w:after="0"/>
              <w:rPr>
                <w:sz w:val="21"/>
                <w:szCs w:val="21"/>
                <w:color w:val="auto"/>
              </w:rPr>
            </w:pPr>
          </w:p>
        </w:tc>
      </w:tr>
      <w:tr>
        <w:trPr>
          <w:trHeight w:val="23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vendors</w:t>
            </w:r>
          </w:p>
        </w:tc>
        <w:tc>
          <w:tcPr>
            <w:tcW w:w="1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76"/>
        </w:trPr>
        <w:tc>
          <w:tcPr>
            <w:tcW w:w="1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gridSpan w:val="4"/>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98,759</w:t>
            </w:r>
          </w:p>
        </w:tc>
        <w:tc>
          <w:tcPr>
            <w:tcW w:w="3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220" w:type="dxa"/>
            <w:vAlign w:val="bottom"/>
            <w:shd w:val="clear" w:color="auto" w:fill="CCECFF"/>
          </w:tcPr>
          <w:p>
            <w:pPr>
              <w:spacing w:after="0"/>
              <w:rPr>
                <w:sz w:val="24"/>
                <w:szCs w:val="24"/>
                <w:color w:val="auto"/>
              </w:rPr>
            </w:pPr>
          </w:p>
        </w:tc>
        <w:tc>
          <w:tcPr>
            <w:tcW w:w="3140" w:type="dxa"/>
            <w:vAlign w:val="bottom"/>
            <w:shd w:val="clear" w:color="auto" w:fill="CCECFF"/>
          </w:tcPr>
          <w:p>
            <w:pPr>
              <w:spacing w:after="0"/>
              <w:rPr>
                <w:sz w:val="24"/>
                <w:szCs w:val="24"/>
                <w:color w:val="auto"/>
              </w:rPr>
            </w:pPr>
          </w:p>
        </w:tc>
      </w:tr>
      <w:tr>
        <w:trPr>
          <w:trHeight w:val="740"/>
        </w:trPr>
        <w:tc>
          <w:tcPr>
            <w:tcW w:w="1700" w:type="dxa"/>
            <w:vAlign w:val="bottom"/>
            <w:tcBorders>
              <w:top w:val="single" w:sz="8" w:color="CCECFF"/>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2360" w:type="dxa"/>
            <w:vAlign w:val="bottom"/>
            <w:tcBorders>
              <w:top w:val="single" w:sz="8" w:color="CCECFF"/>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C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3140" w:type="dxa"/>
            <w:vAlign w:val="bottom"/>
            <w:tcBorders>
              <w:top w:val="single" w:sz="8" w:color="CCECFF"/>
            </w:tcBorders>
          </w:tcPr>
          <w:p>
            <w:pPr>
              <w:spacing w:after="0"/>
              <w:rPr>
                <w:sz w:val="24"/>
                <w:szCs w:val="24"/>
                <w:color w:val="auto"/>
              </w:rPr>
            </w:pPr>
          </w:p>
        </w:tc>
      </w:tr>
      <w:tr>
        <w:trPr>
          <w:trHeight w:val="870"/>
        </w:trPr>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-1069975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-1052830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-1069975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-1052830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5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October 4, 2023, the we entered into an agreement with Bitmain to purchase 1.2 EH/s worth of Bitmain’s new HASH Super Computing Servers (Antminer S21-200.0T model) for a total purchase price of $24.0 million to be paid in cash and coupons, or $16.8 million in cash after applying coupons. We expect to make periodic payments in accordance with the payment schedule under this agreement, with the final payment expected to occur one year after the delivery of the last batch of miners. Related to this agreement, we have made installment payments of $7.6 million, which is included in deposits on equipment as of December 31, 2023. Batches of the Antminer S21 miners are expected to be delivered between January and June 2024.</w:t>
      </w:r>
    </w:p>
    <w:p>
      <w:pPr>
        <w:spacing w:after="0" w:line="155"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On December 18, 2023, we entered into a second agreement with Bitmain to purchase 37,396 units of the latest generation Antminer T21 miners to be delivered in the first half of 2025. We paid a deposit of $9.9 million upon execution of the agreement. The agreement has an option to purchase an additional 45,706 miners in 2024. We paid an additional $12.2 million as a deposit, which can be used towards purchases under this option.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Earnings that excludes the impact of depreciation and amortization, the non-cash change in fair value of derivative asset, the non-cash change in fair value of the warrant liability, nonrecurring gains and losses, deferred income taxes, and share-based compensation expense. This supplemental financial measure are not measurements of financial performance under accounting principles generally accepted in the United Stated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w:t>
      </w:r>
    </w:p>
    <w:p>
      <w:pPr>
        <w:spacing w:after="0" w:line="160"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consolidated financial statements included elsewhere in this Annual Report, which have been prepared in accordance with GAAP. We rely primarily on such consolidated financial statements to understand, manage and evaluate our business performance and use the non-GAAP financial measures only supplementally.</w:t>
      </w:r>
    </w:p>
    <w:p>
      <w:pPr>
        <w:spacing w:after="0" w:line="149" w:lineRule="exact"/>
        <w:rPr>
          <w:sz w:val="20"/>
          <w:szCs w:val="20"/>
          <w:color w:val="auto"/>
        </w:rPr>
      </w:pPr>
    </w:p>
    <w:p>
      <w:pPr>
        <w:ind w:right="860" w:firstLine="509"/>
        <w:spacing w:after="0" w:line="281" w:lineRule="auto"/>
        <w:rPr>
          <w:sz w:val="20"/>
          <w:szCs w:val="20"/>
          <w:color w:val="auto"/>
        </w:rPr>
      </w:pPr>
      <w:r>
        <w:rPr>
          <w:rFonts w:ascii="Times New Roman" w:cs="Times New Roman" w:eastAsia="Times New Roman" w:hAnsi="Times New Roman"/>
          <w:sz w:val="18"/>
          <w:szCs w:val="18"/>
          <w:color w:val="auto"/>
        </w:rPr>
        <w:t>The following are reconciliations of our Adjusted Earnings to the most directly comparable GAAP measures for the periods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1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11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(25,777 )</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(39,053 )</w:t>
            </w:r>
          </w:p>
        </w:tc>
      </w:tr>
      <w:tr>
        <w:trPr>
          <w:trHeight w:val="247"/>
        </w:trPr>
        <w:tc>
          <w:tcPr>
            <w:tcW w:w="6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18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(26,836 )</w:t>
            </w:r>
          </w:p>
        </w:tc>
        <w:tc>
          <w:tcPr>
            <w:tcW w:w="7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(73,479 )</w:t>
            </w:r>
          </w:p>
        </w:tc>
      </w:tr>
      <w:tr>
        <w:trPr>
          <w:trHeight w:val="238"/>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38,470</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100" w:type="dxa"/>
            <w:vAlign w:val="bottom"/>
          </w:tcPr>
          <w:p>
            <w:pPr>
              <w:spacing w:after="0"/>
              <w:rPr>
                <w:sz w:val="20"/>
                <w:szCs w:val="20"/>
                <w:color w:val="auto"/>
              </w:rPr>
            </w:pPr>
          </w:p>
        </w:tc>
      </w:tr>
      <w:tr>
        <w:trPr>
          <w:trHeight w:val="247"/>
        </w:trPr>
        <w:tc>
          <w:tcPr>
            <w:tcW w:w="6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59,093</w:t>
            </w:r>
          </w:p>
        </w:tc>
        <w:tc>
          <w:tcPr>
            <w:tcW w:w="4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shd w:val="clear" w:color="auto" w:fill="CCECFF"/>
          </w:tcPr>
          <w:p>
            <w:pPr>
              <w:spacing w:after="0"/>
              <w:rPr>
                <w:sz w:val="21"/>
                <w:szCs w:val="21"/>
                <w:color w:val="auto"/>
              </w:rPr>
            </w:pPr>
          </w:p>
        </w:tc>
      </w:tr>
      <w:tr>
        <w:trPr>
          <w:trHeight w:val="238"/>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20"/>
                <w:szCs w:val="20"/>
                <w:color w:val="auto"/>
              </w:rPr>
            </w:pPr>
          </w:p>
        </w:tc>
      </w:tr>
      <w:tr>
        <w:trPr>
          <w:trHeight w:val="247"/>
        </w:trPr>
        <w:tc>
          <w:tcPr>
            <w:tcW w:w="6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Other gains - nonrecurring</w:t>
            </w:r>
          </w:p>
        </w:tc>
        <w:tc>
          <w:tcPr>
            <w:tcW w:w="118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(2,355 )</w:t>
            </w:r>
          </w:p>
        </w:tc>
        <w:tc>
          <w:tcPr>
            <w:tcW w:w="72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38"/>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r>
      <w:tr>
        <w:trPr>
          <w:trHeight w:val="20"/>
        </w:trPr>
        <w:tc>
          <w:tcPr>
            <w:tcW w:w="6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Adjusted earnings</w:t>
            </w:r>
          </w:p>
        </w:tc>
        <w:tc>
          <w:tcPr>
            <w:tcW w:w="118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460" w:type="dxa"/>
            <w:vAlign w:val="bottom"/>
            <w:shd w:val="clear" w:color="auto" w:fill="CCECFF"/>
          </w:tcPr>
          <w:p>
            <w:pPr>
              <w:spacing w:after="0"/>
              <w:rPr>
                <w:sz w:val="22"/>
                <w:szCs w:val="22"/>
                <w:color w:val="auto"/>
              </w:rPr>
            </w:pPr>
          </w:p>
        </w:tc>
        <w:tc>
          <w:tcPr>
            <w:tcW w:w="720" w:type="dxa"/>
            <w:vAlign w:val="bottom"/>
            <w:shd w:val="clear" w:color="auto" w:fill="CCECFF"/>
          </w:tcPr>
          <w:p>
            <w:pPr>
              <w:spacing w:after="0"/>
              <w:rPr>
                <w:sz w:val="22"/>
                <w:szCs w:val="22"/>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(64,940 )</w:t>
            </w:r>
          </w:p>
        </w:tc>
      </w:tr>
      <w:tr>
        <w:trPr>
          <w:trHeight w:val="20"/>
        </w:trPr>
        <w:tc>
          <w:tcPr>
            <w:tcW w:w="6860" w:type="dxa"/>
            <w:vAlign w:val="bottom"/>
            <w:tcBorders>
              <w:top w:val="single" w:sz="8" w:color="CCECFF"/>
            </w:tcBorders>
            <w:shd w:val="clear" w:color="auto" w:fill="CCEC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CFF"/>
            </w:tcBorders>
            <w:shd w:val="clear" w:color="auto" w:fill="CCEC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02"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reporting period. As of and for the year ended December 31, 2023, the most significant estimates inherent in the preparation of our consolidated financial statements include, but are not limited to, those related to equity instruments issued in share-based compensation arrangements, valuations of the derivative asset, determination of our asset retirement obligation and the valuation allowance associated with our deferred tax assets.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9" w:lineRule="exact"/>
        <w:rPr>
          <w:sz w:val="20"/>
          <w:szCs w:val="20"/>
          <w:color w:val="auto"/>
        </w:rPr>
      </w:pPr>
    </w:p>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we believe that the following critical accounting policies are most important to understanding and evaluating our reported and future financial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184" w:lineRule="exact"/>
        <w:rPr>
          <w:sz w:val="20"/>
          <w:szCs w:val="20"/>
          <w:color w:val="auto"/>
        </w:rPr>
      </w:pPr>
    </w:p>
    <w:p>
      <w:pPr>
        <w:ind w:left="520"/>
        <w:spacing w:after="0" w:line="265"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9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41"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The carrying values reported in our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w:t>
      </w:r>
    </w:p>
    <w:p>
      <w:pPr>
        <w:spacing w:after="0" w:line="202"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 xml:space="preserve">Bitcoin are included in current assets on our consolidated balance sheets. Bitcoin received through our wholly-owned mining activities are accounted for in connection with our revenue recognition policy. Bitcoin awarded to us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2023, bitcoin we held are accounted for as intangible assets under ASC 350-60,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xml:space="preserve"> issued by the FASB in December 2023. Intangible assets under the scope of this subtopic are measured at fair value on our consolidated balance sheet. We determine the fair value of our bitcoin on a nonrecurring basis in accordance with ASC 820 based on quoted prices on the active trading platform (Level 1 inputs). Prior to the adoption of ASU 2023-08, bitcoin was accounted for as an intangible asset subject to impairment. Upon adoption of ASC 350-60 on January 1, 2023, we recorded an opening adjustment to retained earnings of $0.2 million.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5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Bitcoin awarded to us through our mining activities are included as an adjustment to reconcile net loss to cash used in operating activities on the consolidated statements of cash flows. Proceeds from sales of bitcoin sold nearly immediately are included within cash flows from operating activities, and proceeds from bitcoin held for over one week are included within cash flow from investing activities on the consolidated statements of cash flows and any realized gains or losses from such sales are included in costs and operating expenses (income) on the consolidated statements of operations. The receipt of bitcoin as distributions-in-kind from equity investees are included within investing activities on the consolidated statements of cash flows. Bitcoin are sold on a first-in-first-out (“FIFO”)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asset</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Management determined that, as of July 1, 2022, the Luminant Power Agreement meets the definition of a derivative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Because we have the ability to sell our electricity rather than take physical delivery, physical delivery is not probable through the entirety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 and therefore, management does not believe the normal purchases and normal sales scope exception applies to the Luminant Power Agreement. Accordingly, the Luminant Power Agreement (the non-hedging derivative contract) is recorded at an estimated fair value each reporting period with the change in the fair value recorded in change in fair value of derivative asset in the consolidated statements of operations.</w:t>
      </w:r>
    </w:p>
    <w:p>
      <w:pPr>
        <w:spacing w:after="0" w:line="143"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The estimated fair value of our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valuations performed by the third-party valuation firm engaged by management utilized pre-tax discount rates of 6.11% and 6.83% as of December 31, 2023 and December 31,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8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Asset retirement obligations relate to the legal obligations associated with the retirement of long-lived assets that result from the construction, development and/or normal operation of a long-lived asset. We currently have one asset retirement obligation (“ARO”) related to the construction of the data center and installation of the related electrical infrastructure at the Odessa Facility.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requires an entity to record the fair value of a liability for an ARO in the period in which it is incurred if a reasonable estimate of fair value can be made. Due to the long lead time involved until decommissioning activities occur, we use a present value technique to estimate the liability. A liability for the fair value of the ARO based on the expected present value of estimated future decommissioning costs with a corresponding increase to the carrying value of the related long-lived asset (leasehold improvements) was recorded upon commencement of the lease in November 2022. The estimated capitalized asset retirement costs are depreciated using the straight-line method over the estimated remaining useful life of the related long-lived asset, with such depreciation included in depreciation expense in the consolidated statements of operations. The ARO is accreted based on the original discount rate and is recognized as an increase in the carrying amount of the liability and as a charge to accretion expense, which is included in depreciation expense in the consolidated statements of operations. Annually, or more frequently if an event occurs that would dictate a change in assumptions or estimates underlying the obligation, management reassesses the ARO to determine whether any revisions to the obligation are necessary. Revisions to the estimated ARO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53"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In order to determine the fair value of the ARO, management made certain estimates and assumptions including, among other things, projected cash flows, the borrowing interest rate and an assessment of market conditions that could significantly impact the estimated fair value. These estimates and assumptions are subjective.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account for investments using the equity method of accounting if the investments provide us with the ability to exercise significant influence, but not control, over our investees. Significant influence is generally deemed to exist if we have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our transfer of miners and mining equipment to a joint venture.</w:t>
      </w:r>
    </w:p>
    <w:p>
      <w:pPr>
        <w:spacing w:after="0" w:line="14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investments are subsequently adjusted to recognize our share of net income or losses as they occur. We also adjust our investments upon receipt of bitcoin from an equity investee, which is accounted for as a distribution-in-kind. Our share of investees’ earnings or losses is recorded, net of taxes, within equity in losses of equity investees on the consolidated statements of operations. Additionally, our interest in the net assets of our equity method investees is reflected on the consolidated balance sheets. If, upon our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our proportionate share of the investee’s net income or loss. If we are unable to relate the difference to specific accounts of the investee, the difference should be considered goodwill.</w:t>
      </w:r>
    </w:p>
    <w:p>
      <w:pPr>
        <w:spacing w:after="0" w:line="14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consider whether the fair value of our equity method investments have declined below their carrying values whenever adverse events or changes in circumstances indicate that recorded values may not be recoverable. If we considered any such decline to be other than temporary (based on various factors, including historical financial results, success of the mining operations and the overall health of the investee’s industry), then we would record a write-down to the estimated fair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8"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 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 If such assets are considered to be impaired, the impairment to be recognized is measured by the amount by which the carrying amount of the assets exceeds the fair value of the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Accordingly, management determines whether an arrangement contains a lease at the inception of the arrangement. If a lease is determined to exist, the term of such lease is assessed based on the date on which the underlying asset is made available for our use by the lessor. Management’s assessment of the lease term reflects the non-cancelable term of the lease, inclusive of any rent-free periods and/or periods 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our consolidated balance sheet at lease commencement reflecting the present value of our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our fixed payment obligations for a given lease, we use our incremental borrowing rate, determined based on information available at lease commencement, if rates implicit in our leasing arrangements are not readily determinable. Our incremental borrowing rate reflects the rate we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41"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elected the practical expedient not to separate lease and non-lease components for all leases, which means all consideration that is fixed, or in-substance fixed, relating to the non-lease components will be captured as part of the Company’s lease components for balance sheet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34"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9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4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41"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51"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9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we would sell a promised service separately to a customer. The relative selling price for each performance obligation is estimated using observable objective evidence if it is available. If observable objective evidence is not available, we use our best estimate of the selling price for the promised service. In instances where we do not sell a service separately, establishing standalone selling price requires significant judgment. We estimate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45"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3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entered into a bitcoin mining pool by executing a contract, which may be amended from time to time, with a mining pool operator to provide computing power to the mining pool. Specifically, in November 2022, we entered into a mining pool contract with Foundry. Providing computing power to a mining pool operator for the purpose of cryptocurrency transaction verification is an output of our ordinary activities. The contract is terminable at any time by either party with no substantive termination penalty. Our enforceable right to compensation begins when, and lasts for as long as, we provide computing power to the mining pool operator; our performance obligation extends over the contract term given our continuous provision of hashrate. This period of time corresponds with the period of service for which the mining pool operator determines compensation due to us. Given cancellation terms of the contract, and our customary business practice, the contract effectively provides us with the option to renew for successive contract terms of 24 hours. The options to renew are not material rights because they are offered at the standalone selling price of computing power. We elected the optional exemption to not disclose the transaction price allocated to remaining performance obligations that are part of a contract that has an original expected duration of one year or less.</w:t>
      </w:r>
    </w:p>
    <w:p>
      <w:pPr>
        <w:spacing w:after="0" w:line="1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provision of computing power in accordance with the mining pool operator’s terms of service is the only performance obligation in our contract with the mining pool operator, our customer. In exchange for providing computing power pursuant to Foundry’s terms of service, we are entitled to noncash consideration in the form of bitcoin, measured under the Full Pay Per Share (“FPPS”) approach. Under the FPPS approach, we are entitled to a fractional share of the fixed bitcoin award from the mining pool operator (referred to as a “block reward”) and potentially transaction fees generated from (paid by) blockchain users and distributed (paid out) to individual miners by the mining pool operator. Our fractional share of the block reward is based on the proportion of computing power we contributed to the mining pool operator to the total computing power contributed by all mining pool participants in solving the current algorithm, over the contract term. We are entitled to our relative share of consideration even if a block is not successfully placed. In other words, we receive consideration once after the end of each 24-hour contract period, regardless of whether the pool successfully places a block. Our proportionate share of transaction fees is based on our </w:t>
      </w:r>
      <w:r>
        <w:rPr>
          <w:rFonts w:ascii="Times New Roman" w:cs="Times New Roman" w:eastAsia="Times New Roman" w:hAnsi="Times New Roman"/>
          <w:sz w:val="18"/>
          <w:szCs w:val="18"/>
          <w:color w:val="231F20"/>
        </w:rPr>
        <w:t>contributed share of hashrate as a percentage of total network hashrate during the contract term.</w:t>
      </w:r>
    </w:p>
    <w:p>
      <w:pPr>
        <w:spacing w:after="0" w:line="145"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mining pool operator calculates block rewards under the FPPS approach described above and may charge a pool fee for maintenance of the pool that reduces the amount of block rewards to which we are entitled. Foundry did not claim a fee for any block rewards earned by us in 2023. After every 24-hour contract term, we receive a payout and the pool transfers the bitcoin consideration to our designated bitcoin wallet.</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Fair value of the bitcoin consideration is determined using the quoted price on our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we expect to be entitled for providing computing power is entirely variable, as well as being noncash consideration, we assess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we are entitled becomes known.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4"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Our ability to satisfy the performance obligation under our contract with a mining pool operator to provide computing power may be contracted to various third parties and there is a risk that if these parties are unable to perform or curtail their operations, our revenue and operating results may be affected. Please see “</w:t>
      </w:r>
      <w:r>
        <w:rPr>
          <w:rFonts w:ascii="Times New Roman" w:cs="Times New Roman" w:eastAsia="Times New Roman" w:hAnsi="Times New Roman"/>
          <w:sz w:val="18"/>
          <w:szCs w:val="18"/>
          <w:i w:val="1"/>
          <w:iCs w:val="1"/>
          <w:color w:val="auto"/>
        </w:rPr>
        <w:t>Business— Business Agreements—Luminant Power Agreement</w:t>
      </w:r>
      <w:r>
        <w:rPr>
          <w:rFonts w:ascii="Times New Roman" w:cs="Times New Roman" w:eastAsia="Times New Roman" w:hAnsi="Times New Roman"/>
          <w:sz w:val="18"/>
          <w:szCs w:val="18"/>
          <w:color w:val="auto"/>
        </w:rPr>
        <w:t>” for additional information about our power arrangements.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account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2023, we have awarded only RSUs with service-based vesting conditions (“Service- 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w:t>
      </w:r>
    </w:p>
    <w:p>
      <w:pPr>
        <w:spacing w:after="0" w:line="14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our common stock on the date of the grant. We employ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our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6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Weighted average assumptions used in the November 17, 2021 Monte Carlo valuation model for Performance-Based RSUs awarded on that date were: expected volatility of 96.1% and a risk-free rate of 1.60% based upon a remaining term of 10 years. These assumptions were used to estimate share-based compensation expense related to our Performance-Based RSUs, which was recognized in our consolidated financial statements years ended December 31, 2023 and December 31, 2022, and which will continue to impact our consolidated financial results over the remaining weighted average derived service period of the Performance-Based RSUs, which, as of December 31, 2023 is expected to occur over the next 0.5 years.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0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2"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December 31, 2023, the end of the period covered by this Annual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December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jc w:val="both"/>
        <w:ind w:firstLine="509"/>
        <w:spacing w:after="0" w:line="28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Our management is also required to assess and report on the effectiveness of our internal control over financial reporting in accordance with Section 404 of the Sarbanes-Oxley Act of 2002 (“Section 404”). Our internal control over financial reporting is a process designed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to provide reasonable assurance regarding the reliability of financial reporting and the preparation of financial statements for external purposes of accounting principles generally accepted in the United States.</w:t>
      </w:r>
    </w:p>
    <w:p>
      <w:pPr>
        <w:spacing w:after="0" w:line="13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w:t>
      </w:r>
    </w:p>
    <w:p>
      <w:pPr>
        <w:spacing w:after="0" w:line="14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assessed the effectiveness of our internal control over financial reporting as of December 31, 2023. In making this assessment, we used the criteria set forth by the Committee of Sponsoring Organizations of the Treadway Commission (“COSO”) in Internal Control - Integrated Framework in the 2013 COSO framework. Based on this evaluation, management identified a weakness in internal control over financial reporting related to Information Technology General Controls (“ITGC”). Specifically, the Company did not design and/or implement user access controls to ensure appropriate segregation of duties or program change management controls for certain financially relevant systems impacting the Company’s processes around revenue recognition and digital assets to ensure that IT program and data changes affecting the Company’s (i) financial IT applications, (ii) digital currency mining equipment, and (iii) underlying accounting records, are identified, tested, authorized and implemented appropriately to validate that data produced by its relevant IT system(s) were complete and accurate. Automated process-level controls and manual controls that are dependent upon the information derived from such financially relevant systems were also determined to be ineffective as a result of such deficiency. In addition, the Company has not effectively designed a manual key control to detect material misstatements in revenue.</w:t>
      </w:r>
    </w:p>
    <w:p>
      <w:pPr>
        <w:spacing w:after="0" w:line="14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material weakness described above did not result in a material misstatement to the Company’s previously issued consolidated financial statements, nor in the consolidated financial statements included in this Annual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18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noted above, during management’s assessment of internal controls over financial reporting (“ICFR”) a material weakness was identified related to certain ITGCs over user access, segregation of duties and change management controls.</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Since the material weakness was identified, management has been implementing and continues to implement measures designed to ensure that control deficiencies contributing to the material weakness are remediated, such that these controls are designed, implemented, and operating effectively. Our remediation plan includes the following:</w:t>
      </w:r>
    </w:p>
    <w:p>
      <w:pPr>
        <w:spacing w:after="0" w:line="155" w:lineRule="exact"/>
        <w:rPr>
          <w:sz w:val="20"/>
          <w:szCs w:val="20"/>
          <w:color w:val="auto"/>
        </w:rPr>
      </w:pPr>
    </w:p>
    <w:p>
      <w:pPr>
        <w:ind w:left="1020" w:right="48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2024 in key financial reporting and information technology areas, including hiring additional employees.</w:t>
      </w:r>
    </w:p>
    <w:p>
      <w:pPr>
        <w:spacing w:after="0" w:line="54" w:lineRule="exact"/>
        <w:rPr>
          <w:rFonts w:ascii="Times New Roman" w:cs="Times New Roman" w:eastAsia="Times New Roman" w:hAnsi="Times New Roman"/>
          <w:sz w:val="18"/>
          <w:szCs w:val="18"/>
          <w:color w:val="auto"/>
        </w:rPr>
      </w:pPr>
    </w:p>
    <w:p>
      <w:pPr>
        <w:ind w:left="1020" w:right="20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69"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54" w:lineRule="exact"/>
        <w:rPr>
          <w:rFonts w:ascii="Times New Roman" w:cs="Times New Roman" w:eastAsia="Times New Roman" w:hAnsi="Times New Roman"/>
          <w:sz w:val="18"/>
          <w:szCs w:val="18"/>
          <w:color w:val="auto"/>
        </w:rPr>
      </w:pPr>
    </w:p>
    <w:p>
      <w:pPr>
        <w:ind w:left="1020" w:right="200" w:hanging="504"/>
        <w:spacing w:after="0" w:line="260"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over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is complete and accurate.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5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recognize that the material weaknesses in our internal control over financial reporting will not be considered remediated until the remediate controls operate for a sufficient period of time and can be tested and concluded by management to be designed and operating effectively. Because our remediation efforts involve our outsource service providers, we cannot provide any assurance that these remediation efforts will be successful or that our internal control over financial reporting will be effective as a result of these efforts.</w:t>
      </w:r>
    </w:p>
    <w:p>
      <w:pPr>
        <w:spacing w:after="0" w:line="1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Other than what is disclosed above there were no changes in the Company’s internal control over financial reporting during the quarter ended December 31, 2023 that have materially affected, or are reasonably likely to affect, our internal control over financial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760" w:right="5800" w:hanging="243"/>
        <w:spacing w:after="0" w:line="500" w:lineRule="auto"/>
        <w:tabs>
          <w:tab w:leader="none" w:pos="7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ind w:left="780" w:hanging="26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25"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under the Exchange Act) of the Company adopted or terminated a “Rule 10b5-1 trading arrangement” or a “non-Rule 10b5-1 trading arrangement,” as each term is defined in Item 408(a) of Regulation 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(ages as of the date of this Annual Report):</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18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280" w:type="dxa"/>
            <w:vAlign w:val="bottom"/>
          </w:tcPr>
          <w:p>
            <w:pPr>
              <w:spacing w:after="0"/>
              <w:rPr>
                <w:sz w:val="16"/>
                <w:szCs w:val="16"/>
                <w:color w:val="auto"/>
              </w:rPr>
            </w:pPr>
          </w:p>
        </w:tc>
        <w:tc>
          <w:tcPr>
            <w:tcW w:w="5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Age</w:t>
            </w:r>
          </w:p>
        </w:tc>
        <w:tc>
          <w:tcPr>
            <w:tcW w:w="100" w:type="dxa"/>
            <w:vAlign w:val="bottom"/>
          </w:tcPr>
          <w:p>
            <w:pPr>
              <w:spacing w:after="0"/>
              <w:rPr>
                <w:sz w:val="16"/>
                <w:szCs w:val="16"/>
                <w:color w:val="auto"/>
              </w:rPr>
            </w:pPr>
          </w:p>
        </w:tc>
        <w:tc>
          <w:tcPr>
            <w:tcW w:w="4920" w:type="dxa"/>
            <w:vAlign w:val="bottom"/>
            <w:tcBorders>
              <w:bottom w:val="single" w:sz="8" w:color="231F20"/>
            </w:tcBorders>
          </w:tcPr>
          <w:p>
            <w:pPr>
              <w:ind w:left="2320"/>
              <w:spacing w:after="0"/>
              <w:rPr>
                <w:sz w:val="20"/>
                <w:szCs w:val="20"/>
                <w:color w:val="auto"/>
              </w:rPr>
            </w:pPr>
            <w:r>
              <w:rPr>
                <w:rFonts w:ascii="Times New Roman" w:cs="Times New Roman" w:eastAsia="Times New Roman" w:hAnsi="Times New Roman"/>
                <w:sz w:val="14"/>
                <w:szCs w:val="14"/>
                <w:b w:val="1"/>
                <w:bCs w:val="1"/>
                <w:color w:val="231F20"/>
              </w:rPr>
              <w:t>Title</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Tyler Page</w:t>
            </w:r>
          </w:p>
        </w:tc>
        <w:tc>
          <w:tcPr>
            <w:tcW w:w="2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48</w:t>
            </w:r>
          </w:p>
        </w:tc>
        <w:tc>
          <w:tcPr>
            <w:tcW w:w="1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Executive Officer and Director</w:t>
            </w: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Edward Farrell</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63</w:t>
            </w:r>
          </w:p>
        </w:tc>
        <w:tc>
          <w:tcPr>
            <w:tcW w:w="1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Financial Officer</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Patrick Kelly</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45</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Co-President and Chief Operating Officer</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William Iwaschuk</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48</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Co-President, Chief Legal Officer and Corporate Secretary</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James Newsome</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64</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Chairman of the Board</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Robert Dykes</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74</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Holly Morrow Evans</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48</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Robert Flatley</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63</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Cary Grossman</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70</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Caitlin Long</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54</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Wesley (Bo) Williams</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47</w:t>
            </w:r>
          </w:p>
        </w:tc>
        <w:tc>
          <w:tcPr>
            <w:tcW w:w="10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Page </w:t>
      </w:r>
      <w:r>
        <w:rPr>
          <w:rFonts w:ascii="Times New Roman" w:cs="Times New Roman" w:eastAsia="Times New Roman" w:hAnsi="Times New Roman"/>
          <w:sz w:val="18"/>
          <w:szCs w:val="18"/>
          <w:color w:val="auto"/>
        </w:rPr>
        <w:t>has served as Cipher’s Chief Executive Officer and as a member of the Board since August 2021. From 2020 to 2021, Mr. Page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Business Development for digital asset infrastructure at Bitfury Holding, where he was responsible for business development and strategic planning work of the Bitfury Group. He brings more than 20 years of experience in institutional finance and fintech, including as a member of the Management Committee and Head of Client Strategies at New York Digital Investment Group (NYDIG), from 2017 to 2019, and as Head of Institutional Sales at Stone Ridge Asset Management, from 2016 to 2019. Previously, he served as Global Head of Business Development for Fund Solutions at Guggenheim Partners in New York and London, as well as in various roles on derivatives teams at Goldman Sachs and Lehman Brothers. He began his career as an attorney at Davis Polk &amp; Wardwell LLP. He holds a J.D. from the University of Michigan Law School and a B.A. from the University of Virginia.</w:t>
      </w:r>
    </w:p>
    <w:p>
      <w:pPr>
        <w:spacing w:after="0" w:line="14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Farrell </w:t>
      </w:r>
      <w:r>
        <w:rPr>
          <w:rFonts w:ascii="Times New Roman" w:cs="Times New Roman" w:eastAsia="Times New Roman" w:hAnsi="Times New Roman"/>
          <w:sz w:val="18"/>
          <w:szCs w:val="18"/>
          <w:color w:val="auto"/>
        </w:rPr>
        <w:t>has served as Cipher’s Chief Financial Officer since August 2021. Prior to Cipher, from 2003 to 2018, Mr. Farrell held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positions at AllianceBernstein, L.P., including Controller, Chief Accounting Officer and Chief Financial Officer. Mr. Farrell brings more than 35 years of financial administration and leadership experience in the financial services industry, including his prior positions at Nomura Securities International and Salomon Brothers. Mr. Farrell started his career at PricewaterhouseCoopers LLP. Mr. Farrell currently serves on the board of directors Arbor Realty Trust, Inc. where he is a member to both their Audit and Compensation Committees. He received his B.B.A. in Business Administration from St. Bonaventure University.</w:t>
      </w:r>
    </w:p>
    <w:p>
      <w:pPr>
        <w:spacing w:after="0" w:line="153"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Kelly </w:t>
      </w:r>
      <w:r>
        <w:rPr>
          <w:rFonts w:ascii="Times New Roman" w:cs="Times New Roman" w:eastAsia="Times New Roman" w:hAnsi="Times New Roman"/>
          <w:sz w:val="18"/>
          <w:szCs w:val="18"/>
          <w:color w:val="auto"/>
        </w:rPr>
        <w:t>has served as Cipher’s Chief Operating Officer since August 2021, and as Co-President since March 2023. Prior to Cipher, from 2012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2019, Mr. Kelly served as Chief Operating Officer at Stone Ridge Asset Management, LLC. Between 2012 and 2018, he also held several directorship positions with several trusts of Stone Ridge Asset Management. From 2009 to 2012, Mr. Kelly served as Chief Operating Officer of Quantitative Strategies at Magnetar Capital. Prior to that, he served as Head of Portfolio Valuation at D. E. Shaw &amp; Co. Mr. Kelly is a Chartered Financial Analyst (CFA) and received his B.S. in Finance from DePaul University.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0" w:name="page91"/>
    <w:bookmarkEnd w:id="90"/>
    <w:p>
      <w:pPr>
        <w:spacing w:after="0" w:line="147"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William Iwaschuk </w:t>
      </w:r>
      <w:r>
        <w:rPr>
          <w:rFonts w:ascii="Times New Roman" w:cs="Times New Roman" w:eastAsia="Times New Roman" w:hAnsi="Times New Roman"/>
          <w:sz w:val="18"/>
          <w:szCs w:val="18"/>
          <w:color w:val="auto"/>
        </w:rPr>
        <w:t>has served as Cipher’s Chief Legal Officer since August 2021, as Corporate Secretary since May 2022 and as Co-President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2023. Prior to Cipher, from 2014 to 2020, Mr. Iwaschuk held senior positions at Tower Research Capital LLC, including serving as General Counsel and Secretary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2020) and Counsel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2016). From 2013 to 2014, Mr. Iwaschuk was a Partner in the Investment Management Group of Morgan, Lewis &amp; Bockius LLP in New York. Mr. Iwaschuk also previously served as a 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President in the legal department at Goldman Sachs &amp; Co. from 2005 until 2012. He started his career as an equity derivatives associate at Davis Polk &amp; Wardwell LLP in New York. Mr. Iwaschuk also currently serves on the board of directors of Futures and Options, a non-profit organization. Mr. Iwaschuk received his LL.B. and B.A. degrees from The University of British Columbia.</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Employee Directors</w:t>
      </w:r>
    </w:p>
    <w:p>
      <w:pPr>
        <w:spacing w:after="0" w:line="2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James Newsome </w:t>
      </w:r>
      <w:r>
        <w:rPr>
          <w:rFonts w:ascii="Times New Roman" w:cs="Times New Roman" w:eastAsia="Times New Roman" w:hAnsi="Times New Roman"/>
          <w:sz w:val="18"/>
          <w:szCs w:val="18"/>
          <w:color w:val="auto"/>
        </w:rPr>
        <w:t>has served as a member of our board of directors since August 2021. Mr. Newsome served on the advisory board of Bitfury Top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HoldCo from 2015 until 2021. Mr. Newsome served as president of the New York Mercantile Exchange from August of 2004 until it was acquired by the CME Group in 2009. He subsequently served on the board of CME Group from 2009 until 2011. Mr. Newsome has also previously served on the board of directors of the Dubai Mercantile Exchange and is a former director of the National Futures Association. From 1998 until 2004, Mr. Newsome held various senior roles at the U.S. Commodity Futures Trading Commission (“CFTC”) from Commissioner (1998 to 2000) to a Chairman of CFTC (2000 to 2004). As a Chairman of CFTC, Mr. Newsome guided the regulation of the nation’s futures markets and led the CFTC’s regulatory implementation of the Commodity Futures Modernization Act of 2000. He also served as one of four members of the President’s Working Group for Financial Markets, along with the Secretary of the Treasury and the Chairmen of the Federal Reserve and the SEC. Mr. Newsome is also presently a founding partner of Delta Strategy Group, a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government affairs firm based in Washington, D.C. He earned a B.S. in Economics from the University of Florida, a Masters in Genetics from Mississippi State University and a Ph.D. in Economics from Mississippi State University. We believe that Mr. Newsome is well qualified to serve on our board of directors due to his extensive corporate finance and management experience.</w:t>
      </w:r>
    </w:p>
    <w:p>
      <w:pPr>
        <w:spacing w:after="0" w:line="158"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Robert Dykes </w:t>
      </w:r>
      <w:r>
        <w:rPr>
          <w:rFonts w:ascii="Times New Roman" w:cs="Times New Roman" w:eastAsia="Times New Roman" w:hAnsi="Times New Roman"/>
          <w:sz w:val="18"/>
          <w:szCs w:val="18"/>
          <w:color w:val="auto"/>
        </w:rPr>
        <w:t>has served on our board of directors since August 2021. Prior to Cipher, Mr. Dykes served as Director of Bitfury Group Limited (UK)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2014 until 2020 and was on the advisory board of Bitfury Top HoldCo from 2020 until 2021. From 2008 to 2013, Mr. Dykes served as the Chief Financial Officer, Executive Vice President and Principal Accounting Officer of VeriFone Systems, Inc., a company specializing in retail credit card payment systems. He has more than 30 years of operational management experience, and an established reputation in building world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organizations. He served as the Chief Financial Officer and Executive Vice President, Business Operations of Juniper Networks Inc., from 2005 to 2007. Mr. Dykes served as the Chief Financial Officer of Flextronics International Ltd., from 1997 to 2004. From 1988 to 1997, Mr. Dykes served as the Executive Vice President of Worldwide Operations and Chief Financial Officer of Symantec Corporation. Mr. Dykes holds a Bachelor of Commerce and Administration Degree from Victoria University in Wellington, New Zealand. We believe that Mr. Dykes is well qualified to serve on our board of directors due to his extensive corporate finance and management experience and his overall public company experience.</w:t>
      </w:r>
    </w:p>
    <w:p>
      <w:pPr>
        <w:spacing w:after="0" w:line="16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Holly Morrow Evans </w:t>
      </w:r>
      <w:r>
        <w:rPr>
          <w:rFonts w:ascii="Times New Roman" w:cs="Times New Roman" w:eastAsia="Times New Roman" w:hAnsi="Times New Roman"/>
          <w:sz w:val="18"/>
          <w:szCs w:val="18"/>
          <w:color w:val="auto"/>
        </w:rPr>
        <w:t>has served on our board of directors since August 2021. Since 2015, Ms. Evans has been a partner at Hakluyt and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she currently serves as the firm’s Head of Risk and Deputy Managing Partner. From 2007 to 2013, she was a senior adviser for ExxonMobil. She also served as director on the National Security Council from 2005 to 2007 and as China advisor to the office of the Vice President from 2003 to 2005. Mrs. Evans holds a B.A. in Political Science from Georgetown and an M.A. in Asian Studies from Harvard University. We believe that Mrs. Evans is well qualified to serve on our board of directors due to her extensive advisory experience.</w:t>
      </w:r>
    </w:p>
    <w:p>
      <w:pPr>
        <w:spacing w:after="0" w:line="13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Flatley </w:t>
      </w:r>
      <w:r>
        <w:rPr>
          <w:rFonts w:ascii="Times New Roman" w:cs="Times New Roman" w:eastAsia="Times New Roman" w:hAnsi="Times New Roman"/>
          <w:sz w:val="18"/>
          <w:szCs w:val="18"/>
          <w:color w:val="auto"/>
        </w:rPr>
        <w:t>has served on our board of directors since August 2023. Since 2021, Mr. Flatley has served as a director, the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founder of TS Imagine, which was formed following the merger of Trading Screen and Imagine Software. From 2018 to 2019, Mr. Flatley served as a director and as President, Chief Financial Officer and Chief Operating Officer at New York Digital Investment Group (NYDIG). From 2010 to 2018, he served as a director and Chief Executive Officer of CoreOne Technologies. Earlier in his career, Mr. Flatley was a Managing Director at both Deutsche Bank Securities, and at Banc of America Securities. He has hands-on experience in various capital markets roles, including trading, securities and prime finance, building SaaS business models, market structure, quantitative trading, software development, and software M&amp;A. He founded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5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successful companies as a technology entrepreneur using both software and data-as-a-service models, and he was a founding employee of two statistically driven trading businesses at bulge bracket financial institutions. He earned a B.B.A. in Accounting from the University of Iowa in 1985. We believe that Mr. Flatley is well qualified to serve on our board of directors due to his extensive experience in regulated financial services institutions and as a founder of four successful fintech companies.</w:t>
      </w:r>
    </w:p>
    <w:p>
      <w:pPr>
        <w:spacing w:after="0" w:line="1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Cary Grossman </w:t>
      </w:r>
      <w:r>
        <w:rPr>
          <w:rFonts w:ascii="Times New Roman" w:cs="Times New Roman" w:eastAsia="Times New Roman" w:hAnsi="Times New Roman"/>
          <w:sz w:val="18"/>
          <w:szCs w:val="18"/>
          <w:color w:val="auto"/>
        </w:rPr>
        <w:t>has served as a member of our board of directors since August 2021. Mr. Grossman co-founded GWAC in 2020 and served as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a member of its board of directors from June 2020 through August 2021. Mr. Grossman also served as CEO, President, Chief Financial Officer and a member of the board of directors of Good Works II Acquisition Corp. during the period from February 2021 through February 2023. Mr. Grossman is a veteran corporate finance professional with a combination of executive management, investment banking and public accounting experience. In 2010, Mr. Grossman co-founded Shoreline Capital Advisors, Inc., an advisory firm focused on providing financial advisory services to middle-market companies. Prior to Shoreline Capital Advisors, from 1991 to 2002, Mr. Grossman co-founded and was the CEO of another investment banking firm, McFarland, Grossman &amp; Company. Earlier in his career, he practiced public accounting for 15 years. Mr. Grossman also held a number of executive positions, including: President of XFit, Inc. from 2019 to 2020; Chief Financial Officer of Blaze Metals, LLC from 2007 to 2010; Executive Vice President, Chief Financial Officer and Chief Operating Officer of Gentium, S.P.A. from 2004 to 2006; Chief Executive Officer of ERP Environmental Services, Inc. and Chief Financial Officer of U.S. Liquids, Inc. from 2001 to 2003. He also co-founded Pentacon, Inc. (NYSE: JIT) and served as a board member and Executive Chairman from 1998 until 2002, and as a director of Metalico (NYSE: MEA) from 2014 until 2015 and INX Inc. (Nasdaq: INXI) from 2004 until 2011. Mr. Grossman is a Certified Public Accountant and earned a B.B.A. in Business Administration from the University of Texas. We believe that Mr. Grossman is well qualified to serve on our board of directors due to his extensive corporate finance and management experience and his overall public company experience.</w:t>
      </w:r>
    </w:p>
    <w:p>
      <w:pPr>
        <w:spacing w:after="0" w:line="153"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Caitlin Long </w:t>
      </w:r>
      <w:r>
        <w:rPr>
          <w:rFonts w:ascii="Times New Roman" w:cs="Times New Roman" w:eastAsia="Times New Roman" w:hAnsi="Times New Roman"/>
          <w:sz w:val="18"/>
          <w:szCs w:val="18"/>
          <w:color w:val="auto"/>
        </w:rPr>
        <w:t>has served as a member of our board of directors since August 2021. Ms. Long has extensive experience in both traditional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cryptocurrencies. She is the Founder and Chief Executive Officer of Custodia Bank, Inc. (formerly Avanti Financial Group, Inc.), a chartered bank that she founded in 2020 to serve as a compliant bridge between the U.S. dollar and cryptocurrency financial systems. From 2016 to 2018, Ms. Long served as the Chairman and President of Symbiont.io, an enterprise fintech company that utilizes blockchain technology. Beginning in 2017 she helped lead the charge in her native state of Wyoming to enact more than 20 blockchain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laws during consecutive legislative sessions, and in 2018 she was appointed by two Wyoming Governors to serve on related legislative committees. She worked at investment banks in New York and Zurich from 1994 to 2016, where she held senior roles as a Managing Director at Morgan Stanley and Credit Suisse. Ms. Long earned a B.A. from the University of Wyoming and a joint J.D./ M.P.P. degree from Harvard Law School and Harvard Kennedy School of Government. We believe that Ms. Long is well qualified to serve on our board of directors due to her extensive digital asset experience, her legal and regulatory expertise, and her prior experience working with public companies.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Wesley Williams </w:t>
      </w:r>
      <w:r>
        <w:rPr>
          <w:rFonts w:ascii="Times New Roman" w:cs="Times New Roman" w:eastAsia="Times New Roman" w:hAnsi="Times New Roman"/>
          <w:sz w:val="18"/>
          <w:szCs w:val="18"/>
          <w:color w:val="auto"/>
        </w:rPr>
        <w:t>has served on our board of directors since August 2021. Mr. Williams brings over 20 years of experience in corporate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2021, Mr. Williams has served as the Head of Aquarian Credit Partners. Since 2017, he has served as Portfolio Manager, Chief Operating Officer, and a member of the Board of Managers of Gallatin Loan Management, a high yield credit investment management firm. From 2013 until 2016, Mr. Williams was a founding partner of Hildene Leveraged Credit, until its sale to affiliates of Fortress Investment Group. From 2010 through 2012, he worked as a turnaround Operating Partner, Interim CFO, and Shareholder Representative for Goldman Sachs portfolio companies. From 2006 until 2008, Mr. Williams worked as a Vice President of specialty finance and leveraged credit at Marathon Asset Management, a high yield credit investment manager. From 1999 through 2005, Mr. Williams also held various roles in the Investment Banking and Merchant Banking Divisions of Goldman Sachs. He holds an AB in Sociology from Harvard College and an MBA from Harvard Business School. We believe that Mr. Williams is well qualified to serve on our board of directors due to his extensive corporate finance and overall management experience.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executive officers.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t>
      </w:r>
      <w:r>
        <w:rPr>
          <w:rFonts w:ascii="Times New Roman" w:cs="Times New Roman" w:eastAsia="Times New Roman" w:hAnsi="Times New Roman"/>
          <w:sz w:val="18"/>
          <w:szCs w:val="18"/>
          <w:i w:val="1"/>
          <w:iCs w:val="1"/>
          <w:color w:val="auto"/>
        </w:rPr>
        <w:t>https://investors.ciphermining.com</w:t>
      </w:r>
      <w:r>
        <w:rPr>
          <w:rFonts w:ascii="Times New Roman" w:cs="Times New Roman" w:eastAsia="Times New Roman" w:hAnsi="Times New Roman"/>
          <w:sz w:val="18"/>
          <w:szCs w:val="18"/>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w:t>
      </w:r>
    </w:p>
    <w:p>
      <w:pPr>
        <w:spacing w:after="0" w:line="14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The remaining information required by this item will be included in our definitive proxy statement for our 2024 Annual Meeting of Stockholders (the “2024 Proxy Statement”), to be filed with the SEC no later than 120 days after December 31, 2023, and is incorporated herein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2"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43" w:lineRule="exact"/>
        <w:rPr>
          <w:rFonts w:ascii="Times New Roman" w:cs="Times New Roman" w:eastAsia="Times New Roman" w:hAnsi="Times New Roman"/>
          <w:sz w:val="18"/>
          <w:szCs w:val="18"/>
          <w:color w:val="auto"/>
        </w:rPr>
      </w:pP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included on pages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through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attached hereto and are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360" w:type="dxa"/>
            <w:vAlign w:val="bottom"/>
            <w:gridSpan w:val="5"/>
          </w:tcPr>
          <w:p>
            <w:pPr>
              <w:spacing w:after="0"/>
              <w:rPr>
                <w:sz w:val="16"/>
                <w:szCs w:val="16"/>
                <w:color w:val="auto"/>
              </w:rPr>
            </w:pPr>
          </w:p>
        </w:tc>
        <w:tc>
          <w:tcPr>
            <w:tcW w:w="620" w:type="dxa"/>
            <w:vAlign w:val="bottom"/>
            <w:tcBorders>
              <w:top w:val="single" w:sz="8" w:color="auto"/>
            </w:tcBorders>
          </w:tcPr>
          <w:p>
            <w:pPr>
              <w:ind w:left="360"/>
              <w:spacing w:after="0" w:line="189" w:lineRule="exact"/>
              <w:rPr>
                <w:sz w:val="20"/>
                <w:szCs w:val="20"/>
                <w:color w:val="auto"/>
              </w:rPr>
            </w:pPr>
            <w:r>
              <w:rPr>
                <w:rFonts w:ascii="Times New Roman" w:cs="Times New Roman" w:eastAsia="Times New Roman" w:hAnsi="Times New Roman"/>
                <w:sz w:val="18"/>
                <w:szCs w:val="18"/>
                <w:color w:val="auto"/>
                <w:w w:val="97"/>
              </w:rPr>
              <w:t>F</w:t>
            </w: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640" w:type="dxa"/>
            <w:vAlign w:val="bottom"/>
            <w:gridSpan w:val="2"/>
          </w:tcPr>
          <w:p>
            <w:pPr>
              <w:ind w:left="36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vMerge w:val="restart"/>
          </w:tcPr>
          <w:p>
            <w:pPr>
              <w:ind w:left="36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and December 31, 2022</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gridSpan w:val="2"/>
            <w:shd w:val="clear" w:color="auto" w:fill="0000FF"/>
          </w:tcPr>
          <w:p>
            <w:pPr>
              <w:spacing w:after="0" w:line="20" w:lineRule="exact"/>
              <w:rPr>
                <w:sz w:val="1"/>
                <w:szCs w:val="1"/>
                <w:color w:val="auto"/>
              </w:rPr>
            </w:pPr>
          </w:p>
        </w:tc>
        <w:tc>
          <w:tcPr>
            <w:tcW w:w="43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vMerge w:val="restart"/>
          </w:tcPr>
          <w:p>
            <w:pPr>
              <w:ind w:left="36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(Deficit) for the years ended December 31, 2023 and December 31, 2022</w:t>
            </w:r>
          </w:p>
        </w:tc>
        <w:tc>
          <w:tcPr>
            <w:tcW w:w="8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December 31, 2022</w:t>
            </w:r>
          </w:p>
        </w:tc>
        <w:tc>
          <w:tcPr>
            <w:tcW w:w="640" w:type="dxa"/>
            <w:vAlign w:val="bottom"/>
            <w:gridSpan w:val="2"/>
          </w:tcPr>
          <w:p>
            <w:pPr>
              <w:ind w:left="36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80" w:type="dxa"/>
            <w:vAlign w:val="bottom"/>
            <w:gridSpan w:val="2"/>
          </w:tcPr>
          <w:p>
            <w:pPr>
              <w:spacing w:after="0"/>
              <w:rPr>
                <w:sz w:val="19"/>
                <w:szCs w:val="19"/>
                <w:color w:val="auto"/>
              </w:rPr>
            </w:pPr>
          </w:p>
        </w:tc>
        <w:tc>
          <w:tcPr>
            <w:tcW w:w="640" w:type="dxa"/>
            <w:vAlign w:val="bottom"/>
            <w:gridSpan w:val="2"/>
          </w:tcPr>
          <w:p>
            <w:pPr>
              <w:ind w:left="36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012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(2) Financial Statement Schedules.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22"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Exhibits.</w:t>
      </w:r>
    </w:p>
    <w:p>
      <w:pPr>
        <w:spacing w:after="0" w:line="143" w:lineRule="exact"/>
        <w:rPr>
          <w:rFonts w:ascii="Times New Roman" w:cs="Times New Roman" w:eastAsia="Times New Roman" w:hAnsi="Times New Roman"/>
          <w:sz w:val="18"/>
          <w:szCs w:val="18"/>
          <w:color w:val="auto"/>
        </w:rPr>
      </w:pP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exhibits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64"/>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4"/>
                <w:szCs w:val="14"/>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4"/>
                <w:szCs w:val="14"/>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4"/>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11"/>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4"/>
                <w:szCs w:val="24"/>
                <w:color w:val="auto"/>
              </w:rPr>
            </w:pPr>
          </w:p>
        </w:tc>
        <w:tc>
          <w:tcPr>
            <w:tcW w:w="48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Agreement and Plan of Merger, dated as of March 4, 2021, by and among</w:t>
              </w:r>
            </w:hyperlink>
          </w:p>
        </w:tc>
        <w:tc>
          <w:tcPr>
            <w:tcW w:w="260" w:type="dxa"/>
            <w:vAlign w:val="bottom"/>
            <w:gridSpan w:val="3"/>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2.1</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3/5/21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bottom w:val="single" w:sz="8" w:color="0000FF"/>
            </w:tcBorders>
            <w:gridSpan w:val="16"/>
          </w:tcPr>
          <w:p>
            <w:pPr>
              <w:spacing w:after="0" w:line="18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Good Works Acquisition Corp., Currency Merger Sub, Inc. and Cipher</w:t>
              </w:r>
            </w:hyperlink>
          </w:p>
        </w:tc>
        <w:tc>
          <w:tcPr>
            <w:tcW w:w="44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Borders>
              <w:bottom w:val="single" w:sz="8" w:color="0000EE"/>
            </w:tcBorders>
            <w:gridSpan w:val="7"/>
          </w:tcPr>
          <w:p>
            <w:pPr>
              <w:spacing w:after="0" w:line="18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Mining Technologies Inc.</w:t>
              </w:r>
            </w:hyperlink>
          </w:p>
        </w:tc>
        <w:tc>
          <w:tcPr>
            <w:tcW w:w="3360" w:type="dxa"/>
            <w:vAlign w:val="bottom"/>
            <w:gridSpan w:val="14"/>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8"/>
                <w:szCs w:val="18"/>
                <w:color w:val="auto"/>
              </w:rPr>
            </w:pPr>
          </w:p>
        </w:tc>
        <w:tc>
          <w:tcPr>
            <w:tcW w:w="45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Second Amended and Restated Certificate of Incorporation of Cipher</w:t>
              </w:r>
            </w:hyperlink>
          </w:p>
        </w:tc>
        <w:tc>
          <w:tcPr>
            <w:tcW w:w="540" w:type="dxa"/>
            <w:vAlign w:val="bottom"/>
            <w:gridSpan w:val="6"/>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3.1</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0000EE"/>
            </w:tcBorders>
            <w:gridSpan w:val="4"/>
          </w:tcPr>
          <w:p>
            <w:pPr>
              <w:spacing w:after="0" w:line="18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Mining Inc.</w:t>
              </w:r>
            </w:hyperlink>
          </w:p>
        </w:tc>
        <w:tc>
          <w:tcPr>
            <w:tcW w:w="4260" w:type="dxa"/>
            <w:vAlign w:val="bottom"/>
            <w:gridSpan w:val="17"/>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540" w:type="dxa"/>
            <w:vAlign w:val="bottom"/>
            <w:tcBorders>
              <w:bottom w:val="single" w:sz="8" w:color="0000EE"/>
            </w:tcBorders>
            <w:gridSpan w:val="11"/>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Amended and Restated Bylaws of Cipher Mining Inc.</w:t>
              </w:r>
            </w:hyperlink>
          </w:p>
        </w:tc>
        <w:tc>
          <w:tcPr>
            <w:tcW w:w="1540" w:type="dxa"/>
            <w:vAlign w:val="bottom"/>
            <w:gridSpan w:val="10"/>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3.2</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1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8"/>
                <w:szCs w:val="18"/>
                <w:color w:val="auto"/>
              </w:rPr>
            </w:pPr>
          </w:p>
        </w:tc>
        <w:tc>
          <w:tcPr>
            <w:tcW w:w="900" w:type="dxa"/>
            <w:vAlign w:val="bottom"/>
            <w:gridSpan w:val="8"/>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S-1/A</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333-248333</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4.3</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10/9/21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436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Warrant Agreement, dated as of October 19, 2020, by and between</w:t>
              </w:r>
            </w:hyperlink>
          </w:p>
        </w:tc>
        <w:tc>
          <w:tcPr>
            <w:tcW w:w="720" w:type="dxa"/>
            <w:vAlign w:val="bottom"/>
            <w:gridSpan w:val="7"/>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4.1</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10/28/20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tcBorders>
              <w:bottom w:val="single" w:sz="8" w:color="0000FF"/>
            </w:tcBorders>
            <w:gridSpan w:val="20"/>
          </w:tcPr>
          <w:p>
            <w:pPr>
              <w:spacing w:after="0" w:line="18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Continental Stock Transfer &amp; Trust Company and Good Works Acquisition</w:t>
              </w:r>
            </w:hyperlink>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00EE"/>
            </w:tcBorders>
            <w:gridSpan w:val="3"/>
          </w:tcPr>
          <w:p>
            <w:pPr>
              <w:spacing w:after="0" w:line="18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Corp.</w:t>
              </w:r>
            </w:hyperlink>
          </w:p>
        </w:tc>
        <w:tc>
          <w:tcPr>
            <w:tcW w:w="4660" w:type="dxa"/>
            <w:vAlign w:val="bottom"/>
            <w:gridSpan w:val="18"/>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8"/>
                <w:szCs w:val="18"/>
                <w:color w:val="auto"/>
              </w:rPr>
            </w:pPr>
          </w:p>
        </w:tc>
        <w:tc>
          <w:tcPr>
            <w:tcW w:w="18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Description of Capital Stock</w:t>
              </w:r>
            </w:hyperlink>
          </w:p>
        </w:tc>
        <w:tc>
          <w:tcPr>
            <w:tcW w:w="20" w:type="dxa"/>
            <w:vAlign w:val="bottom"/>
            <w:tcBorders>
              <w:bottom w:val="single" w:sz="8" w:color="0000EE"/>
            </w:tcBorders>
          </w:tcPr>
          <w:p>
            <w:pPr>
              <w:spacing w:after="0"/>
              <w:rPr>
                <w:sz w:val="18"/>
                <w:szCs w:val="18"/>
                <w:color w:val="auto"/>
              </w:rPr>
            </w:pPr>
          </w:p>
        </w:tc>
        <w:tc>
          <w:tcPr>
            <w:tcW w:w="3200" w:type="dxa"/>
            <w:vAlign w:val="bottom"/>
            <w:gridSpan w:val="12"/>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140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4.3</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8"/>
                <w:szCs w:val="18"/>
                <w:color w:val="auto"/>
              </w:rPr>
            </w:pPr>
          </w:p>
        </w:tc>
        <w:tc>
          <w:tcPr>
            <w:tcW w:w="49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Amended and Restated Registration Rights Agreement among Good Works</w:t>
              </w:r>
            </w:hyperlink>
          </w:p>
        </w:tc>
        <w:tc>
          <w:tcPr>
            <w:tcW w:w="1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10.2</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0" w:type="dxa"/>
            <w:vAlign w:val="bottom"/>
            <w:tcBorders>
              <w:bottom w:val="single" w:sz="8" w:color="0000FF"/>
            </w:tcBorders>
            <w:gridSpan w:val="17"/>
          </w:tcPr>
          <w:p>
            <w:pPr>
              <w:spacing w:after="0" w:line="18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Acquisition Corp., Good Works Acquisition Corp.’ directors, Bitfury Top</w:t>
              </w:r>
            </w:hyperlink>
          </w:p>
        </w:tc>
        <w:tc>
          <w:tcPr>
            <w:tcW w:w="28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Borders>
              <w:bottom w:val="single" w:sz="8" w:color="0000EE"/>
            </w:tcBorders>
            <w:gridSpan w:val="10"/>
          </w:tcPr>
          <w:p>
            <w:pPr>
              <w:spacing w:after="0" w:line="18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HoldCo and others, dated August 26, 2021</w:t>
              </w:r>
            </w:hyperlink>
          </w:p>
        </w:tc>
        <w:tc>
          <w:tcPr>
            <w:tcW w:w="226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48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Form of Indemnification and Advancement Agreement for Cipher Mining</w:t>
              </w:r>
            </w:hyperlink>
          </w:p>
        </w:tc>
        <w:tc>
          <w:tcPr>
            <w:tcW w:w="240" w:type="dxa"/>
            <w:vAlign w:val="bottom"/>
            <w:gridSpan w:val="2"/>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8"/>
              </w:rPr>
              <w:t>333-256115</w:t>
            </w:r>
          </w:p>
        </w:tc>
        <w:tc>
          <w:tcPr>
            <w:tcW w:w="8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10.16</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6/15/21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0000FF"/>
            </w:tcBorders>
          </w:tcPr>
          <w:p>
            <w:pPr>
              <w:spacing w:after="0" w:line="182" w:lineRule="exact"/>
              <w:rPr>
                <w:rFonts w:ascii="Times New Roman" w:cs="Times New Roman" w:eastAsia="Times New Roman" w:hAnsi="Times New Roman"/>
                <w:sz w:val="16"/>
                <w:szCs w:val="16"/>
                <w:color w:val="0000FF"/>
                <w:w w:val="98"/>
              </w:rPr>
            </w:pPr>
            <w:hyperlink r:id="rId144">
              <w:r>
                <w:rPr>
                  <w:rFonts w:ascii="Times New Roman" w:cs="Times New Roman" w:eastAsia="Times New Roman" w:hAnsi="Times New Roman"/>
                  <w:sz w:val="16"/>
                  <w:szCs w:val="16"/>
                  <w:color w:val="0000FF"/>
                  <w:w w:val="98"/>
                </w:rPr>
                <w:t>Inc.</w:t>
              </w:r>
            </w:hyperlink>
          </w:p>
        </w:tc>
        <w:tc>
          <w:tcPr>
            <w:tcW w:w="40" w:type="dxa"/>
            <w:vAlign w:val="bottom"/>
            <w:tcBorders>
              <w:bottom w:val="single" w:sz="8" w:color="0000EE"/>
            </w:tcBorders>
          </w:tcPr>
          <w:p>
            <w:pPr>
              <w:spacing w:after="0"/>
              <w:rPr>
                <w:sz w:val="15"/>
                <w:szCs w:val="15"/>
                <w:color w:val="auto"/>
              </w:rPr>
            </w:pPr>
          </w:p>
        </w:tc>
        <w:tc>
          <w:tcPr>
            <w:tcW w:w="4780" w:type="dxa"/>
            <w:vAlign w:val="bottom"/>
            <w:gridSpan w:val="19"/>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8"/>
                <w:szCs w:val="18"/>
                <w:color w:val="auto"/>
              </w:rPr>
            </w:pPr>
          </w:p>
        </w:tc>
        <w:tc>
          <w:tcPr>
            <w:tcW w:w="48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Indemnification and Advancement Agreement for Cipher Mining</w:t>
              </w:r>
            </w:hyperlink>
          </w:p>
        </w:tc>
        <w:tc>
          <w:tcPr>
            <w:tcW w:w="240" w:type="dxa"/>
            <w:vAlign w:val="bottom"/>
            <w:gridSpan w:val="2"/>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8"/>
              </w:rPr>
              <w:t>333-256115</w:t>
            </w:r>
          </w:p>
        </w:tc>
        <w:tc>
          <w:tcPr>
            <w:tcW w:w="8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10.17</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6/15/21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0000FF"/>
            </w:tcBorders>
            <w:gridSpan w:val="5"/>
          </w:tcPr>
          <w:p>
            <w:pPr>
              <w:spacing w:after="0" w:line="182" w:lineRule="exact"/>
              <w:rPr>
                <w:rFonts w:ascii="Times New Roman" w:cs="Times New Roman" w:eastAsia="Times New Roman" w:hAnsi="Times New Roman"/>
                <w:sz w:val="16"/>
                <w:szCs w:val="16"/>
                <w:color w:val="0000FF"/>
                <w:w w:val="99"/>
              </w:rPr>
            </w:pPr>
            <w:hyperlink r:id="rId145">
              <w:r>
                <w:rPr>
                  <w:rFonts w:ascii="Times New Roman" w:cs="Times New Roman" w:eastAsia="Times New Roman" w:hAnsi="Times New Roman"/>
                  <w:sz w:val="16"/>
                  <w:szCs w:val="16"/>
                  <w:color w:val="0000FF"/>
                  <w:w w:val="99"/>
                </w:rPr>
                <w:t>Technologies Inc.</w:t>
              </w:r>
            </w:hyperlink>
          </w:p>
        </w:tc>
        <w:tc>
          <w:tcPr>
            <w:tcW w:w="20" w:type="dxa"/>
            <w:vAlign w:val="bottom"/>
            <w:tcBorders>
              <w:bottom w:val="single" w:sz="8" w:color="0000EE"/>
            </w:tcBorders>
          </w:tcPr>
          <w:p>
            <w:pPr>
              <w:spacing w:after="0"/>
              <w:rPr>
                <w:sz w:val="15"/>
                <w:szCs w:val="15"/>
                <w:color w:val="auto"/>
              </w:rPr>
            </w:pPr>
          </w:p>
        </w:tc>
        <w:tc>
          <w:tcPr>
            <w:tcW w:w="3900" w:type="dxa"/>
            <w:vAlign w:val="bottom"/>
            <w:gridSpan w:val="15"/>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4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9"/>
              </w:rPr>
            </w:pPr>
            <w:hyperlink r:id="rId147">
              <w:r>
                <w:rPr>
                  <w:rFonts w:ascii="Times New Roman" w:cs="Times New Roman" w:eastAsia="Times New Roman" w:hAnsi="Times New Roman"/>
                  <w:sz w:val="16"/>
                  <w:szCs w:val="16"/>
                  <w:color w:val="0000FF"/>
                  <w:w w:val="99"/>
                </w:rPr>
                <w:t>Cipher Mining Incentive Award Plan</w:t>
              </w:r>
            </w:hyperlink>
          </w:p>
        </w:tc>
        <w:tc>
          <w:tcPr>
            <w:tcW w:w="20" w:type="dxa"/>
            <w:vAlign w:val="bottom"/>
            <w:tcBorders>
              <w:bottom w:val="single" w:sz="8" w:color="0000EE"/>
            </w:tcBorders>
          </w:tcPr>
          <w:p>
            <w:pPr>
              <w:spacing w:after="0"/>
              <w:rPr>
                <w:sz w:val="16"/>
                <w:szCs w:val="16"/>
                <w:color w:val="auto"/>
              </w:rPr>
            </w:pPr>
          </w:p>
        </w:tc>
        <w:tc>
          <w:tcPr>
            <w:tcW w:w="2500" w:type="dxa"/>
            <w:vAlign w:val="bottom"/>
            <w:gridSpan w:val="25"/>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84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Form of Cipher Mining Inc. Restricted Stock Grant Notice and Restricted</w:t>
              </w:r>
            </w:hyperlink>
          </w:p>
        </w:tc>
        <w:tc>
          <w:tcPr>
            <w:tcW w:w="80" w:type="dxa"/>
            <w:vAlign w:val="bottom"/>
            <w:gridSpan w:val="3"/>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10.8(a)</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182"/>
        </w:trPr>
        <w:tc>
          <w:tcPr>
            <w:tcW w:w="1020" w:type="dxa"/>
            <w:vAlign w:val="bottom"/>
          </w:tcPr>
          <w:p>
            <w:pPr>
              <w:spacing w:after="0"/>
              <w:rPr>
                <w:sz w:val="15"/>
                <w:szCs w:val="15"/>
                <w:color w:val="auto"/>
              </w:rPr>
            </w:pPr>
          </w:p>
        </w:tc>
        <w:tc>
          <w:tcPr>
            <w:tcW w:w="3020" w:type="dxa"/>
            <w:vAlign w:val="bottom"/>
            <w:tcBorders>
              <w:bottom w:val="single" w:sz="8" w:color="0000EE"/>
            </w:tcBorders>
            <w:gridSpan w:val="14"/>
          </w:tcPr>
          <w:p>
            <w:pPr>
              <w:spacing w:after="0" w:line="18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Stock Agreement under Incentive Award Plan</w:t>
              </w:r>
            </w:hyperlink>
          </w:p>
        </w:tc>
        <w:tc>
          <w:tcPr>
            <w:tcW w:w="1900" w:type="dxa"/>
            <w:vAlign w:val="bottom"/>
            <w:gridSpan w:val="21"/>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44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Cipher Mining Inc. Restricted Stock Unit Grant Notice and</w:t>
              </w:r>
            </w:hyperlink>
          </w:p>
        </w:tc>
        <w:tc>
          <w:tcPr>
            <w:tcW w:w="480" w:type="dxa"/>
            <w:vAlign w:val="bottom"/>
            <w:gridSpan w:val="15"/>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10.8(b)</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182"/>
        </w:trPr>
        <w:tc>
          <w:tcPr>
            <w:tcW w:w="1020" w:type="dxa"/>
            <w:vAlign w:val="bottom"/>
          </w:tcPr>
          <w:p>
            <w:pPr>
              <w:spacing w:after="0"/>
              <w:rPr>
                <w:sz w:val="15"/>
                <w:szCs w:val="15"/>
                <w:color w:val="auto"/>
              </w:rPr>
            </w:pPr>
          </w:p>
        </w:tc>
        <w:tc>
          <w:tcPr>
            <w:tcW w:w="4040" w:type="dxa"/>
            <w:vAlign w:val="bottom"/>
            <w:tcBorders>
              <w:bottom w:val="single" w:sz="8" w:color="0000EE"/>
            </w:tcBorders>
            <w:gridSpan w:val="16"/>
          </w:tcPr>
          <w:p>
            <w:pPr>
              <w:spacing w:after="0" w:line="18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Restricted Stock Unit Agreement under Incentive Award Plan</w:t>
              </w:r>
            </w:hyperlink>
          </w:p>
        </w:tc>
        <w:tc>
          <w:tcPr>
            <w:tcW w:w="880" w:type="dxa"/>
            <w:vAlign w:val="bottom"/>
            <w:gridSpan w:val="19"/>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82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Form of Cipher Mining Inc. Stock Option Grant Notice and Stock Option</w:t>
              </w:r>
            </w:hyperlink>
          </w:p>
        </w:tc>
        <w:tc>
          <w:tcPr>
            <w:tcW w:w="100" w:type="dxa"/>
            <w:vAlign w:val="bottom"/>
            <w:gridSpan w:val="4"/>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10.8(c)</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182"/>
        </w:trPr>
        <w:tc>
          <w:tcPr>
            <w:tcW w:w="1020" w:type="dxa"/>
            <w:vAlign w:val="bottom"/>
          </w:tcPr>
          <w:p>
            <w:pPr>
              <w:spacing w:after="0"/>
              <w:rPr>
                <w:sz w:val="15"/>
                <w:szCs w:val="15"/>
                <w:color w:val="auto"/>
              </w:rPr>
            </w:pPr>
          </w:p>
        </w:tc>
        <w:tc>
          <w:tcPr>
            <w:tcW w:w="2620" w:type="dxa"/>
            <w:vAlign w:val="bottom"/>
            <w:tcBorders>
              <w:bottom w:val="single" w:sz="8" w:color="0000EE"/>
            </w:tcBorders>
            <w:gridSpan w:val="11"/>
          </w:tcPr>
          <w:p>
            <w:pPr>
              <w:spacing w:after="0" w:line="18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Agreement under Incentive Award Plan</w:t>
              </w:r>
            </w:hyperlink>
          </w:p>
        </w:tc>
        <w:tc>
          <w:tcPr>
            <w:tcW w:w="2300" w:type="dxa"/>
            <w:vAlign w:val="bottom"/>
            <w:gridSpan w:val="24"/>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92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Form of Cipher Mining Inc. Executive Officer Restricted Stock Unit Grant</w:t>
              </w:r>
            </w:hyperlink>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9/15/22</w:t>
            </w:r>
          </w:p>
        </w:tc>
      </w:tr>
      <w:tr>
        <w:trPr>
          <w:trHeight w:val="182"/>
        </w:trPr>
        <w:tc>
          <w:tcPr>
            <w:tcW w:w="1020" w:type="dxa"/>
            <w:vAlign w:val="bottom"/>
          </w:tcPr>
          <w:p>
            <w:pPr>
              <w:spacing w:after="0"/>
              <w:rPr>
                <w:sz w:val="15"/>
                <w:szCs w:val="15"/>
                <w:color w:val="auto"/>
              </w:rPr>
            </w:pPr>
          </w:p>
        </w:tc>
        <w:tc>
          <w:tcPr>
            <w:tcW w:w="4500" w:type="dxa"/>
            <w:vAlign w:val="bottom"/>
            <w:tcBorders>
              <w:bottom w:val="single" w:sz="8" w:color="0000FF"/>
            </w:tcBorders>
            <w:gridSpan w:val="21"/>
          </w:tcPr>
          <w:p>
            <w:pPr>
              <w:spacing w:after="0" w:line="18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Notice and Restricted Stock Unit Agreement (Double Trigger) under</w:t>
              </w:r>
            </w:hyperlink>
          </w:p>
        </w:tc>
        <w:tc>
          <w:tcPr>
            <w:tcW w:w="420" w:type="dxa"/>
            <w:vAlign w:val="bottom"/>
            <w:gridSpan w:val="14"/>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4920" w:type="dxa"/>
            <w:vAlign w:val="bottom"/>
            <w:gridSpan w:val="35"/>
          </w:tcPr>
          <w:p>
            <w:pPr>
              <w:spacing w:after="0" w:line="18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Incentive Award Plan</w:t>
              </w:r>
            </w:hyperlink>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3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Power Purchase Agreement, dated June 23, 2021, by and between</w:t>
              </w:r>
            </w:hyperlink>
          </w:p>
        </w:tc>
        <w:tc>
          <w:tcPr>
            <w:tcW w:w="600" w:type="dxa"/>
            <w:vAlign w:val="bottom"/>
            <w:gridSpan w:val="16"/>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182"/>
        </w:trPr>
        <w:tc>
          <w:tcPr>
            <w:tcW w:w="1020" w:type="dxa"/>
            <w:vAlign w:val="bottom"/>
          </w:tcPr>
          <w:p>
            <w:pPr>
              <w:spacing w:after="0"/>
              <w:rPr>
                <w:sz w:val="15"/>
                <w:szCs w:val="15"/>
                <w:color w:val="auto"/>
              </w:rPr>
            </w:pPr>
          </w:p>
        </w:tc>
        <w:tc>
          <w:tcPr>
            <w:tcW w:w="4700" w:type="dxa"/>
            <w:vAlign w:val="bottom"/>
            <w:tcBorders>
              <w:bottom w:val="single" w:sz="8" w:color="0000FF"/>
            </w:tcBorders>
            <w:gridSpan w:val="29"/>
          </w:tcPr>
          <w:p>
            <w:pPr>
              <w:spacing w:after="0" w:line="18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Luminant ET Services Company LLC and Cipher Mining Technologies</w:t>
              </w:r>
            </w:hyperlink>
          </w:p>
        </w:tc>
        <w:tc>
          <w:tcPr>
            <w:tcW w:w="22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260" w:type="dxa"/>
            <w:vAlign w:val="bottom"/>
            <w:tcBorders>
              <w:bottom w:val="single" w:sz="8" w:color="0000FF"/>
            </w:tcBorders>
          </w:tcPr>
          <w:p>
            <w:pPr>
              <w:spacing w:after="0" w:line="182" w:lineRule="exact"/>
              <w:rPr>
                <w:rFonts w:ascii="Times New Roman" w:cs="Times New Roman" w:eastAsia="Times New Roman" w:hAnsi="Times New Roman"/>
                <w:sz w:val="16"/>
                <w:szCs w:val="16"/>
                <w:color w:val="0000FF"/>
                <w:w w:val="98"/>
              </w:rPr>
            </w:pPr>
            <w:hyperlink r:id="rId152">
              <w:r>
                <w:rPr>
                  <w:rFonts w:ascii="Times New Roman" w:cs="Times New Roman" w:eastAsia="Times New Roman" w:hAnsi="Times New Roman"/>
                  <w:sz w:val="16"/>
                  <w:szCs w:val="16"/>
                  <w:color w:val="0000FF"/>
                  <w:w w:val="98"/>
                </w:rPr>
                <w:t>Inc.</w:t>
              </w:r>
            </w:hyperlink>
          </w:p>
        </w:tc>
        <w:tc>
          <w:tcPr>
            <w:tcW w:w="40" w:type="dxa"/>
            <w:vAlign w:val="bottom"/>
            <w:tcBorders>
              <w:bottom w:val="single" w:sz="8" w:color="0000EE"/>
            </w:tcBorders>
          </w:tcPr>
          <w:p>
            <w:pPr>
              <w:spacing w:after="0"/>
              <w:rPr>
                <w:sz w:val="15"/>
                <w:szCs w:val="15"/>
                <w:color w:val="auto"/>
              </w:rPr>
            </w:pPr>
          </w:p>
        </w:tc>
        <w:tc>
          <w:tcPr>
            <w:tcW w:w="4620" w:type="dxa"/>
            <w:vAlign w:val="bottom"/>
            <w:gridSpan w:val="33"/>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92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First Amendment to the Power Purchase Agreement, dated July 9, 2021, by</w:t>
              </w:r>
            </w:hyperlink>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10.23</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182"/>
        </w:trPr>
        <w:tc>
          <w:tcPr>
            <w:tcW w:w="1020" w:type="dxa"/>
            <w:vAlign w:val="bottom"/>
          </w:tcPr>
          <w:p>
            <w:pPr>
              <w:spacing w:after="0"/>
              <w:rPr>
                <w:sz w:val="15"/>
                <w:szCs w:val="15"/>
                <w:color w:val="auto"/>
              </w:rPr>
            </w:pPr>
          </w:p>
        </w:tc>
        <w:tc>
          <w:tcPr>
            <w:tcW w:w="4660" w:type="dxa"/>
            <w:vAlign w:val="bottom"/>
            <w:tcBorders>
              <w:bottom w:val="single" w:sz="8" w:color="0000FF"/>
            </w:tcBorders>
            <w:gridSpan w:val="27"/>
          </w:tcPr>
          <w:p>
            <w:pPr>
              <w:spacing w:after="0" w:line="18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and between Luminant ET Services Company LLC and Cipher Mining</w:t>
              </w:r>
            </w:hyperlink>
          </w:p>
        </w:tc>
        <w:tc>
          <w:tcPr>
            <w:tcW w:w="26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200" w:type="dxa"/>
            <w:vAlign w:val="bottom"/>
            <w:tcBorders>
              <w:bottom w:val="single" w:sz="8" w:color="0000EE"/>
            </w:tcBorders>
            <w:gridSpan w:val="3"/>
          </w:tcPr>
          <w:p>
            <w:pPr>
              <w:spacing w:after="0" w:line="18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Technologies Inc.</w:t>
              </w:r>
            </w:hyperlink>
          </w:p>
        </w:tc>
        <w:tc>
          <w:tcPr>
            <w:tcW w:w="3720" w:type="dxa"/>
            <w:vAlign w:val="bottom"/>
            <w:gridSpan w:val="32"/>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92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Second Amendment to the Power Purchase Agreement, dated February 28,</w:t>
              </w:r>
            </w:hyperlink>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10.35</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3/4/22</w:t>
            </w:r>
          </w:p>
        </w:tc>
      </w:tr>
      <w:tr>
        <w:trPr>
          <w:trHeight w:val="182"/>
        </w:trPr>
        <w:tc>
          <w:tcPr>
            <w:tcW w:w="1020" w:type="dxa"/>
            <w:vAlign w:val="bottom"/>
          </w:tcPr>
          <w:p>
            <w:pPr>
              <w:spacing w:after="0"/>
              <w:rPr>
                <w:sz w:val="15"/>
                <w:szCs w:val="15"/>
                <w:color w:val="auto"/>
              </w:rPr>
            </w:pPr>
          </w:p>
        </w:tc>
        <w:tc>
          <w:tcPr>
            <w:tcW w:w="4740" w:type="dxa"/>
            <w:vAlign w:val="bottom"/>
            <w:tcBorders>
              <w:bottom w:val="single" w:sz="8" w:color="0000FF"/>
            </w:tcBorders>
            <w:gridSpan w:val="30"/>
          </w:tcPr>
          <w:p>
            <w:pPr>
              <w:spacing w:after="0" w:line="18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2022, by and between Luminant ET Services Company LLC and Cipher</w:t>
              </w:r>
            </w:hyperlink>
          </w:p>
        </w:tc>
        <w:tc>
          <w:tcPr>
            <w:tcW w:w="180" w:type="dxa"/>
            <w:vAlign w:val="bottom"/>
            <w:gridSpan w:val="5"/>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680" w:type="dxa"/>
            <w:vAlign w:val="bottom"/>
            <w:tcBorders>
              <w:bottom w:val="single" w:sz="8" w:color="0000FF"/>
            </w:tcBorders>
            <w:gridSpan w:val="5"/>
          </w:tcPr>
          <w:p>
            <w:pPr>
              <w:spacing w:after="0" w:line="18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Mining Technologies Inc.</w:t>
              </w:r>
            </w:hyperlink>
          </w:p>
        </w:tc>
        <w:tc>
          <w:tcPr>
            <w:tcW w:w="20" w:type="dxa"/>
            <w:vAlign w:val="bottom"/>
            <w:tcBorders>
              <w:bottom w:val="single" w:sz="8" w:color="0000EE"/>
            </w:tcBorders>
          </w:tcPr>
          <w:p>
            <w:pPr>
              <w:spacing w:after="0"/>
              <w:rPr>
                <w:sz w:val="15"/>
                <w:szCs w:val="15"/>
                <w:color w:val="auto"/>
              </w:rPr>
            </w:pPr>
          </w:p>
        </w:tc>
        <w:tc>
          <w:tcPr>
            <w:tcW w:w="3220" w:type="dxa"/>
            <w:vAlign w:val="bottom"/>
            <w:gridSpan w:val="29"/>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68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Third Amendment to the Power Purchase Agreement, dated August 26,</w:t>
              </w:r>
            </w:hyperlink>
          </w:p>
        </w:tc>
        <w:tc>
          <w:tcPr>
            <w:tcW w:w="240" w:type="dxa"/>
            <w:vAlign w:val="bottom"/>
            <w:gridSpan w:val="7"/>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9/1/22</w:t>
            </w:r>
          </w:p>
        </w:tc>
      </w:tr>
      <w:tr>
        <w:trPr>
          <w:trHeight w:val="182"/>
        </w:trPr>
        <w:tc>
          <w:tcPr>
            <w:tcW w:w="1020" w:type="dxa"/>
            <w:vAlign w:val="bottom"/>
          </w:tcPr>
          <w:p>
            <w:pPr>
              <w:spacing w:after="0"/>
              <w:rPr>
                <w:sz w:val="15"/>
                <w:szCs w:val="15"/>
                <w:color w:val="auto"/>
              </w:rPr>
            </w:pPr>
          </w:p>
        </w:tc>
        <w:tc>
          <w:tcPr>
            <w:tcW w:w="4740" w:type="dxa"/>
            <w:vAlign w:val="bottom"/>
            <w:tcBorders>
              <w:bottom w:val="single" w:sz="8" w:color="0000FF"/>
            </w:tcBorders>
            <w:gridSpan w:val="30"/>
          </w:tcPr>
          <w:p>
            <w:pPr>
              <w:spacing w:after="0" w:line="18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2022, by and between Luminant ET Services Company LLC and Cipher</w:t>
              </w:r>
            </w:hyperlink>
          </w:p>
        </w:tc>
        <w:tc>
          <w:tcPr>
            <w:tcW w:w="180" w:type="dxa"/>
            <w:vAlign w:val="bottom"/>
            <w:gridSpan w:val="5"/>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680" w:type="dxa"/>
            <w:vAlign w:val="bottom"/>
            <w:tcBorders>
              <w:bottom w:val="single" w:sz="8" w:color="0000FF"/>
            </w:tcBorders>
            <w:gridSpan w:val="5"/>
          </w:tcPr>
          <w:p>
            <w:pPr>
              <w:spacing w:after="0" w:line="18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Mining Technologies Inc.</w:t>
              </w:r>
            </w:hyperlink>
          </w:p>
        </w:tc>
        <w:tc>
          <w:tcPr>
            <w:tcW w:w="20" w:type="dxa"/>
            <w:vAlign w:val="bottom"/>
            <w:tcBorders>
              <w:bottom w:val="single" w:sz="8" w:color="0000EE"/>
            </w:tcBorders>
          </w:tcPr>
          <w:p>
            <w:pPr>
              <w:spacing w:after="0"/>
              <w:rPr>
                <w:sz w:val="15"/>
                <w:szCs w:val="15"/>
                <w:color w:val="auto"/>
              </w:rPr>
            </w:pPr>
          </w:p>
        </w:tc>
        <w:tc>
          <w:tcPr>
            <w:tcW w:w="3220" w:type="dxa"/>
            <w:vAlign w:val="bottom"/>
            <w:gridSpan w:val="29"/>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74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Fourth Amendment to the Power Purchase Agreement, dated August 23,</w:t>
              </w:r>
            </w:hyperlink>
          </w:p>
        </w:tc>
        <w:tc>
          <w:tcPr>
            <w:tcW w:w="180" w:type="dxa"/>
            <w:vAlign w:val="bottom"/>
            <w:gridSpan w:val="5"/>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8/29/23</w:t>
            </w:r>
          </w:p>
        </w:tc>
      </w:tr>
      <w:tr>
        <w:trPr>
          <w:trHeight w:val="182"/>
        </w:trPr>
        <w:tc>
          <w:tcPr>
            <w:tcW w:w="1020" w:type="dxa"/>
            <w:vAlign w:val="bottom"/>
          </w:tcPr>
          <w:p>
            <w:pPr>
              <w:spacing w:after="0"/>
              <w:rPr>
                <w:sz w:val="15"/>
                <w:szCs w:val="15"/>
                <w:color w:val="auto"/>
              </w:rPr>
            </w:pPr>
          </w:p>
        </w:tc>
        <w:tc>
          <w:tcPr>
            <w:tcW w:w="4740" w:type="dxa"/>
            <w:vAlign w:val="bottom"/>
            <w:tcBorders>
              <w:bottom w:val="single" w:sz="8" w:color="0000FF"/>
            </w:tcBorders>
            <w:gridSpan w:val="30"/>
          </w:tcPr>
          <w:p>
            <w:pPr>
              <w:spacing w:after="0" w:line="18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2023, by and between Luminant ET Services Company LLC and Cipher</w:t>
              </w:r>
            </w:hyperlink>
          </w:p>
        </w:tc>
        <w:tc>
          <w:tcPr>
            <w:tcW w:w="180" w:type="dxa"/>
            <w:vAlign w:val="bottom"/>
            <w:gridSpan w:val="5"/>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680" w:type="dxa"/>
            <w:vAlign w:val="bottom"/>
            <w:tcBorders>
              <w:bottom w:val="single" w:sz="8" w:color="0000FF"/>
            </w:tcBorders>
            <w:gridSpan w:val="5"/>
          </w:tcPr>
          <w:p>
            <w:pPr>
              <w:spacing w:after="0" w:line="18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Mining Technologies Inc.</w:t>
              </w:r>
            </w:hyperlink>
          </w:p>
        </w:tc>
        <w:tc>
          <w:tcPr>
            <w:tcW w:w="20" w:type="dxa"/>
            <w:vAlign w:val="bottom"/>
            <w:tcBorders>
              <w:bottom w:val="single" w:sz="8" w:color="0000EE"/>
            </w:tcBorders>
          </w:tcPr>
          <w:p>
            <w:pPr>
              <w:spacing w:after="0"/>
              <w:rPr>
                <w:sz w:val="15"/>
                <w:szCs w:val="15"/>
                <w:color w:val="auto"/>
              </w:rPr>
            </w:pPr>
          </w:p>
        </w:tc>
        <w:tc>
          <w:tcPr>
            <w:tcW w:w="3220" w:type="dxa"/>
            <w:vAlign w:val="bottom"/>
            <w:gridSpan w:val="29"/>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56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Lease Agreement, dated June 29, 2021, by and between an affiliate of</w:t>
              </w:r>
            </w:hyperlink>
          </w:p>
        </w:tc>
        <w:tc>
          <w:tcPr>
            <w:tcW w:w="360" w:type="dxa"/>
            <w:vAlign w:val="bottom"/>
            <w:gridSpan w:val="11"/>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182"/>
        </w:trPr>
        <w:tc>
          <w:tcPr>
            <w:tcW w:w="1020" w:type="dxa"/>
            <w:vAlign w:val="bottom"/>
          </w:tcPr>
          <w:p>
            <w:pPr>
              <w:spacing w:after="0"/>
              <w:rPr>
                <w:sz w:val="15"/>
                <w:szCs w:val="15"/>
                <w:color w:val="auto"/>
              </w:rPr>
            </w:pPr>
          </w:p>
        </w:tc>
        <w:tc>
          <w:tcPr>
            <w:tcW w:w="3140" w:type="dxa"/>
            <w:vAlign w:val="bottom"/>
            <w:tcBorders>
              <w:bottom w:val="single" w:sz="8" w:color="0000EE"/>
            </w:tcBorders>
            <w:gridSpan w:val="15"/>
          </w:tcPr>
          <w:p>
            <w:pPr>
              <w:spacing w:after="0" w:line="18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Luminant and Cipher Mining Technologies Inc.</w:t>
              </w:r>
            </w:hyperlink>
          </w:p>
        </w:tc>
        <w:tc>
          <w:tcPr>
            <w:tcW w:w="1780" w:type="dxa"/>
            <w:vAlign w:val="bottom"/>
            <w:gridSpan w:val="20"/>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54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First Amendment to the Lease Agreement, dated July 9, 2021, by and</w:t>
              </w:r>
            </w:hyperlink>
          </w:p>
        </w:tc>
        <w:tc>
          <w:tcPr>
            <w:tcW w:w="380" w:type="dxa"/>
            <w:vAlign w:val="bottom"/>
            <w:gridSpan w:val="12"/>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182"/>
        </w:trPr>
        <w:tc>
          <w:tcPr>
            <w:tcW w:w="1020" w:type="dxa"/>
            <w:vAlign w:val="bottom"/>
          </w:tcPr>
          <w:p>
            <w:pPr>
              <w:spacing w:after="0"/>
              <w:rPr>
                <w:sz w:val="15"/>
                <w:szCs w:val="15"/>
                <w:color w:val="auto"/>
              </w:rPr>
            </w:pPr>
          </w:p>
        </w:tc>
        <w:tc>
          <w:tcPr>
            <w:tcW w:w="4640" w:type="dxa"/>
            <w:vAlign w:val="bottom"/>
            <w:tcBorders>
              <w:bottom w:val="single" w:sz="8" w:color="0000EE"/>
            </w:tcBorders>
            <w:gridSpan w:val="26"/>
          </w:tcPr>
          <w:p>
            <w:pPr>
              <w:spacing w:after="0" w:line="18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between an affiliate of Luminant and Cipher Mining Technologies Inc.</w:t>
              </w:r>
            </w:hyperlink>
          </w:p>
        </w:tc>
        <w:tc>
          <w:tcPr>
            <w:tcW w:w="280" w:type="dxa"/>
            <w:vAlign w:val="bottom"/>
            <w:gridSpan w:val="9"/>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74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Second Amendment to the Lease Agreement, dated August 23, 2023, by</w:t>
              </w:r>
            </w:hyperlink>
          </w:p>
        </w:tc>
        <w:tc>
          <w:tcPr>
            <w:tcW w:w="180" w:type="dxa"/>
            <w:vAlign w:val="bottom"/>
            <w:gridSpan w:val="5"/>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8/29/23</w:t>
            </w:r>
          </w:p>
        </w:tc>
      </w:tr>
      <w:tr>
        <w:trPr>
          <w:trHeight w:val="182"/>
        </w:trPr>
        <w:tc>
          <w:tcPr>
            <w:tcW w:w="1020" w:type="dxa"/>
            <w:vAlign w:val="bottom"/>
          </w:tcPr>
          <w:p>
            <w:pPr>
              <w:spacing w:after="0"/>
              <w:rPr>
                <w:sz w:val="15"/>
                <w:szCs w:val="15"/>
                <w:color w:val="auto"/>
              </w:rPr>
            </w:pPr>
          </w:p>
        </w:tc>
        <w:tc>
          <w:tcPr>
            <w:tcW w:w="4920" w:type="dxa"/>
            <w:vAlign w:val="bottom"/>
            <w:tcBorders>
              <w:bottom w:val="single" w:sz="8" w:color="0000EE"/>
            </w:tcBorders>
            <w:gridSpan w:val="35"/>
          </w:tcPr>
          <w:p>
            <w:pPr>
              <w:spacing w:after="0" w:line="18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and between an affiliate of Luminant and Cipher Mining Technologies Inc.</w:t>
              </w:r>
            </w:hyperlink>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90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Purchase and Sale Agreement, dated June 28, 2021, by and between Vistra</w:t>
              </w:r>
            </w:hyperlink>
          </w:p>
        </w:tc>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182"/>
        </w:trPr>
        <w:tc>
          <w:tcPr>
            <w:tcW w:w="1020" w:type="dxa"/>
            <w:vAlign w:val="bottom"/>
          </w:tcPr>
          <w:p>
            <w:pPr>
              <w:spacing w:after="0"/>
              <w:rPr>
                <w:sz w:val="15"/>
                <w:szCs w:val="15"/>
                <w:color w:val="auto"/>
              </w:rPr>
            </w:pPr>
          </w:p>
        </w:tc>
        <w:tc>
          <w:tcPr>
            <w:tcW w:w="4240" w:type="dxa"/>
            <w:vAlign w:val="bottom"/>
            <w:tcBorders>
              <w:bottom w:val="single" w:sz="8" w:color="0000EE"/>
            </w:tcBorders>
            <w:gridSpan w:val="17"/>
          </w:tcPr>
          <w:p>
            <w:pPr>
              <w:spacing w:after="0" w:line="18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Operations Company LLC and Cipher Mining Technologies Inc.</w:t>
              </w:r>
            </w:hyperlink>
          </w:p>
        </w:tc>
        <w:tc>
          <w:tcPr>
            <w:tcW w:w="680" w:type="dxa"/>
            <w:vAlign w:val="bottom"/>
            <w:gridSpan w:val="18"/>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880" w:type="dxa"/>
            <w:vAlign w:val="bottom"/>
            <w:tcBorders>
              <w:bottom w:val="single" w:sz="8" w:color="0000FF"/>
            </w:tcBorders>
            <w:gridSpan w:val="33"/>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First Amendment to the Purchase and Sale Agreement, dated July 9, 2021,</w:t>
              </w:r>
            </w:hyperlink>
          </w:p>
        </w:tc>
        <w:tc>
          <w:tcPr>
            <w:tcW w:w="40" w:type="dxa"/>
            <w:vAlign w:val="bottom"/>
            <w:gridSpan w:val="2"/>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10.27</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182"/>
        </w:trPr>
        <w:tc>
          <w:tcPr>
            <w:tcW w:w="1020" w:type="dxa"/>
            <w:vAlign w:val="bottom"/>
          </w:tcPr>
          <w:p>
            <w:pPr>
              <w:spacing w:after="0"/>
              <w:rPr>
                <w:sz w:val="15"/>
                <w:szCs w:val="15"/>
                <w:color w:val="auto"/>
              </w:rPr>
            </w:pPr>
          </w:p>
        </w:tc>
        <w:tc>
          <w:tcPr>
            <w:tcW w:w="4520" w:type="dxa"/>
            <w:vAlign w:val="bottom"/>
            <w:tcBorders>
              <w:bottom w:val="single" w:sz="8" w:color="0000FF"/>
            </w:tcBorders>
            <w:gridSpan w:val="22"/>
          </w:tcPr>
          <w:p>
            <w:pPr>
              <w:spacing w:after="0" w:line="18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by and between Vistra Operations Company LLC and Cipher Mining</w:t>
              </w:r>
            </w:hyperlink>
          </w:p>
        </w:tc>
        <w:tc>
          <w:tcPr>
            <w:tcW w:w="400" w:type="dxa"/>
            <w:vAlign w:val="bottom"/>
            <w:gridSpan w:val="13"/>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200" w:type="dxa"/>
            <w:vAlign w:val="bottom"/>
            <w:tcBorders>
              <w:bottom w:val="single" w:sz="8" w:color="0000EE"/>
            </w:tcBorders>
            <w:gridSpan w:val="3"/>
          </w:tcPr>
          <w:p>
            <w:pPr>
              <w:spacing w:after="0" w:line="18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Technologies Inc.</w:t>
              </w:r>
            </w:hyperlink>
          </w:p>
        </w:tc>
        <w:tc>
          <w:tcPr>
            <w:tcW w:w="3720" w:type="dxa"/>
            <w:vAlign w:val="bottom"/>
            <w:gridSpan w:val="32"/>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66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Framework Agreement, dated June 10, 2021, by and between WindHQ</w:t>
              </w:r>
            </w:hyperlink>
          </w:p>
        </w:tc>
        <w:tc>
          <w:tcPr>
            <w:tcW w:w="260" w:type="dxa"/>
            <w:vAlign w:val="bottom"/>
            <w:gridSpan w:val="8"/>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6/15/21</w:t>
            </w:r>
          </w:p>
        </w:tc>
      </w:tr>
      <w:tr>
        <w:trPr>
          <w:trHeight w:val="182"/>
        </w:trPr>
        <w:tc>
          <w:tcPr>
            <w:tcW w:w="1020" w:type="dxa"/>
            <w:vAlign w:val="bottom"/>
          </w:tcPr>
          <w:p>
            <w:pPr>
              <w:spacing w:after="0"/>
              <w:rPr>
                <w:sz w:val="15"/>
                <w:szCs w:val="15"/>
                <w:color w:val="auto"/>
              </w:rPr>
            </w:pPr>
          </w:p>
        </w:tc>
        <w:tc>
          <w:tcPr>
            <w:tcW w:w="2820" w:type="dxa"/>
            <w:vAlign w:val="bottom"/>
            <w:tcBorders>
              <w:bottom w:val="single" w:sz="8" w:color="0000EE"/>
            </w:tcBorders>
            <w:gridSpan w:val="12"/>
          </w:tcPr>
          <w:p>
            <w:pPr>
              <w:spacing w:after="0" w:line="18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LLC and Cipher Mining Technologies Inc.</w:t>
              </w:r>
            </w:hyperlink>
          </w:p>
        </w:tc>
        <w:tc>
          <w:tcPr>
            <w:tcW w:w="2100" w:type="dxa"/>
            <w:vAlign w:val="bottom"/>
            <w:gridSpan w:val="23"/>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700" w:type="dxa"/>
            <w:vAlign w:val="bottom"/>
            <w:tcBorders>
              <w:bottom w:val="single" w:sz="8" w:color="0000EE"/>
            </w:tcBorders>
            <w:gridSpan w:val="29"/>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Non-Fixed Price Sales and Purchase Agreement, dated August 20, 2021</w:t>
              </w:r>
            </w:hyperlink>
          </w:p>
        </w:tc>
        <w:tc>
          <w:tcPr>
            <w:tcW w:w="220" w:type="dxa"/>
            <w:vAlign w:val="bottom"/>
            <w:gridSpan w:val="6"/>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9/2/21</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26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Supplemental Agreement to Non-Fixed Price Sales and Purchase</w:t>
              </w:r>
            </w:hyperlink>
          </w:p>
        </w:tc>
        <w:tc>
          <w:tcPr>
            <w:tcW w:w="660" w:type="dxa"/>
            <w:vAlign w:val="bottom"/>
            <w:gridSpan w:val="17"/>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9/2/21</w:t>
            </w:r>
          </w:p>
        </w:tc>
      </w:tr>
      <w:tr>
        <w:trPr>
          <w:trHeight w:val="182"/>
        </w:trPr>
        <w:tc>
          <w:tcPr>
            <w:tcW w:w="1020" w:type="dxa"/>
            <w:vAlign w:val="bottom"/>
          </w:tcPr>
          <w:p>
            <w:pPr>
              <w:spacing w:after="0"/>
              <w:rPr>
                <w:sz w:val="15"/>
                <w:szCs w:val="15"/>
                <w:color w:val="auto"/>
              </w:rPr>
            </w:pPr>
          </w:p>
        </w:tc>
        <w:tc>
          <w:tcPr>
            <w:tcW w:w="2320" w:type="dxa"/>
            <w:vAlign w:val="bottom"/>
            <w:tcBorders>
              <w:bottom w:val="single" w:sz="8" w:color="0000EE"/>
            </w:tcBorders>
            <w:gridSpan w:val="8"/>
          </w:tcPr>
          <w:p>
            <w:pPr>
              <w:spacing w:after="0" w:line="18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Agreement, dated August 30, 2021</w:t>
              </w:r>
            </w:hyperlink>
          </w:p>
        </w:tc>
        <w:tc>
          <w:tcPr>
            <w:tcW w:w="2600" w:type="dxa"/>
            <w:vAlign w:val="bottom"/>
            <w:gridSpan w:val="27"/>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74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Amended and Restated Framework Agreement on Supply of Blockchain</w:t>
              </w:r>
            </w:hyperlink>
          </w:p>
        </w:tc>
        <w:tc>
          <w:tcPr>
            <w:tcW w:w="180" w:type="dxa"/>
            <w:vAlign w:val="bottom"/>
            <w:gridSpan w:val="5"/>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5/10/22</w:t>
            </w:r>
          </w:p>
        </w:tc>
      </w:tr>
      <w:tr>
        <w:trPr>
          <w:trHeight w:val="182"/>
        </w:trPr>
        <w:tc>
          <w:tcPr>
            <w:tcW w:w="1020" w:type="dxa"/>
            <w:vAlign w:val="bottom"/>
          </w:tcPr>
          <w:p>
            <w:pPr>
              <w:spacing w:after="0"/>
              <w:rPr>
                <w:sz w:val="15"/>
                <w:szCs w:val="15"/>
                <w:color w:val="auto"/>
              </w:rPr>
            </w:pPr>
          </w:p>
        </w:tc>
        <w:tc>
          <w:tcPr>
            <w:tcW w:w="1820" w:type="dxa"/>
            <w:vAlign w:val="bottom"/>
            <w:tcBorders>
              <w:bottom w:val="single" w:sz="8" w:color="0000EE"/>
            </w:tcBorders>
            <w:gridSpan w:val="7"/>
          </w:tcPr>
          <w:p>
            <w:pPr>
              <w:spacing w:after="0" w:line="18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Servers, dated May 6, 2022</w:t>
              </w:r>
            </w:hyperlink>
          </w:p>
        </w:tc>
        <w:tc>
          <w:tcPr>
            <w:tcW w:w="3100" w:type="dxa"/>
            <w:vAlign w:val="bottom"/>
            <w:gridSpan w:val="28"/>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462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Supplementary Agreement of the Framework Agreement on Supply of</w:t>
              </w:r>
            </w:hyperlink>
          </w:p>
        </w:tc>
        <w:tc>
          <w:tcPr>
            <w:tcW w:w="300" w:type="dxa"/>
            <w:vAlign w:val="bottom"/>
            <w:gridSpan w:val="10"/>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11/8/22</w:t>
            </w:r>
          </w:p>
        </w:tc>
      </w:tr>
      <w:tr>
        <w:trPr>
          <w:trHeight w:val="182"/>
        </w:trPr>
        <w:tc>
          <w:tcPr>
            <w:tcW w:w="1020" w:type="dxa"/>
            <w:vAlign w:val="bottom"/>
          </w:tcPr>
          <w:p>
            <w:pPr>
              <w:spacing w:after="0"/>
              <w:rPr>
                <w:sz w:val="15"/>
                <w:szCs w:val="15"/>
                <w:color w:val="auto"/>
              </w:rPr>
            </w:pPr>
          </w:p>
        </w:tc>
        <w:tc>
          <w:tcPr>
            <w:tcW w:w="4920" w:type="dxa"/>
            <w:vAlign w:val="bottom"/>
            <w:gridSpan w:val="35"/>
          </w:tcPr>
          <w:p>
            <w:pPr>
              <w:spacing w:after="0" w:line="18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Blockchain Servers, dated November 4, 2022</w:t>
              </w:r>
            </w:hyperlink>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4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552450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25" w:right="1440"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484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Employment Agreement, dated as of May 11, 2021, by and between Tyler</w:t>
              </w:r>
            </w:hyperlink>
          </w:p>
        </w:tc>
        <w:tc>
          <w:tcPr>
            <w:tcW w:w="80" w:type="dxa"/>
            <w:vAlign w:val="bottom"/>
            <w:gridSpan w:val="2"/>
          </w:tcPr>
          <w:p>
            <w:pPr>
              <w:spacing w:after="0"/>
              <w:rPr>
                <w:sz w:val="16"/>
                <w:szCs w:val="16"/>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10.23</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920" w:type="dxa"/>
            <w:vAlign w:val="bottom"/>
            <w:gridSpan w:val="31"/>
          </w:tcPr>
          <w:p>
            <w:pPr>
              <w:spacing w:after="0" w:line="18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Page and Cipher Mining Technologies Inc.</w:t>
              </w:r>
            </w:hyperlink>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44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gridSpan w:val="9"/>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920" w:type="dxa"/>
            <w:vAlign w:val="bottom"/>
            <w:gridSpan w:val="31"/>
          </w:tcPr>
          <w:p>
            <w:pPr>
              <w:spacing w:after="0" w:line="18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Edward Farrell and Cipher Mining Technologies Inc.</w:t>
              </w:r>
            </w:hyperlink>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44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gridSpan w:val="9"/>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3660" w:type="dxa"/>
            <w:vAlign w:val="bottom"/>
            <w:tcBorders>
              <w:bottom w:val="single" w:sz="8" w:color="0000FF"/>
            </w:tcBorders>
            <w:gridSpan w:val="16"/>
          </w:tcPr>
          <w:p>
            <w:pPr>
              <w:spacing w:after="0" w:line="18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William Iwaschuk and Cipher Mining Technologies Inc.</w:t>
              </w:r>
            </w:hyperlink>
          </w:p>
        </w:tc>
        <w:tc>
          <w:tcPr>
            <w:tcW w:w="20" w:type="dxa"/>
            <w:vAlign w:val="bottom"/>
            <w:tcBorders>
              <w:bottom w:val="single" w:sz="8" w:color="0000EE"/>
            </w:tcBorders>
          </w:tcPr>
          <w:p>
            <w:pPr>
              <w:spacing w:after="0"/>
              <w:rPr>
                <w:sz w:val="15"/>
                <w:szCs w:val="15"/>
                <w:color w:val="auto"/>
              </w:rPr>
            </w:pPr>
          </w:p>
        </w:tc>
        <w:tc>
          <w:tcPr>
            <w:tcW w:w="1240" w:type="dxa"/>
            <w:vAlign w:val="bottom"/>
            <w:gridSpan w:val="14"/>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492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Employment Agreement, dated as of May 11, 2021, by and between Patrick</w:t>
              </w:r>
            </w:hyperlink>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920" w:type="dxa"/>
            <w:vAlign w:val="bottom"/>
            <w:gridSpan w:val="31"/>
          </w:tcPr>
          <w:p>
            <w:pPr>
              <w:spacing w:after="0" w:line="18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Kelly and Cipher Mining Technologies Inc.</w:t>
              </w:r>
            </w:hyperlink>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4920" w:type="dxa"/>
            <w:vAlign w:val="bottom"/>
            <w:gridSpan w:val="31"/>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Purchase Order No. 21-041, dated December 29, 2021</w:t>
              </w:r>
            </w:hyperlink>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1/04/22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4680" w:type="dxa"/>
            <w:vAlign w:val="bottom"/>
            <w:tcBorders>
              <w:bottom w:val="single" w:sz="8" w:color="0000EE"/>
            </w:tcBorders>
            <w:gridSpan w:val="27"/>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Amended and Restated Non-Employee Directors Compensation Policy.</w:t>
              </w:r>
            </w:hyperlink>
          </w:p>
        </w:tc>
        <w:tc>
          <w:tcPr>
            <w:tcW w:w="240" w:type="dxa"/>
            <w:vAlign w:val="bottom"/>
            <w:gridSpan w:val="4"/>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8/8/23</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164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of LLC Agreement</w:t>
              </w:r>
            </w:hyperlink>
          </w:p>
        </w:tc>
        <w:tc>
          <w:tcPr>
            <w:tcW w:w="20" w:type="dxa"/>
            <w:vAlign w:val="bottom"/>
            <w:tcBorders>
              <w:bottom w:val="single" w:sz="8" w:color="0000EE"/>
            </w:tcBorders>
          </w:tcPr>
          <w:p>
            <w:pPr>
              <w:spacing w:after="0"/>
              <w:rPr>
                <w:sz w:val="18"/>
                <w:szCs w:val="18"/>
                <w:color w:val="auto"/>
              </w:rPr>
            </w:pPr>
          </w:p>
        </w:tc>
        <w:tc>
          <w:tcPr>
            <w:tcW w:w="3260" w:type="dxa"/>
            <w:vAlign w:val="bottom"/>
            <w:gridSpan w:val="23"/>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10.34</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3/4/22</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472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Controlled Equity OfferingSM Sales Agreement by and between Cipher</w:t>
              </w:r>
            </w:hyperlink>
          </w:p>
        </w:tc>
        <w:tc>
          <w:tcPr>
            <w:tcW w:w="200" w:type="dxa"/>
            <w:vAlign w:val="bottom"/>
            <w:gridSpan w:val="3"/>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8/4/23</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420" w:type="dxa"/>
            <w:vAlign w:val="bottom"/>
            <w:tcBorders>
              <w:bottom w:val="single" w:sz="8" w:color="0000FF"/>
            </w:tcBorders>
            <w:gridSpan w:val="21"/>
          </w:tcPr>
          <w:p>
            <w:pPr>
              <w:spacing w:after="0" w:line="18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Mining Inc. and Cantor Fitzgerald &amp; Co., Canaccord Genuity LLC,</w:t>
              </w:r>
            </w:hyperlink>
          </w:p>
        </w:tc>
        <w:tc>
          <w:tcPr>
            <w:tcW w:w="50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920" w:type="dxa"/>
            <w:vAlign w:val="bottom"/>
            <w:tcBorders>
              <w:bottom w:val="single" w:sz="8" w:color="0000FF"/>
            </w:tcBorders>
            <w:gridSpan w:val="31"/>
          </w:tcPr>
          <w:p>
            <w:pPr>
              <w:spacing w:after="0" w:line="18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Needham &amp; Company, LLC and Compass Point Research &amp; Trading, LLC,</w:t>
              </w:r>
            </w:hyperlink>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440" w:type="dxa"/>
            <w:vAlign w:val="bottom"/>
            <w:tcBorders>
              <w:bottom w:val="single" w:sz="8" w:color="0000FF"/>
            </w:tcBorders>
            <w:gridSpan w:val="6"/>
          </w:tcPr>
          <w:p>
            <w:pPr>
              <w:spacing w:after="0" w:line="18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dated August 3, 2023.</w:t>
              </w:r>
            </w:hyperlink>
          </w:p>
        </w:tc>
        <w:tc>
          <w:tcPr>
            <w:tcW w:w="3480" w:type="dxa"/>
            <w:vAlign w:val="bottom"/>
            <w:gridSpan w:val="25"/>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4920" w:type="dxa"/>
            <w:vAlign w:val="bottom"/>
            <w:gridSpan w:val="31"/>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Board Observer Agreement, dated as of April 8, 2022</w:t>
              </w:r>
            </w:hyperlink>
            <w:r>
              <w:rPr>
                <w:rFonts w:ascii="Times New Roman" w:cs="Times New Roman" w:eastAsia="Times New Roman" w:hAnsi="Times New Roman"/>
                <w:sz w:val="16"/>
                <w:szCs w:val="16"/>
                <w:color w:val="000000"/>
              </w:rPr>
              <w:t>.</w:t>
            </w: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99.2</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4/14/22</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10.33</w:t>
            </w:r>
            <w:r>
              <w:rPr>
                <w:rFonts w:ascii="Times New Roman" w:cs="Times New Roman" w:eastAsia="Times New Roman" w:hAnsi="Times New Roman"/>
                <w:sz w:val="17"/>
                <w:szCs w:val="17"/>
                <w:color w:val="auto"/>
              </w:rPr>
              <w:t>†</w:t>
            </w: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4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Purchase and Sale agreement, dated as of November 6, 2023, by and</w:t>
            </w:r>
          </w:p>
        </w:tc>
        <w:tc>
          <w:tcPr>
            <w:tcW w:w="4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220" w:type="dxa"/>
            <w:vAlign w:val="bottom"/>
            <w:tcBorders>
              <w:bottom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between Cipher Black Pearl LLC and Trinity Mining Group, Inc.</w:t>
            </w:r>
          </w:p>
        </w:tc>
        <w:tc>
          <w:tcPr>
            <w:tcW w:w="700" w:type="dxa"/>
            <w:vAlign w:val="bottom"/>
            <w:gridSpan w:val="11"/>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10.34</w:t>
            </w:r>
            <w:r>
              <w:rPr>
                <w:rFonts w:ascii="Times New Roman" w:cs="Times New Roman" w:eastAsia="Times New Roman" w:hAnsi="Times New Roman"/>
                <w:sz w:val="17"/>
                <w:szCs w:val="17"/>
                <w:color w:val="auto"/>
              </w:rPr>
              <w:t>†</w:t>
            </w: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Data Center Lease, dated as of December 6, 2023.</w:t>
            </w:r>
          </w:p>
        </w:tc>
        <w:tc>
          <w:tcPr>
            <w:tcW w:w="1660" w:type="dxa"/>
            <w:vAlign w:val="bottom"/>
            <w:gridSpan w:val="18"/>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10.35</w:t>
            </w:r>
            <w:r>
              <w:rPr>
                <w:rFonts w:ascii="Times New Roman" w:cs="Times New Roman" w:eastAsia="Times New Roman" w:hAnsi="Times New Roman"/>
                <w:sz w:val="17"/>
                <w:szCs w:val="17"/>
                <w:color w:val="auto"/>
              </w:rPr>
              <w:t>†</w:t>
            </w:r>
          </w:p>
        </w:tc>
        <w:tc>
          <w:tcPr>
            <w:tcW w:w="49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Assignment and Assumption Agreement, dated as of December 8, 2023, by</w:t>
            </w: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500" w:type="dxa"/>
            <w:vAlign w:val="bottom"/>
            <w:tcBorders>
              <w:bottom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6"/>
                <w:szCs w:val="16"/>
                <w:color w:val="0000FF"/>
              </w:rPr>
              <w:t>and between Cipher Black Pearl LLC and Trinity Mining Group, Inc.</w:t>
            </w:r>
          </w:p>
        </w:tc>
        <w:tc>
          <w:tcPr>
            <w:tcW w:w="20" w:type="dxa"/>
            <w:vAlign w:val="bottom"/>
            <w:tcBorders>
              <w:bottom w:val="single" w:sz="8" w:color="0000EE"/>
            </w:tcBorders>
          </w:tcPr>
          <w:p>
            <w:pPr>
              <w:spacing w:after="0"/>
              <w:rPr>
                <w:sz w:val="15"/>
                <w:szCs w:val="15"/>
                <w:color w:val="auto"/>
              </w:rPr>
            </w:pPr>
          </w:p>
        </w:tc>
        <w:tc>
          <w:tcPr>
            <w:tcW w:w="40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10.36</w:t>
            </w:r>
            <w:r>
              <w:rPr>
                <w:rFonts w:ascii="Times New Roman" w:cs="Times New Roman" w:eastAsia="Times New Roman" w:hAnsi="Times New Roman"/>
                <w:sz w:val="17"/>
                <w:szCs w:val="17"/>
                <w:color w:val="auto"/>
              </w:rPr>
              <w:t>†</w:t>
            </w:r>
          </w:p>
        </w:tc>
        <w:tc>
          <w:tcPr>
            <w:tcW w:w="48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rPr>
              <w:t>Future Sales and Purchase Agreement, dated as of December 16, 2023, by</w:t>
            </w:r>
          </w:p>
        </w:tc>
        <w:tc>
          <w:tcPr>
            <w:tcW w:w="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860" w:type="dxa"/>
            <w:vAlign w:val="bottom"/>
            <w:tcBorders>
              <w:bottom w:val="single" w:sz="8" w:color="0000FF"/>
            </w:tcBorders>
            <w:gridSpan w:val="30"/>
          </w:tcPr>
          <w:p>
            <w:pPr>
              <w:spacing w:after="0" w:line="182" w:lineRule="exact"/>
              <w:rPr>
                <w:sz w:val="20"/>
                <w:szCs w:val="20"/>
                <w:color w:val="auto"/>
              </w:rPr>
            </w:pPr>
            <w:r>
              <w:rPr>
                <w:rFonts w:ascii="Times New Roman" w:cs="Times New Roman" w:eastAsia="Times New Roman" w:hAnsi="Times New Roman"/>
                <w:sz w:val="16"/>
                <w:szCs w:val="16"/>
                <w:color w:val="0000FF"/>
              </w:rPr>
              <w:t>and between Cipher Mining Infrastructure LLC and Bitmain Technologies</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22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6"/>
                <w:szCs w:val="16"/>
                <w:color w:val="0000FF"/>
                <w:w w:val="99"/>
              </w:rPr>
              <w:t>Delaware Limited.</w:t>
            </w:r>
          </w:p>
        </w:tc>
        <w:tc>
          <w:tcPr>
            <w:tcW w:w="40" w:type="dxa"/>
            <w:vAlign w:val="bottom"/>
            <w:tcBorders>
              <w:bottom w:val="single" w:sz="8" w:color="0000EE"/>
            </w:tcBorders>
          </w:tcPr>
          <w:p>
            <w:pPr>
              <w:spacing w:after="0"/>
              <w:rPr>
                <w:sz w:val="15"/>
                <w:szCs w:val="15"/>
                <w:color w:val="auto"/>
              </w:rPr>
            </w:pPr>
          </w:p>
        </w:tc>
        <w:tc>
          <w:tcPr>
            <w:tcW w:w="3660" w:type="dxa"/>
            <w:vAlign w:val="bottom"/>
            <w:gridSpan w:val="28"/>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List of Subsidiaries of Cipher Mining Inc.</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Consent of Marcum LLP, Independent Registered Public Accounting Firm.</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86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0" w:type="dxa"/>
            <w:vAlign w:val="bottom"/>
            <w:tcBorders>
              <w:top w:val="single" w:sz="8" w:color="0000FF"/>
              <w:bottom w:val="single" w:sz="8" w:color="0000EE"/>
            </w:tcBorders>
          </w:tcPr>
          <w:p>
            <w:pPr>
              <w:spacing w:after="0"/>
              <w:rPr>
                <w:sz w:val="15"/>
                <w:szCs w:val="15"/>
                <w:color w:val="auto"/>
              </w:rPr>
            </w:pPr>
          </w:p>
        </w:tc>
        <w:tc>
          <w:tcPr>
            <w:tcW w:w="2360" w:type="dxa"/>
            <w:vAlign w:val="bottom"/>
            <w:tcBorders>
              <w:top w:val="single" w:sz="8" w:color="0000FF"/>
            </w:tcBorders>
            <w:gridSpan w:val="14"/>
          </w:tcPr>
          <w:p>
            <w:pPr>
              <w:spacing w:after="0"/>
              <w:rPr>
                <w:sz w:val="15"/>
                <w:szCs w:val="15"/>
                <w:color w:val="auto"/>
              </w:rPr>
            </w:pPr>
          </w:p>
        </w:tc>
        <w:tc>
          <w:tcPr>
            <w:tcW w:w="860" w:type="dxa"/>
            <w:vAlign w:val="bottom"/>
            <w:gridSpan w:val="7"/>
          </w:tcPr>
          <w:p>
            <w:pPr>
              <w:spacing w:after="0"/>
              <w:rPr>
                <w:sz w:val="15"/>
                <w:szCs w:val="15"/>
                <w:color w:val="auto"/>
              </w:rPr>
            </w:pPr>
          </w:p>
        </w:tc>
        <w:tc>
          <w:tcPr>
            <w:tcW w:w="32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0" w:type="dxa"/>
            <w:vAlign w:val="bottom"/>
            <w:tcBorders>
              <w:top w:val="single" w:sz="8" w:color="0000FF"/>
              <w:bottom w:val="single" w:sz="8" w:color="0000EE"/>
            </w:tcBorders>
          </w:tcPr>
          <w:p>
            <w:pPr>
              <w:spacing w:after="0"/>
              <w:rPr>
                <w:sz w:val="15"/>
                <w:szCs w:val="15"/>
                <w:color w:val="auto"/>
              </w:rPr>
            </w:pPr>
          </w:p>
        </w:tc>
        <w:tc>
          <w:tcPr>
            <w:tcW w:w="2320" w:type="dxa"/>
            <w:vAlign w:val="bottom"/>
            <w:tcBorders>
              <w:top w:val="single" w:sz="8" w:color="0000FF"/>
            </w:tcBorders>
            <w:gridSpan w:val="13"/>
          </w:tcPr>
          <w:p>
            <w:pPr>
              <w:spacing w:after="0"/>
              <w:rPr>
                <w:sz w:val="15"/>
                <w:szCs w:val="15"/>
                <w:color w:val="auto"/>
              </w:rPr>
            </w:pPr>
          </w:p>
        </w:tc>
        <w:tc>
          <w:tcPr>
            <w:tcW w:w="900" w:type="dxa"/>
            <w:vAlign w:val="bottom"/>
            <w:gridSpan w:val="8"/>
          </w:tcPr>
          <w:p>
            <w:pPr>
              <w:spacing w:after="0"/>
              <w:rPr>
                <w:sz w:val="15"/>
                <w:szCs w:val="15"/>
                <w:color w:val="auto"/>
              </w:rPr>
            </w:pPr>
          </w:p>
        </w:tc>
        <w:tc>
          <w:tcPr>
            <w:tcW w:w="32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6"/>
                <w:szCs w:val="16"/>
                <w:color w:val="0000FF"/>
                <w:w w:val="99"/>
              </w:rPr>
              <w:t>1350.</w:t>
            </w:r>
          </w:p>
        </w:tc>
        <w:tc>
          <w:tcPr>
            <w:tcW w:w="8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49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2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Compensation Recoupment Policy</w:t>
            </w:r>
          </w:p>
        </w:tc>
        <w:tc>
          <w:tcPr>
            <w:tcW w:w="20" w:type="dxa"/>
            <w:vAlign w:val="bottom"/>
            <w:tcBorders>
              <w:bottom w:val="single" w:sz="8" w:color="0000EE"/>
            </w:tcBorders>
          </w:tcPr>
          <w:p>
            <w:pPr>
              <w:spacing w:after="0"/>
              <w:rPr>
                <w:sz w:val="18"/>
                <w:szCs w:val="18"/>
                <w:color w:val="auto"/>
              </w:rPr>
            </w:pPr>
          </w:p>
        </w:tc>
        <w:tc>
          <w:tcPr>
            <w:tcW w:w="2640" w:type="dxa"/>
            <w:vAlign w:val="bottom"/>
            <w:gridSpan w:val="21"/>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92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05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 w:lineRule="exact"/>
        <w:rPr>
          <w:sz w:val="20"/>
          <w:szCs w:val="20"/>
          <w:color w:val="auto"/>
        </w:rPr>
      </w:pPr>
    </w:p>
    <w:p>
      <w:pPr>
        <w:ind w:firstLine="8"/>
        <w:spacing w:after="0" w:line="275"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because such information is both (i) non-material and (ii) would be competitively harmful if publicly disclosed.</w:t>
      </w:r>
    </w:p>
    <w:p>
      <w:pPr>
        <w:spacing w:after="0" w:line="2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25" w:right="519" w:bottom="1440" w:gutter="0" w:footer="0" w:header="0"/>
        </w:sectPr>
      </w:pPr>
    </w:p>
    <w:bookmarkStart w:id="96" w:name="page97"/>
    <w:bookmarkEnd w:id="96"/>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2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CIPHER MINING INC.</w:t>
            </w:r>
          </w:p>
        </w:tc>
      </w:tr>
      <w:tr>
        <w:trPr>
          <w:trHeight w:val="47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2024</w:t>
            </w:r>
          </w:p>
        </w:tc>
        <w:tc>
          <w:tcPr>
            <w:tcW w:w="25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Tyler Page</w:t>
            </w:r>
          </w:p>
        </w:tc>
      </w:tr>
      <w:tr>
        <w:trPr>
          <w:trHeight w:val="200"/>
        </w:trPr>
        <w:tc>
          <w:tcPr>
            <w:tcW w:w="3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5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Tyler Page</w:t>
            </w:r>
          </w:p>
        </w:tc>
      </w:tr>
      <w:tr>
        <w:trPr>
          <w:trHeight w:val="238"/>
        </w:trPr>
        <w:tc>
          <w:tcPr>
            <w:tcW w:w="32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7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2024</w:t>
            </w:r>
          </w:p>
        </w:tc>
        <w:tc>
          <w:tcPr>
            <w:tcW w:w="25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Farrell</w:t>
            </w:r>
          </w:p>
        </w:tc>
      </w:tr>
      <w:tr>
        <w:trPr>
          <w:trHeight w:val="200"/>
        </w:trPr>
        <w:tc>
          <w:tcPr>
            <w:tcW w:w="3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5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Edward Farrell</w:t>
            </w:r>
          </w:p>
        </w:tc>
      </w:tr>
      <w:tr>
        <w:trPr>
          <w:trHeight w:val="238"/>
        </w:trPr>
        <w:tc>
          <w:tcPr>
            <w:tcW w:w="32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8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Tyler Page, Edward Farrell and William Iwaschuk, and each of them, his or her true and lawful agent, proxy and attorney-in-fact,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authorizing said persons and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or his substitute or substitutes, may lawfully do or cause to be done by virtue thereof.</w:t>
      </w:r>
    </w:p>
    <w:p>
      <w:pPr>
        <w:spacing w:after="0" w:line="160"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2" w:right="339" w:bottom="1440" w:gutter="0" w:footer="0" w:header="0"/>
        </w:sectPr>
      </w:pPr>
    </w:p>
    <w:p>
      <w:pPr>
        <w:spacing w:after="0" w:line="15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363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Tyler Page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Edward Farrell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Newsome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Newsome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Dykes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Dykes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Holly Morrow Evans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Holly Morrow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Flatley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Flatley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Cary Grossman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Cary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Caitlin Long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Caitlin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Wesley Williams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Wesley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2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5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236"/>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65"/>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236"/>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2"/>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r>
        <w:trPr>
          <w:trHeight w:val="70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5, 2024</w:t>
            </w:r>
          </w:p>
        </w:tc>
      </w:tr>
    </w:tbl>
    <w:p>
      <w:pPr>
        <w:spacing w:after="0" w:line="402" w:lineRule="exact"/>
        <w:rPr>
          <w:sz w:val="20"/>
          <w:szCs w:val="20"/>
          <w:color w:val="auto"/>
        </w:rPr>
      </w:pPr>
    </w:p>
    <w:p>
      <w:pPr>
        <w:sectPr>
          <w:pgSz w:w="11900" w:h="16838" w:orient="portrait"/>
          <w:cols w:equalWidth="0" w:num="2">
            <w:col w:w="3140" w:space="720"/>
            <w:col w:w="7380"/>
          </w:cols>
          <w:pgMar w:left="320" w:top="14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680" w:type="dxa"/>
            <w:vAlign w:val="bottom"/>
            <w:gridSpan w:val="6"/>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40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4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5580" w:type="dxa"/>
            <w:vAlign w:val="bottom"/>
            <w:gridSpan w:val="4"/>
          </w:tcPr>
          <w:p>
            <w:pPr>
              <w:spacing w:after="0"/>
              <w:rPr>
                <w:sz w:val="24"/>
                <w:szCs w:val="24"/>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9"/>
        </w:trPr>
        <w:tc>
          <w:tcPr>
            <w:tcW w:w="20" w:type="dxa"/>
            <w:vAlign w:val="bottom"/>
          </w:tcPr>
          <w:p>
            <w:pPr>
              <w:spacing w:after="0"/>
              <w:rPr>
                <w:sz w:val="18"/>
                <w:szCs w:val="18"/>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and 2022</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320" w:type="dxa"/>
            <w:vAlign w:val="bottom"/>
            <w:tcBorders>
              <w:right w:val="single" w:sz="8" w:color="0000EE"/>
            </w:tcBorders>
            <w:gridSpan w:val="4"/>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(Deficit) for the Years Ended December 31, 2023 and 2022</w:t>
            </w:r>
          </w:p>
        </w:tc>
        <w:tc>
          <w:tcPr>
            <w:tcW w:w="1120" w:type="dxa"/>
            <w:vAlign w:val="bottom"/>
          </w:tcPr>
          <w:p>
            <w:pPr>
              <w:spacing w:after="0"/>
              <w:rPr>
                <w:sz w:val="18"/>
                <w:szCs w:val="18"/>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9"/>
        </w:trPr>
        <w:tc>
          <w:tcPr>
            <w:tcW w:w="20" w:type="dxa"/>
            <w:vAlign w:val="bottom"/>
          </w:tcPr>
          <w:p>
            <w:pPr>
              <w:spacing w:after="0"/>
              <w:rPr>
                <w:sz w:val="18"/>
                <w:szCs w:val="18"/>
                <w:color w:val="auto"/>
              </w:rPr>
            </w:pPr>
          </w:p>
        </w:tc>
        <w:tc>
          <w:tcPr>
            <w:tcW w:w="6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 Ended December 31, 2023 and 2022</w:t>
            </w:r>
          </w:p>
        </w:tc>
        <w:tc>
          <w:tcPr>
            <w:tcW w:w="3360" w:type="dxa"/>
            <w:vAlign w:val="bottom"/>
            <w:gridSpan w:val="2"/>
          </w:tcPr>
          <w:p>
            <w:pPr>
              <w:spacing w:after="0"/>
              <w:rPr>
                <w:sz w:val="18"/>
                <w:szCs w:val="18"/>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9"/>
        </w:trPr>
        <w:tc>
          <w:tcPr>
            <w:tcW w:w="20" w:type="dxa"/>
            <w:vAlign w:val="bottom"/>
          </w:tcPr>
          <w:p>
            <w:pPr>
              <w:spacing w:after="0"/>
              <w:rPr>
                <w:sz w:val="18"/>
                <w:szCs w:val="18"/>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F-8</w:t>
            </w:r>
          </w:p>
        </w:tc>
      </w:tr>
      <w:tr>
        <w:trPr>
          <w:trHeight w:val="789"/>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80" w:type="dxa"/>
            <w:vAlign w:val="bottom"/>
            <w:gridSpan w:val="3"/>
          </w:tcPr>
          <w:p>
            <w:pPr>
              <w:jc w:val="center"/>
              <w:ind w:right="3260"/>
              <w:spacing w:after="0"/>
              <w:rPr>
                <w:sz w:val="20"/>
                <w:szCs w:val="20"/>
                <w:color w:val="auto"/>
              </w:rPr>
            </w:pPr>
            <w:r>
              <w:rPr>
                <w:rFonts w:ascii="Times New Roman" w:cs="Times New Roman" w:eastAsia="Times New Roman" w:hAnsi="Times New Roman"/>
                <w:sz w:val="18"/>
                <w:szCs w:val="18"/>
                <w:color w:val="auto"/>
                <w:w w:val="95"/>
              </w:rPr>
              <w:t>F-1</w:t>
            </w:r>
          </w:p>
        </w:tc>
        <w:tc>
          <w:tcPr>
            <w:tcW w:w="1400" w:type="dxa"/>
            <w:vAlign w:val="bottom"/>
          </w:tcPr>
          <w:p>
            <w:pPr>
              <w:spacing w:after="0"/>
              <w:rPr>
                <w:sz w:val="24"/>
                <w:szCs w:val="24"/>
                <w:color w:val="auto"/>
              </w:rPr>
            </w:pPr>
          </w:p>
        </w:tc>
      </w:tr>
      <w:tr>
        <w:trPr>
          <w:trHeight w:val="870"/>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Cipher Mining Inc. (the “Company”) as of December 31, 2023 and 2022, the related consolidated statements of operations, changes in stockholders’ equity (deficit) and cash flows for the years ended December 31, 2023 and 2022,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discussed in Note 2 in the accompanying financial statements, the Company changed its method of accounting for digital assets during the year ended December 31, 2023 by early adopting ASU 2023-08, Intangibles - Goodwill and Other - Crypto Assets (Topic 350-60): Accounting for and Disclosure of Crypto Assets, effective January 1, 2023 using the modified retrospective method.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9"/>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CFF"/>
          </w:tcPr>
          <w:p>
            <w:pPr>
              <w:spacing w:after="0"/>
              <w:rPr>
                <w:sz w:val="19"/>
                <w:szCs w:val="19"/>
                <w:color w:val="auto"/>
              </w:rPr>
            </w:pPr>
          </w:p>
        </w:tc>
        <w:tc>
          <w:tcPr>
            <w:tcW w:w="1600" w:type="dxa"/>
            <w:vAlign w:val="bottom"/>
            <w:tcBorders>
              <w:top w:val="single" w:sz="8" w:color="auto"/>
            </w:tcBorders>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140" w:type="dxa"/>
            <w:vAlign w:val="bottom"/>
            <w:tcBorders>
              <w:top w:val="single" w:sz="8" w:color="auto"/>
            </w:tcBorders>
            <w:shd w:val="clear" w:color="auto" w:fill="CCECFF"/>
          </w:tcPr>
          <w:p>
            <w:pPr>
              <w:spacing w:after="0"/>
              <w:rPr>
                <w:sz w:val="19"/>
                <w:szCs w:val="19"/>
                <w:color w:val="auto"/>
              </w:rPr>
            </w:pPr>
          </w:p>
        </w:tc>
        <w:tc>
          <w:tcPr>
            <w:tcW w:w="160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Bitcoin</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32,978</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asset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31,878</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4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47,735</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243,815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35,258</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37,478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2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440" w:type="dxa"/>
            <w:vAlign w:val="bottom"/>
            <w:tcBorders>
              <w:bottom w:val="single" w:sz="8" w:color="CCECFF"/>
            </w:tcBorders>
            <w:shd w:val="clear" w:color="auto" w:fill="CCECFF"/>
          </w:tcPr>
          <w:p>
            <w:pPr>
              <w:spacing w:after="0"/>
              <w:rPr>
                <w:sz w:val="23"/>
                <w:szCs w:val="23"/>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418,463</w:t>
            </w:r>
          </w:p>
        </w:tc>
        <w:tc>
          <w:tcPr>
            <w:tcW w:w="100" w:type="dxa"/>
            <w:vAlign w:val="bottom"/>
            <w:tcBorders>
              <w:bottom w:val="single" w:sz="8" w:color="CCECFF"/>
            </w:tcBorders>
            <w:shd w:val="clear" w:color="auto" w:fill="CCEC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4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18,394</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16,682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CFF"/>
          </w:tcPr>
          <w:p>
            <w:pPr>
              <w:spacing w:after="0"/>
              <w:rPr>
                <w:sz w:val="19"/>
                <w:szCs w:val="19"/>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74,801</w:t>
            </w:r>
          </w:p>
        </w:tc>
        <w:tc>
          <w:tcPr>
            <w:tcW w:w="44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75,571</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14</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CFF"/>
          </w:tcPr>
          <w:p>
            <w:pPr>
              <w:spacing w:after="0"/>
              <w:rPr>
                <w:sz w:val="20"/>
                <w:szCs w:val="20"/>
                <w:color w:val="auto"/>
              </w:rPr>
            </w:pPr>
          </w:p>
        </w:tc>
        <w:tc>
          <w:tcPr>
            <w:tcW w:w="160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31, 2023 and December 31, 2022</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296,276,536 and 251,095,305 shares</w:t>
            </w:r>
          </w:p>
        </w:tc>
        <w:tc>
          <w:tcPr>
            <w:tcW w:w="16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issued as of December 31, 2023 and December 31, 2022, respectively, and 290,957,862 and</w:t>
            </w:r>
          </w:p>
        </w:tc>
        <w:tc>
          <w:tcPr>
            <w:tcW w:w="160" w:type="dxa"/>
            <w:vAlign w:val="bottom"/>
            <w:shd w:val="clear" w:color="auto" w:fill="CCECFF"/>
          </w:tcPr>
          <w:p>
            <w:pPr>
              <w:spacing w:after="0"/>
              <w:rPr>
                <w:sz w:val="17"/>
                <w:szCs w:val="17"/>
                <w:color w:val="auto"/>
              </w:rPr>
            </w:pPr>
          </w:p>
        </w:tc>
        <w:tc>
          <w:tcPr>
            <w:tcW w:w="160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6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247,551,958 shares outstanding as of December 31, 2023, and December 31, 2022, respectively</w:t>
            </w:r>
          </w:p>
        </w:tc>
        <w:tc>
          <w:tcPr>
            <w:tcW w:w="16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627,822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CFF"/>
          </w:tcPr>
          <w:p>
            <w:pPr>
              <w:spacing w:after="0"/>
              <w:rPr>
                <w:sz w:val="20"/>
                <w:szCs w:val="20"/>
                <w:color w:val="auto"/>
              </w:rPr>
            </w:pPr>
          </w:p>
        </w:tc>
        <w:tc>
          <w:tcPr>
            <w:tcW w:w="204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(136,777 )</w:t>
            </w:r>
          </w:p>
        </w:tc>
        <w:tc>
          <w:tcPr>
            <w:tcW w:w="140" w:type="dxa"/>
            <w:vAlign w:val="bottom"/>
            <w:shd w:val="clear" w:color="auto" w:fill="CCECFF"/>
          </w:tcPr>
          <w:p>
            <w:pPr>
              <w:spacing w:after="0"/>
              <w:rPr>
                <w:sz w:val="20"/>
                <w:szCs w:val="20"/>
                <w:color w:val="auto"/>
              </w:rPr>
            </w:pPr>
          </w:p>
        </w:tc>
        <w:tc>
          <w:tcPr>
            <w:tcW w:w="1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(111,209 )</w:t>
            </w:r>
          </w:p>
        </w:tc>
        <w:tc>
          <w:tcPr>
            <w:tcW w:w="0" w:type="dxa"/>
            <w:vAlign w:val="bottom"/>
          </w:tcPr>
          <w:p>
            <w:pPr>
              <w:spacing w:after="0"/>
              <w:rPr>
                <w:sz w:val="1"/>
                <w:szCs w:val="1"/>
                <w:color w:val="auto"/>
              </w:rPr>
            </w:pPr>
          </w:p>
        </w:tc>
      </w:tr>
      <w:tr>
        <w:trPr>
          <w:trHeight w:val="202"/>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at par, 5,318,674 and 3,543,347 shares at December 31, 2023 and December 31, 2022,</w:t>
            </w:r>
          </w:p>
        </w:tc>
        <w:tc>
          <w:tcPr>
            <w:tcW w:w="160" w:type="dxa"/>
            <w:vAlign w:val="bottom"/>
          </w:tcPr>
          <w:p>
            <w:pPr>
              <w:spacing w:after="0"/>
              <w:rPr>
                <w:sz w:val="17"/>
                <w:szCs w:val="17"/>
                <w:color w:val="auto"/>
              </w:rPr>
            </w:pPr>
          </w:p>
        </w:tc>
        <w:tc>
          <w:tcPr>
            <w:tcW w:w="2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7"/>
                <w:szCs w:val="17"/>
                <w:color w:val="auto"/>
              </w:rPr>
            </w:pPr>
          </w:p>
        </w:tc>
        <w:tc>
          <w:tcPr>
            <w:tcW w:w="1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3"/>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bottom w:val="single" w:sz="8" w:color="auto"/>
            </w:tcBorders>
            <w:shd w:val="clear" w:color="auto" w:fill="CCECFF"/>
          </w:tcPr>
          <w:p>
            <w:pPr>
              <w:spacing w:after="0"/>
              <w:rPr>
                <w:sz w:val="19"/>
                <w:szCs w:val="19"/>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491,336</w:t>
            </w:r>
          </w:p>
        </w:tc>
        <w:tc>
          <w:tcPr>
            <w:tcW w:w="44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top w:val="single" w:sz="8" w:color="auto"/>
              <w:bottom w:val="single" w:sz="8" w:color="auto"/>
            </w:tcBorders>
            <w:shd w:val="clear" w:color="auto" w:fill="CCECFF"/>
          </w:tcPr>
          <w:p>
            <w:pPr>
              <w:spacing w:after="0"/>
              <w:rPr>
                <w:sz w:val="19"/>
                <w:szCs w:val="19"/>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342,892</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-4091940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-4074795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-4091940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-4074795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-2901950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-2011680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-324485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Revenue - bitcoin mining</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Cost of revenue</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Power sales</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Gains on fair value of bitcoin</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Impairment of bitcoin</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0"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3220" w:type="dxa"/>
        <w:tblCellMar>
          <w:top w:w="0" w:type="dxa"/>
          <w:left w:w="0" w:type="dxa"/>
          <w:bottom w:w="0" w:type="dxa"/>
          <w:right w:w="0" w:type="dxa"/>
        </w:tblCellMar>
      </w:tblPr>
      <w:tr>
        <w:trPr>
          <w:trHeight w:val="236"/>
        </w:trPr>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126,842</w:t>
            </w:r>
          </w:p>
        </w:tc>
        <w:tc>
          <w:tcPr>
            <w:tcW w:w="56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60" w:type="dxa"/>
            <w:vAlign w:val="bottom"/>
          </w:tcPr>
          <w:p>
            <w:pPr>
              <w:spacing w:after="0"/>
              <w:rPr>
                <w:sz w:val="19"/>
                <w:szCs w:val="19"/>
                <w:color w:val="auto"/>
              </w:rPr>
            </w:pPr>
          </w:p>
        </w:tc>
      </w:tr>
      <w:tr>
        <w:trPr>
          <w:trHeight w:val="439"/>
        </w:trPr>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50,309</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60" w:type="dxa"/>
            <w:vAlign w:val="bottom"/>
          </w:tcPr>
          <w:p>
            <w:pPr>
              <w:spacing w:after="0"/>
              <w:rPr>
                <w:sz w:val="24"/>
                <w:szCs w:val="24"/>
                <w:color w:val="auto"/>
              </w:rPr>
            </w:pPr>
          </w:p>
        </w:tc>
      </w:tr>
      <w:tr>
        <w:trPr>
          <w:trHeight w:val="229"/>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85,195</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70,836</w:t>
            </w:r>
          </w:p>
        </w:tc>
        <w:tc>
          <w:tcPr>
            <w:tcW w:w="6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59,093</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6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2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(26,836 )</w:t>
            </w:r>
          </w:p>
        </w:tc>
        <w:tc>
          <w:tcPr>
            <w:tcW w:w="4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(73,479 )</w:t>
            </w:r>
          </w:p>
        </w:tc>
      </w:tr>
      <w:tr>
        <w:trPr>
          <w:trHeight w:val="229"/>
        </w:trPr>
        <w:tc>
          <w:tcPr>
            <w:tcW w:w="440" w:type="dxa"/>
            <w:vAlign w:val="bottom"/>
          </w:tcPr>
          <w:p>
            <w:pPr>
              <w:spacing w:after="0"/>
              <w:rPr>
                <w:sz w:val="19"/>
                <w:szCs w:val="19"/>
                <w:color w:val="auto"/>
              </w:rPr>
            </w:pPr>
          </w:p>
        </w:tc>
        <w:tc>
          <w:tcPr>
            <w:tcW w:w="2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(9,941 )</w:t>
            </w:r>
          </w:p>
        </w:tc>
        <w:tc>
          <w:tcPr>
            <w:tcW w:w="4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(458 )</w:t>
            </w:r>
          </w:p>
        </w:tc>
      </w:tr>
      <w:tr>
        <w:trPr>
          <w:trHeight w:val="229"/>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36,972</w:t>
            </w:r>
          </w:p>
        </w:tc>
        <w:tc>
          <w:tcPr>
            <w:tcW w:w="6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2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(11,038 )</w:t>
            </w:r>
          </w:p>
        </w:tc>
        <w:tc>
          <w:tcPr>
            <w:tcW w:w="4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29"/>
        </w:trPr>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-1151255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-860425</wp:posOffset>
            </wp:positionV>
            <wp:extent cx="713232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-568960</wp:posOffset>
            </wp:positionV>
            <wp:extent cx="71323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-278130</wp:posOffset>
            </wp:positionV>
            <wp:extent cx="713232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-1450975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00" w:space="720"/>
            <w:col w:w="7720"/>
          </w:cols>
          <w:pgMar w:left="320" w:top="1412" w:right="339" w:bottom="1440" w:gutter="0" w:footer="0" w:header="0"/>
        </w:sectPr>
      </w:pPr>
    </w:p>
    <w:tbl>
      <w:tblPr>
        <w:tblLayout w:type="fixed"/>
        <w:tblInd w:w="0" w:type="dxa"/>
        <w:tblCellMar>
          <w:top w:w="0" w:type="dxa"/>
          <w:left w:w="0" w:type="dxa"/>
          <w:bottom w:w="0" w:type="dxa"/>
          <w:right w:w="0" w:type="dxa"/>
        </w:tblCellMar>
      </w:tblPr>
      <w:tr>
        <w:trPr>
          <w:trHeight w:val="229"/>
        </w:trPr>
        <w:tc>
          <w:tcPr>
            <w:tcW w:w="67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600" w:type="dxa"/>
            <w:vAlign w:val="bottom"/>
            <w:shd w:val="clear" w:color="auto" w:fill="CCECFF"/>
          </w:tcPr>
          <w:p>
            <w:pPr>
              <w:spacing w:after="0"/>
              <w:rPr>
                <w:sz w:val="19"/>
                <w:szCs w:val="19"/>
                <w:color w:val="auto"/>
              </w:rPr>
            </w:pPr>
          </w:p>
        </w:tc>
        <w:tc>
          <w:tcPr>
            <w:tcW w:w="1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6"/>
                <w:szCs w:val="16"/>
                <w:color w:val="auto"/>
              </w:rPr>
              <w:t>(2,355 )</w:t>
            </w:r>
          </w:p>
        </w:tc>
        <w:tc>
          <w:tcPr>
            <w:tcW w:w="600" w:type="dxa"/>
            <w:vAlign w:val="bottom"/>
            <w:shd w:val="clear" w:color="auto" w:fill="CCECFF"/>
          </w:tcPr>
          <w:p>
            <w:pPr>
              <w:spacing w:after="0"/>
              <w:rPr>
                <w:sz w:val="19"/>
                <w:szCs w:val="19"/>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20"/>
        </w:trPr>
        <w:tc>
          <w:tcPr>
            <w:tcW w:w="6740" w:type="dxa"/>
            <w:vAlign w:val="bottom"/>
            <w:tcBorders>
              <w:top w:val="single" w:sz="8" w:color="CCECFF"/>
            </w:tcBorders>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 (income)</w:t>
            </w:r>
          </w:p>
        </w:tc>
        <w:tc>
          <w:tcPr>
            <w:tcW w:w="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146,957</w:t>
            </w:r>
          </w:p>
        </w:tc>
        <w:tc>
          <w:tcPr>
            <w:tcW w:w="560" w:type="dxa"/>
            <w:vAlign w:val="bottom"/>
            <w:tcBorders>
              <w:top w:val="single" w:sz="8" w:color="CCEC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40,458</w:t>
            </w:r>
          </w:p>
        </w:tc>
        <w:tc>
          <w:tcPr>
            <w:tcW w:w="100" w:type="dxa"/>
            <w:vAlign w:val="bottom"/>
            <w:tcBorders>
              <w:top w:val="single" w:sz="8" w:color="CCECFF"/>
            </w:tcBorders>
          </w:tcPr>
          <w:p>
            <w:pPr>
              <w:spacing w:after="0"/>
              <w:rPr>
                <w:sz w:val="19"/>
                <w:szCs w:val="19"/>
                <w:color w:val="auto"/>
              </w:rPr>
            </w:pPr>
          </w:p>
        </w:tc>
      </w:tr>
      <w:tr>
        <w:trPr>
          <w:trHeight w:val="223"/>
        </w:trPr>
        <w:tc>
          <w:tcPr>
            <w:tcW w:w="67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loss</w:t>
            </w:r>
          </w:p>
        </w:tc>
        <w:tc>
          <w:tcPr>
            <w:tcW w:w="600" w:type="dxa"/>
            <w:vAlign w:val="bottom"/>
            <w:shd w:val="clear" w:color="auto" w:fill="CCECFF"/>
          </w:tcPr>
          <w:p>
            <w:pPr>
              <w:spacing w:after="0"/>
              <w:rPr>
                <w:sz w:val="19"/>
                <w:szCs w:val="19"/>
                <w:color w:val="auto"/>
              </w:rPr>
            </w:pPr>
          </w:p>
        </w:tc>
        <w:tc>
          <w:tcPr>
            <w:tcW w:w="1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6"/>
                <w:szCs w:val="16"/>
                <w:color w:val="auto"/>
              </w:rPr>
              <w:t>(20,115 )</w:t>
            </w:r>
          </w:p>
        </w:tc>
        <w:tc>
          <w:tcPr>
            <w:tcW w:w="600" w:type="dxa"/>
            <w:vAlign w:val="bottom"/>
            <w:shd w:val="clear" w:color="auto" w:fill="CCECFF"/>
          </w:tcPr>
          <w:p>
            <w:pPr>
              <w:spacing w:after="0"/>
              <w:rPr>
                <w:sz w:val="19"/>
                <w:szCs w:val="19"/>
                <w:color w:val="auto"/>
              </w:rPr>
            </w:pPr>
          </w:p>
        </w:tc>
        <w:tc>
          <w:tcPr>
            <w:tcW w:w="1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(37,421 )</w:t>
            </w:r>
          </w:p>
        </w:tc>
      </w:tr>
      <w:tr>
        <w:trPr>
          <w:trHeight w:val="216"/>
        </w:trPr>
        <w:tc>
          <w:tcPr>
            <w:tcW w:w="674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60" w:type="dxa"/>
            <w:vAlign w:val="bottom"/>
            <w:tcBorders>
              <w:top w:val="single" w:sz="8" w:color="CCEC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39"/>
        </w:trPr>
        <w:tc>
          <w:tcPr>
            <w:tcW w:w="67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600" w:type="dxa"/>
            <w:vAlign w:val="bottom"/>
            <w:shd w:val="clear" w:color="auto" w:fill="CCECFF"/>
          </w:tcPr>
          <w:p>
            <w:pPr>
              <w:spacing w:after="0"/>
              <w:rPr>
                <w:sz w:val="20"/>
                <w:szCs w:val="20"/>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560" w:type="dxa"/>
            <w:vAlign w:val="bottom"/>
            <w:shd w:val="clear" w:color="auto" w:fill="CCECFF"/>
          </w:tcPr>
          <w:p>
            <w:pPr>
              <w:spacing w:after="0"/>
              <w:rPr>
                <w:sz w:val="20"/>
                <w:szCs w:val="20"/>
                <w:color w:val="auto"/>
              </w:rPr>
            </w:pPr>
          </w:p>
        </w:tc>
        <w:tc>
          <w:tcPr>
            <w:tcW w:w="600" w:type="dxa"/>
            <w:vAlign w:val="bottom"/>
            <w:shd w:val="clear" w:color="auto" w:fill="CCECFF"/>
          </w:tcPr>
          <w:p>
            <w:pPr>
              <w:spacing w:after="0"/>
              <w:rPr>
                <w:sz w:val="20"/>
                <w:szCs w:val="20"/>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CFF"/>
          </w:tcPr>
          <w:p>
            <w:pPr>
              <w:spacing w:after="0"/>
              <w:rPr>
                <w:sz w:val="20"/>
                <w:szCs w:val="20"/>
                <w:color w:val="auto"/>
              </w:rPr>
            </w:pPr>
          </w:p>
        </w:tc>
      </w:tr>
      <w:tr>
        <w:trPr>
          <w:trHeight w:val="220"/>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600" w:type="dxa"/>
            <w:vAlign w:val="bottom"/>
          </w:tcPr>
          <w:p>
            <w:pPr>
              <w:spacing w:after="0"/>
              <w:rPr>
                <w:sz w:val="19"/>
                <w:szCs w:val="19"/>
                <w:color w:val="auto"/>
              </w:rPr>
            </w:pP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(1,999 )</w:t>
            </w:r>
          </w:p>
        </w:tc>
        <w:tc>
          <w:tcPr>
            <w:tcW w:w="6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(137 )</w:t>
            </w:r>
          </w:p>
        </w:tc>
      </w:tr>
      <w:tr>
        <w:trPr>
          <w:trHeight w:val="239"/>
        </w:trPr>
        <w:tc>
          <w:tcPr>
            <w:tcW w:w="67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600" w:type="dxa"/>
            <w:vAlign w:val="bottom"/>
            <w:shd w:val="clear" w:color="auto" w:fill="CCECFF"/>
          </w:tcPr>
          <w:p>
            <w:pPr>
              <w:spacing w:after="0"/>
              <w:rPr>
                <w:sz w:val="20"/>
                <w:szCs w:val="20"/>
                <w:color w:val="auto"/>
              </w:rPr>
            </w:pPr>
          </w:p>
        </w:tc>
        <w:tc>
          <w:tcPr>
            <w:tcW w:w="1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6"/>
                <w:szCs w:val="16"/>
                <w:color w:val="auto"/>
              </w:rPr>
              <w:t>(243 )</w:t>
            </w:r>
          </w:p>
        </w:tc>
        <w:tc>
          <w:tcPr>
            <w:tcW w:w="600" w:type="dxa"/>
            <w:vAlign w:val="bottom"/>
            <w:shd w:val="clear" w:color="auto" w:fill="CCECFF"/>
          </w:tcPr>
          <w:p>
            <w:pPr>
              <w:spacing w:after="0"/>
              <w:rPr>
                <w:sz w:val="20"/>
                <w:szCs w:val="20"/>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CFF"/>
          </w:tcPr>
          <w:p>
            <w:pPr>
              <w:spacing w:after="0"/>
              <w:rPr>
                <w:sz w:val="20"/>
                <w:szCs w:val="20"/>
                <w:color w:val="auto"/>
              </w:rPr>
            </w:pPr>
          </w:p>
        </w:tc>
      </w:tr>
      <w:tr>
        <w:trPr>
          <w:trHeight w:val="226"/>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600" w:type="dxa"/>
            <w:vAlign w:val="bottom"/>
          </w:tcPr>
          <w:p>
            <w:pPr>
              <w:spacing w:after="0"/>
              <w:rPr>
                <w:sz w:val="19"/>
                <w:szCs w:val="19"/>
                <w:color w:val="auto"/>
              </w:rPr>
            </w:pP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(17 )</w:t>
            </w:r>
          </w:p>
        </w:tc>
        <w:tc>
          <w:tcPr>
            <w:tcW w:w="6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600" w:type="dxa"/>
            <w:vAlign w:val="bottom"/>
            <w:shd w:val="clear" w:color="auto" w:fill="CCECFF"/>
          </w:tcPr>
          <w:p>
            <w:pPr>
              <w:spacing w:after="0"/>
              <w:rPr>
                <w:sz w:val="19"/>
                <w:szCs w:val="19"/>
                <w:color w:val="auto"/>
              </w:rPr>
            </w:pPr>
          </w:p>
        </w:tc>
        <w:tc>
          <w:tcPr>
            <w:tcW w:w="1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6"/>
                <w:szCs w:val="16"/>
                <w:color w:val="auto"/>
              </w:rPr>
              <w:t>(2,095 )</w:t>
            </w:r>
          </w:p>
        </w:tc>
        <w:tc>
          <w:tcPr>
            <w:tcW w:w="600" w:type="dxa"/>
            <w:vAlign w:val="bottom"/>
            <w:shd w:val="clear" w:color="auto" w:fill="CCECFF"/>
          </w:tcPr>
          <w:p>
            <w:pPr>
              <w:spacing w:after="0"/>
              <w:rPr>
                <w:sz w:val="19"/>
                <w:szCs w:val="19"/>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CFF"/>
          </w:tcPr>
          <w:p>
            <w:pPr>
              <w:spacing w:after="0"/>
              <w:rPr>
                <w:sz w:val="19"/>
                <w:szCs w:val="19"/>
                <w:color w:val="auto"/>
              </w:rPr>
            </w:pPr>
          </w:p>
        </w:tc>
      </w:tr>
      <w:tr>
        <w:trPr>
          <w:trHeight w:val="20"/>
        </w:trPr>
        <w:tc>
          <w:tcPr>
            <w:tcW w:w="6740" w:type="dxa"/>
            <w:vAlign w:val="bottom"/>
            <w:shd w:val="clear" w:color="auto" w:fill="CCEC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6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before taxes</w:t>
            </w:r>
          </w:p>
        </w:tc>
        <w:tc>
          <w:tcPr>
            <w:tcW w:w="600" w:type="dxa"/>
            <w:vAlign w:val="bottom"/>
          </w:tcPr>
          <w:p>
            <w:pPr>
              <w:spacing w:after="0"/>
              <w:rPr>
                <w:sz w:val="18"/>
                <w:szCs w:val="18"/>
                <w:color w:val="auto"/>
              </w:rPr>
            </w:pP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(22,210 )</w:t>
            </w:r>
          </w:p>
        </w:tc>
        <w:tc>
          <w:tcPr>
            <w:tcW w:w="6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(37,213 )</w:t>
            </w:r>
          </w:p>
        </w:tc>
      </w:tr>
      <w:tr>
        <w:trPr>
          <w:trHeight w:val="239"/>
        </w:trPr>
        <w:tc>
          <w:tcPr>
            <w:tcW w:w="67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600" w:type="dxa"/>
            <w:vAlign w:val="bottom"/>
            <w:shd w:val="clear" w:color="auto" w:fill="CCECFF"/>
          </w:tcPr>
          <w:p>
            <w:pPr>
              <w:spacing w:after="0"/>
              <w:rPr>
                <w:sz w:val="20"/>
                <w:szCs w:val="20"/>
                <w:color w:val="auto"/>
              </w:rPr>
            </w:pPr>
          </w:p>
        </w:tc>
        <w:tc>
          <w:tcPr>
            <w:tcW w:w="1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6"/>
                <w:szCs w:val="16"/>
                <w:color w:val="auto"/>
              </w:rPr>
              <w:t>(201 )</w:t>
            </w:r>
          </w:p>
        </w:tc>
        <w:tc>
          <w:tcPr>
            <w:tcW w:w="600" w:type="dxa"/>
            <w:vAlign w:val="bottom"/>
            <w:shd w:val="clear" w:color="auto" w:fill="CCECFF"/>
          </w:tcPr>
          <w:p>
            <w:pPr>
              <w:spacing w:after="0"/>
              <w:rPr>
                <w:sz w:val="20"/>
                <w:szCs w:val="20"/>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6"/>
        </w:trPr>
        <w:tc>
          <w:tcPr>
            <w:tcW w:w="6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600" w:type="dxa"/>
            <w:vAlign w:val="bottom"/>
          </w:tcPr>
          <w:p>
            <w:pPr>
              <w:spacing w:after="0"/>
              <w:rPr>
                <w:sz w:val="19"/>
                <w:szCs w:val="19"/>
                <w:color w:val="auto"/>
              </w:rPr>
            </w:pP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(3,366 )</w:t>
            </w:r>
          </w:p>
        </w:tc>
        <w:tc>
          <w:tcPr>
            <w:tcW w:w="6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(1,840 )</w:t>
            </w:r>
          </w:p>
        </w:tc>
      </w:tr>
      <w:tr>
        <w:trPr>
          <w:trHeight w:val="20"/>
        </w:trPr>
        <w:tc>
          <w:tcPr>
            <w:tcW w:w="6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Total income tax expense</w:t>
            </w:r>
          </w:p>
        </w:tc>
        <w:tc>
          <w:tcPr>
            <w:tcW w:w="600" w:type="dxa"/>
            <w:vAlign w:val="bottom"/>
            <w:shd w:val="clear" w:color="auto" w:fill="CCECFF"/>
          </w:tcPr>
          <w:p>
            <w:pPr>
              <w:spacing w:after="0"/>
              <w:rPr>
                <w:sz w:val="19"/>
                <w:szCs w:val="19"/>
                <w:color w:val="auto"/>
              </w:rPr>
            </w:pPr>
          </w:p>
        </w:tc>
        <w:tc>
          <w:tcPr>
            <w:tcW w:w="1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6"/>
                <w:szCs w:val="16"/>
                <w:color w:val="auto"/>
              </w:rPr>
              <w:t>(3,567 )</w:t>
            </w:r>
          </w:p>
        </w:tc>
        <w:tc>
          <w:tcPr>
            <w:tcW w:w="600" w:type="dxa"/>
            <w:vAlign w:val="bottom"/>
            <w:shd w:val="clear" w:color="auto" w:fill="CCECFF"/>
          </w:tcPr>
          <w:p>
            <w:pPr>
              <w:spacing w:after="0"/>
              <w:rPr>
                <w:sz w:val="19"/>
                <w:szCs w:val="19"/>
                <w:color w:val="auto"/>
              </w:rPr>
            </w:pPr>
          </w:p>
        </w:tc>
        <w:tc>
          <w:tcPr>
            <w:tcW w:w="1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(1,840 )</w:t>
            </w:r>
          </w:p>
        </w:tc>
      </w:tr>
      <w:tr>
        <w:trPr>
          <w:trHeight w:val="20"/>
        </w:trPr>
        <w:tc>
          <w:tcPr>
            <w:tcW w:w="6740" w:type="dxa"/>
            <w:vAlign w:val="bottom"/>
            <w:shd w:val="clear" w:color="auto" w:fill="CCEC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6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(25,777 )</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(39,053 )</w:t>
            </w:r>
          </w:p>
        </w:tc>
      </w:tr>
      <w:tr>
        <w:trPr>
          <w:trHeight w:val="20"/>
        </w:trPr>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600" w:type="dxa"/>
            <w:vAlign w:val="bottom"/>
            <w:shd w:val="clear" w:color="auto" w:fill="CCEC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6"/>
                <w:szCs w:val="16"/>
                <w:color w:val="auto"/>
              </w:rPr>
              <w:t>(0.10 )</w:t>
            </w:r>
          </w:p>
        </w:tc>
        <w:tc>
          <w:tcPr>
            <w:tcW w:w="600" w:type="dxa"/>
            <w:vAlign w:val="bottom"/>
            <w:shd w:val="clear" w:color="auto" w:fill="CCEC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(0.16 )</w:t>
            </w:r>
          </w:p>
        </w:tc>
      </w:tr>
      <w:tr>
        <w:trPr>
          <w:trHeight w:val="210"/>
        </w:trPr>
        <w:tc>
          <w:tcPr>
            <w:tcW w:w="6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252,439,461</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248,227,458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-2256155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-2256155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-1948180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-1948180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-1057275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-1057275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-458470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-458470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760" w:type="dxa"/>
            <w:vAlign w:val="bottom"/>
          </w:tcPr>
          <w:p>
            <w:pPr>
              <w:spacing w:after="0"/>
              <w:rPr>
                <w:sz w:val="19"/>
                <w:szCs w:val="19"/>
                <w:color w:val="auto"/>
              </w:rPr>
            </w:pPr>
          </w:p>
        </w:tc>
        <w:tc>
          <w:tcPr>
            <w:tcW w:w="16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0"/>
        </w:trPr>
        <w:tc>
          <w:tcPr>
            <w:tcW w:w="2760" w:type="dxa"/>
            <w:vAlign w:val="bottom"/>
            <w:tcBorders>
              <w:right w:val="single" w:sz="8" w:color="CCECFF"/>
            </w:tcBorders>
            <w:shd w:val="clear" w:color="auto" w:fill="CCECFF"/>
          </w:tcPr>
          <w:p>
            <w:pPr>
              <w:spacing w:after="0"/>
              <w:rPr>
                <w:sz w:val="17"/>
                <w:szCs w:val="17"/>
                <w:color w:val="auto"/>
              </w:rPr>
            </w:pPr>
          </w:p>
        </w:tc>
        <w:tc>
          <w:tcPr>
            <w:tcW w:w="1000" w:type="dxa"/>
            <w:vAlign w:val="bottom"/>
            <w:tcBorders>
              <w:top w:val="single" w:sz="8" w:color="auto"/>
            </w:tcBorders>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320" w:type="dxa"/>
            <w:vAlign w:val="bottom"/>
            <w:tcBorders>
              <w:top w:val="single" w:sz="8" w:color="auto"/>
            </w:tcBorders>
            <w:shd w:val="clear" w:color="auto" w:fill="CCECFF"/>
          </w:tcPr>
          <w:p>
            <w:pPr>
              <w:spacing w:after="0"/>
              <w:rPr>
                <w:sz w:val="17"/>
                <w:szCs w:val="17"/>
                <w:color w:val="auto"/>
              </w:rPr>
            </w:pPr>
          </w:p>
        </w:tc>
        <w:tc>
          <w:tcPr>
            <w:tcW w:w="360" w:type="dxa"/>
            <w:vAlign w:val="bottom"/>
            <w:tcBorders>
              <w:top w:val="single" w:sz="8" w:color="auto"/>
            </w:tcBorders>
            <w:shd w:val="clear" w:color="auto" w:fill="CCECFF"/>
          </w:tcPr>
          <w:p>
            <w:pPr>
              <w:spacing w:after="0"/>
              <w:rPr>
                <w:sz w:val="17"/>
                <w:szCs w:val="17"/>
                <w:color w:val="auto"/>
              </w:rPr>
            </w:pPr>
          </w:p>
        </w:tc>
        <w:tc>
          <w:tcPr>
            <w:tcW w:w="260" w:type="dxa"/>
            <w:vAlign w:val="bottom"/>
            <w:tcBorders>
              <w:left w:val="single" w:sz="8" w:color="CCECFF"/>
            </w:tcBorders>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84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800" w:type="dxa"/>
            <w:vAlign w:val="bottom"/>
            <w:tcBorders>
              <w:top w:val="single" w:sz="8" w:color="auto"/>
            </w:tcBorders>
            <w:shd w:val="clear" w:color="auto" w:fill="CCECFF"/>
          </w:tcPr>
          <w:p>
            <w:pPr>
              <w:spacing w:after="0"/>
              <w:rPr>
                <w:sz w:val="17"/>
                <w:szCs w:val="17"/>
                <w:color w:val="auto"/>
              </w:rPr>
            </w:pPr>
          </w:p>
        </w:tc>
        <w:tc>
          <w:tcPr>
            <w:tcW w:w="360" w:type="dxa"/>
            <w:vAlign w:val="bottom"/>
            <w:tcBorders>
              <w:left w:val="single" w:sz="8" w:color="CCECFF"/>
              <w:right w:val="single" w:sz="8" w:color="CCECFF"/>
            </w:tcBorders>
            <w:shd w:val="clear" w:color="auto" w:fill="CCECFF"/>
          </w:tcPr>
          <w:p>
            <w:pPr>
              <w:spacing w:after="0"/>
              <w:rPr>
                <w:sz w:val="17"/>
                <w:szCs w:val="17"/>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(3,543,34</w:t>
            </w:r>
          </w:p>
        </w:tc>
        <w:tc>
          <w:tcPr>
            <w:tcW w:w="360" w:type="dxa"/>
            <w:vAlign w:val="bottom"/>
            <w:tcBorders>
              <w:left w:val="single" w:sz="8" w:color="CCECFF"/>
              <w:right w:val="single" w:sz="8" w:color="CCECFF"/>
            </w:tcBorders>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68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112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760" w:type="dxa"/>
            <w:vAlign w:val="bottom"/>
            <w:tcBorders>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251,095,305</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260" w:type="dxa"/>
            <w:vAlign w:val="bottom"/>
            <w:tcBorders>
              <w:left w:val="single" w:sz="8" w:color="CCECFF"/>
            </w:tcBorders>
            <w:shd w:val="clear" w:color="auto" w:fill="CCECFF"/>
          </w:tcPr>
          <w:p>
            <w:pPr>
              <w:spacing w:after="0"/>
              <w:rPr>
                <w:sz w:val="20"/>
                <w:szCs w:val="20"/>
                <w:color w:val="auto"/>
              </w:rPr>
            </w:pPr>
          </w:p>
        </w:tc>
        <w:tc>
          <w:tcPr>
            <w:tcW w:w="22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453,854</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(111,209 )</w:t>
            </w:r>
          </w:p>
        </w:tc>
        <w:tc>
          <w:tcPr>
            <w:tcW w:w="1160" w:type="dxa"/>
            <w:vAlign w:val="bottom"/>
            <w:tcBorders>
              <w:right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7 )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342,892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Cumulative effect upon adoption of</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ASU 2023-08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0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260" w:type="dxa"/>
            <w:vAlign w:val="bottom"/>
            <w:tcBorders>
              <w:left w:val="single" w:sz="8" w:color="CCECFF"/>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left w:val="single" w:sz="8" w:color="CCECFF"/>
              <w:right w:val="single" w:sz="8" w:color="CCECFF"/>
            </w:tcBorders>
            <w:shd w:val="clear" w:color="auto" w:fill="CCECFF"/>
          </w:tcPr>
          <w:p>
            <w:pPr>
              <w:spacing w:after="0"/>
              <w:rPr>
                <w:sz w:val="18"/>
                <w:szCs w:val="18"/>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left w:val="single" w:sz="8" w:color="CCECFF"/>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37,433,923</w:t>
            </w:r>
          </w:p>
        </w:tc>
        <w:tc>
          <w:tcPr>
            <w:tcW w:w="3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Borders>
              <w:left w:val="single" w:sz="8" w:color="CCECFF"/>
            </w:tcBorders>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132,406</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800" w:type="dxa"/>
            <w:vAlign w:val="bottom"/>
            <w:vMerge w:val="continue"/>
            <w:shd w:val="clear" w:color="auto" w:fill="CCECFF"/>
          </w:tcPr>
          <w:p>
            <w:pPr>
              <w:spacing w:after="0"/>
              <w:rPr>
                <w:sz w:val="19"/>
                <w:szCs w:val="19"/>
                <w:color w:val="auto"/>
              </w:rPr>
            </w:pPr>
          </w:p>
        </w:tc>
        <w:tc>
          <w:tcPr>
            <w:tcW w:w="360" w:type="dxa"/>
            <w:vAlign w:val="bottom"/>
            <w:tcBorders>
              <w:left w:val="single" w:sz="8" w:color="CCECFF"/>
              <w:right w:val="single" w:sz="8" w:color="CCECFF"/>
            </w:tcBorders>
            <w:shd w:val="clear" w:color="auto" w:fill="CCECFF"/>
          </w:tcPr>
          <w:p>
            <w:pPr>
              <w:spacing w:after="0"/>
              <w:rPr>
                <w:sz w:val="19"/>
                <w:szCs w:val="19"/>
                <w:color w:val="auto"/>
              </w:rPr>
            </w:pPr>
          </w:p>
        </w:tc>
        <w:tc>
          <w:tcPr>
            <w:tcW w:w="800" w:type="dxa"/>
            <w:vAlign w:val="bottom"/>
            <w:vMerge w:val="continue"/>
            <w:shd w:val="clear" w:color="auto" w:fill="CCECFF"/>
          </w:tcPr>
          <w:p>
            <w:pPr>
              <w:spacing w:after="0"/>
              <w:rPr>
                <w:sz w:val="19"/>
                <w:szCs w:val="19"/>
                <w:color w:val="auto"/>
              </w:rPr>
            </w:pPr>
          </w:p>
        </w:tc>
        <w:tc>
          <w:tcPr>
            <w:tcW w:w="360" w:type="dxa"/>
            <w:vAlign w:val="bottom"/>
            <w:tcBorders>
              <w:left w:val="single" w:sz="8" w:color="CCECFF"/>
              <w:right w:val="single" w:sz="8" w:color="CCECFF"/>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132,443</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shares - Black</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Pearl asset acquisition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2,397,424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0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260" w:type="dxa"/>
            <w:vAlign w:val="bottom"/>
            <w:tcBorders>
              <w:left w:val="single" w:sz="8" w:color="CCECFF"/>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360" w:type="dxa"/>
            <w:vAlign w:val="bottom"/>
            <w:tcBorders>
              <w:left w:val="single" w:sz="8" w:color="CCECFF"/>
              <w:right w:val="single" w:sz="8" w:color="CCECFF"/>
            </w:tcBorders>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360" w:type="dxa"/>
            <w:vAlign w:val="bottom"/>
            <w:tcBorders>
              <w:left w:val="single" w:sz="8" w:color="CCECFF"/>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0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260" w:type="dxa"/>
            <w:vAlign w:val="bottom"/>
            <w:tcBorders>
              <w:left w:val="single" w:sz="8" w:color="CCECFF"/>
            </w:tcBorders>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left w:val="single" w:sz="8" w:color="CCECFF"/>
              <w:right w:val="single" w:sz="8" w:color="CCECFF"/>
            </w:tcBorders>
            <w:shd w:val="clear" w:color="auto" w:fill="CCECFF"/>
          </w:tcPr>
          <w:p>
            <w:pPr>
              <w:spacing w:after="0"/>
              <w:rPr>
                <w:sz w:val="17"/>
                <w:szCs w:val="17"/>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(1,775,32</w:t>
            </w:r>
          </w:p>
        </w:tc>
        <w:tc>
          <w:tcPr>
            <w:tcW w:w="360" w:type="dxa"/>
            <w:vAlign w:val="bottom"/>
            <w:tcBorders>
              <w:left w:val="single" w:sz="8" w:color="CCECFF"/>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4,942,906</w:t>
            </w:r>
          </w:p>
        </w:tc>
        <w:tc>
          <w:tcPr>
            <w:tcW w:w="3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left w:val="single" w:sz="8" w:color="CCECFF"/>
            </w:tcBorders>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0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(3,906 )</w:t>
            </w:r>
          </w:p>
        </w:tc>
        <w:tc>
          <w:tcPr>
            <w:tcW w:w="140" w:type="dxa"/>
            <w:vAlign w:val="bottom"/>
            <w:shd w:val="clear" w:color="auto" w:fill="CCECFF"/>
          </w:tcPr>
          <w:p>
            <w:pPr>
              <w:spacing w:after="0"/>
              <w:rPr>
                <w:sz w:val="19"/>
                <w:szCs w:val="19"/>
                <w:color w:val="auto"/>
              </w:rPr>
            </w:pPr>
          </w:p>
        </w:tc>
        <w:tc>
          <w:tcPr>
            <w:tcW w:w="800" w:type="dxa"/>
            <w:vAlign w:val="bottom"/>
            <w:vMerge w:val="continue"/>
            <w:shd w:val="clear" w:color="auto" w:fill="CCECFF"/>
          </w:tcPr>
          <w:p>
            <w:pPr>
              <w:spacing w:after="0"/>
              <w:rPr>
                <w:sz w:val="19"/>
                <w:szCs w:val="19"/>
                <w:color w:val="auto"/>
              </w:rPr>
            </w:pPr>
          </w:p>
        </w:tc>
        <w:tc>
          <w:tcPr>
            <w:tcW w:w="360" w:type="dxa"/>
            <w:vAlign w:val="bottom"/>
            <w:tcBorders>
              <w:left w:val="single" w:sz="8" w:color="CCECFF"/>
              <w:right w:val="single" w:sz="8" w:color="CCECFF"/>
            </w:tcBorders>
            <w:shd w:val="clear" w:color="auto" w:fill="CCECFF"/>
          </w:tcPr>
          <w:p>
            <w:pPr>
              <w:spacing w:after="0"/>
              <w:rPr>
                <w:sz w:val="19"/>
                <w:szCs w:val="19"/>
                <w:color w:val="auto"/>
              </w:rPr>
            </w:pPr>
          </w:p>
        </w:tc>
        <w:tc>
          <w:tcPr>
            <w:tcW w:w="1160" w:type="dxa"/>
            <w:vAlign w:val="bottom"/>
            <w:tcBorders>
              <w:right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CFF"/>
          </w:tcPr>
          <w:p>
            <w:pPr>
              <w:spacing w:after="0"/>
              <w:rPr>
                <w:sz w:val="19"/>
                <w:szCs w:val="19"/>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(3,902 )</w:t>
            </w:r>
          </w:p>
        </w:tc>
        <w:tc>
          <w:tcPr>
            <w:tcW w:w="0" w:type="dxa"/>
            <w:vAlign w:val="bottom"/>
          </w:tcPr>
          <w:p>
            <w:pPr>
              <w:spacing w:after="0"/>
              <w:rPr>
                <w:sz w:val="1"/>
                <w:szCs w:val="1"/>
                <w:color w:val="auto"/>
              </w:rPr>
            </w:pPr>
          </w:p>
        </w:tc>
      </w:tr>
      <w:tr>
        <w:trPr>
          <w:trHeight w:val="221"/>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406,978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left w:val="single" w:sz="8" w:color="CCECFF"/>
            </w:tcBorders>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(25,777 )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left w:val="single" w:sz="8" w:color="CCECFF"/>
              <w:right w:val="single" w:sz="8" w:color="CCECFF"/>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(25,777 )</w:t>
            </w:r>
          </w:p>
        </w:tc>
        <w:tc>
          <w:tcPr>
            <w:tcW w:w="0" w:type="dxa"/>
            <w:vAlign w:val="bottom"/>
          </w:tcPr>
          <w:p>
            <w:pPr>
              <w:spacing w:after="0"/>
              <w:rPr>
                <w:sz w:val="1"/>
                <w:szCs w:val="1"/>
                <w:color w:val="auto"/>
              </w:rPr>
            </w:pPr>
          </w:p>
        </w:tc>
      </w:tr>
      <w:tr>
        <w:trPr>
          <w:trHeight w:val="196"/>
        </w:trPr>
        <w:tc>
          <w:tcPr>
            <w:tcW w:w="2760" w:type="dxa"/>
            <w:vAlign w:val="bottom"/>
            <w:tcBorders>
              <w:top w:val="single" w:sz="8" w:color="CCEC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Borders>
              <w:top w:val="single" w:sz="8" w:color="CCEC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CCECFF"/>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(5,318,67</w:t>
            </w:r>
          </w:p>
        </w:tc>
        <w:tc>
          <w:tcPr>
            <w:tcW w:w="36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36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(136,777 )</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60" w:type="dxa"/>
            <w:vAlign w:val="bottom"/>
          </w:tcPr>
          <w:p>
            <w:pPr>
              <w:spacing w:after="0"/>
              <w:rPr>
                <w:sz w:val="24"/>
                <w:szCs w:val="24"/>
                <w:color w:val="auto"/>
              </w:rPr>
            </w:pPr>
          </w:p>
        </w:tc>
        <w:tc>
          <w:tcPr>
            <w:tcW w:w="16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 Deficit</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Borders>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2022</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252,131,679</w:t>
            </w:r>
          </w:p>
        </w:tc>
        <w:tc>
          <w:tcPr>
            <w:tcW w:w="36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260" w:type="dxa"/>
            <w:vAlign w:val="bottom"/>
            <w:tcBorders>
              <w:left w:val="single" w:sz="8" w:color="CCECFF"/>
            </w:tcBorders>
            <w:shd w:val="clear" w:color="auto" w:fill="CCECFF"/>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CFF"/>
          </w:tcPr>
          <w:p>
            <w:pPr>
              <w:spacing w:after="0"/>
              <w:rPr>
                <w:sz w:val="19"/>
                <w:szCs w:val="19"/>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425,438</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right w:val="single" w:sz="8" w:color="CCECFF"/>
            </w:tcBorders>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(72,156 )</w:t>
            </w:r>
          </w:p>
        </w:tc>
        <w:tc>
          <w:tcPr>
            <w:tcW w:w="1160" w:type="dxa"/>
            <w:vAlign w:val="bottom"/>
            <w:tcBorders>
              <w:right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(2,852,259 )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(3 )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353,531</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1,853,779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(3,091 )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(691,088 )</w:t>
            </w:r>
          </w:p>
        </w:tc>
        <w:tc>
          <w:tcPr>
            <w:tcW w:w="1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(3,090 )</w:t>
            </w:r>
          </w:p>
        </w:tc>
        <w:tc>
          <w:tcPr>
            <w:tcW w:w="0" w:type="dxa"/>
            <w:vAlign w:val="bottom"/>
          </w:tcPr>
          <w:p>
            <w:pPr>
              <w:spacing w:after="0"/>
              <w:rPr>
                <w:sz w:val="1"/>
                <w:szCs w:val="1"/>
                <w:color w:val="auto"/>
              </w:rPr>
            </w:pPr>
          </w:p>
        </w:tc>
      </w:tr>
      <w:tr>
        <w:trPr>
          <w:trHeight w:val="239"/>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Warrants exercised</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left w:val="single" w:sz="8" w:color="CCECFF"/>
            </w:tcBorders>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left w:val="single" w:sz="8" w:color="CCECFF"/>
              <w:right w:val="single" w:sz="8" w:color="CCECFF"/>
            </w:tcBorders>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left w:val="single" w:sz="8" w:color="CCECFF"/>
              <w:right w:val="single" w:sz="8" w:color="CCECFF"/>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cancelled</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(2,890,173 )</w:t>
            </w:r>
          </w:p>
        </w:tc>
        <w:tc>
          <w:tcPr>
            <w:tcW w:w="3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(9,997 )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239"/>
        </w:trPr>
        <w:tc>
          <w:tcPr>
            <w:tcW w:w="2760" w:type="dxa"/>
            <w:vAlign w:val="bottom"/>
            <w:tcBorders>
              <w:right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left w:val="single" w:sz="8" w:color="CCECFF"/>
            </w:tcBorders>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41,504</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left w:val="single" w:sz="8" w:color="CCECFF"/>
              <w:right w:val="single" w:sz="8" w:color="CCECFF"/>
            </w:tcBorders>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left w:val="single" w:sz="8" w:color="CCECFF"/>
              <w:right w:val="single" w:sz="8" w:color="CCECFF"/>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41,504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(39,053 )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(39,053 )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760" w:type="dxa"/>
            <w:vAlign w:val="bottom"/>
            <w:tcBorders>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251,095,305</w:t>
            </w:r>
          </w:p>
        </w:tc>
        <w:tc>
          <w:tcPr>
            <w:tcW w:w="36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260" w:type="dxa"/>
            <w:vAlign w:val="bottom"/>
            <w:tcBorders>
              <w:left w:val="single" w:sz="8" w:color="CCECFF"/>
            </w:tcBorders>
            <w:shd w:val="clear" w:color="auto" w:fill="CCECFF"/>
          </w:tcPr>
          <w:p>
            <w:pPr>
              <w:spacing w:after="0"/>
              <w:rPr>
                <w:sz w:val="21"/>
                <w:szCs w:val="21"/>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453,854</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right w:val="single" w:sz="8" w:color="CCECFF"/>
            </w:tcBorders>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(111,209 )</w:t>
            </w:r>
          </w:p>
        </w:tc>
        <w:tc>
          <w:tcPr>
            <w:tcW w:w="1160" w:type="dxa"/>
            <w:vAlign w:val="bottom"/>
            <w:tcBorders>
              <w:right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(3,543,347 )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342,892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left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left w:val="single" w:sz="8" w:color="CCECFF"/>
              <w:right w:val="single" w:sz="8" w:color="auto"/>
            </w:tcBorders>
            <w:shd w:val="clear" w:color="auto" w:fill="CCEC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left w:val="single" w:sz="8" w:color="CCECFF"/>
              <w:right w:val="single" w:sz="8" w:color="auto"/>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-2191385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-2191385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-2191385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-2191385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-2191385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-2191385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-2191385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20" w:type="dxa"/>
            <w:vAlign w:val="bottom"/>
          </w:tcPr>
          <w:p>
            <w:pPr>
              <w:spacing w:after="0"/>
              <w:rPr>
                <w:sz w:val="19"/>
                <w:szCs w:val="19"/>
                <w:color w:val="auto"/>
              </w:rPr>
            </w:pPr>
          </w:p>
        </w:tc>
        <w:tc>
          <w:tcPr>
            <w:tcW w:w="30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(25,777 )</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(39,053 )</w:t>
            </w:r>
          </w:p>
        </w:tc>
      </w:tr>
      <w:tr>
        <w:trPr>
          <w:trHeight w:val="23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58,972</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38,470</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41,504</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36,972</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Bitcoin received as payment for services</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(126,319 )</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(2,939 )</w:t>
            </w: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(26,836 )</w:t>
            </w:r>
          </w:p>
        </w:tc>
        <w:tc>
          <w:tcPr>
            <w:tcW w:w="1000" w:type="dxa"/>
            <w:vAlign w:val="bottom"/>
            <w:shd w:val="clear" w:color="auto" w:fill="CCECFF"/>
          </w:tcPr>
          <w:p>
            <w:pPr>
              <w:spacing w:after="0"/>
              <w:rPr>
                <w:sz w:val="20"/>
                <w:szCs w:val="20"/>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(73,479 )</w:t>
            </w: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Gains on fair value of bitcoin</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(11,038 )</w:t>
            </w:r>
          </w:p>
        </w:tc>
        <w:tc>
          <w:tcPr>
            <w:tcW w:w="1000" w:type="dxa"/>
            <w:vAlign w:val="bottom"/>
            <w:shd w:val="clear" w:color="auto" w:fill="CCECFF"/>
          </w:tcPr>
          <w:p>
            <w:pPr>
              <w:spacing w:after="0"/>
              <w:rPr>
                <w:sz w:val="20"/>
                <w:szCs w:val="20"/>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(524 )</w:t>
            </w:r>
          </w:p>
        </w:tc>
        <w:tc>
          <w:tcPr>
            <w:tcW w:w="1000" w:type="dxa"/>
            <w:vAlign w:val="bottom"/>
            <w:shd w:val="clear" w:color="auto" w:fill="CCECFF"/>
          </w:tcPr>
          <w:p>
            <w:pPr>
              <w:spacing w:after="0"/>
              <w:rPr>
                <w:sz w:val="20"/>
                <w:szCs w:val="20"/>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20"/>
        </w:trPr>
        <w:tc>
          <w:tcPr>
            <w:tcW w:w="7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(1,203 )</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(1,102 )</w:t>
            </w:r>
          </w:p>
        </w:tc>
      </w:tr>
      <w:tr>
        <w:trPr>
          <w:trHeight w:val="23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(6,125 )</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(7,378 )</w:t>
            </w:r>
          </w:p>
        </w:tc>
      </w:tr>
      <w:tr>
        <w:trPr>
          <w:trHeight w:val="23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(9,306 )</w:t>
            </w: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(1,529 )</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(890 )</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(203 )</w:t>
            </w:r>
          </w:p>
        </w:tc>
      </w:tr>
      <w:tr>
        <w:trPr>
          <w:trHeight w:val="23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Proceeds from power sales</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Proceeds from reduction of scheduled power</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100" w:type="dxa"/>
            <w:vAlign w:val="bottom"/>
          </w:tcPr>
          <w:p>
            <w:pPr>
              <w:spacing w:after="0"/>
              <w:rPr>
                <w:sz w:val="19"/>
                <w:szCs w:val="19"/>
                <w:color w:val="auto"/>
              </w:rPr>
            </w:pPr>
          </w:p>
        </w:tc>
      </w:tr>
      <w:tr>
        <w:trPr>
          <w:trHeight w:val="236"/>
        </w:trPr>
        <w:tc>
          <w:tcPr>
            <w:tcW w:w="752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1000" w:type="dxa"/>
            <w:vAlign w:val="bottom"/>
            <w:tcBorders>
              <w:bottom w:val="single" w:sz="8" w:color="auto"/>
            </w:tcBorders>
            <w:shd w:val="clear" w:color="auto" w:fill="CCECFF"/>
          </w:tcPr>
          <w:p>
            <w:pPr>
              <w:spacing w:after="0"/>
              <w:rPr>
                <w:sz w:val="20"/>
                <w:szCs w:val="2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CFF"/>
            </w:tcBorders>
            <w:shd w:val="clear" w:color="auto" w:fill="CCECFF"/>
          </w:tcPr>
          <w:p>
            <w:pPr>
              <w:spacing w:after="0"/>
              <w:rPr>
                <w:sz w:val="20"/>
                <w:szCs w:val="20"/>
                <w:color w:val="auto"/>
              </w:rPr>
            </w:pPr>
          </w:p>
        </w:tc>
        <w:tc>
          <w:tcPr>
            <w:tcW w:w="1000" w:type="dxa"/>
            <w:vAlign w:val="bottom"/>
            <w:tcBorders>
              <w:bottom w:val="single" w:sz="8" w:color="auto"/>
            </w:tcBorders>
            <w:shd w:val="clear" w:color="auto" w:fill="CCECFF"/>
          </w:tcPr>
          <w:p>
            <w:pPr>
              <w:spacing w:after="0"/>
              <w:rPr>
                <w:sz w:val="20"/>
                <w:szCs w:val="20"/>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(94,241 )</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(20,915 )</w:t>
            </w:r>
          </w:p>
        </w:tc>
      </w:tr>
      <w:tr>
        <w:trPr>
          <w:trHeight w:val="226"/>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Borders>
              <w:top w:val="single" w:sz="8" w:color="auto"/>
            </w:tcBorders>
            <w:shd w:val="clear" w:color="auto" w:fill="CCECFF"/>
          </w:tcPr>
          <w:p>
            <w:pPr>
              <w:spacing w:after="0"/>
              <w:rPr>
                <w:sz w:val="19"/>
                <w:szCs w:val="19"/>
                <w:color w:val="auto"/>
              </w:rPr>
            </w:pPr>
          </w:p>
        </w:tc>
        <w:tc>
          <w:tcPr>
            <w:tcW w:w="640" w:type="dxa"/>
            <w:vAlign w:val="bottom"/>
            <w:tcBorders>
              <w:top w:val="single" w:sz="8" w:color="auto"/>
            </w:tcBorders>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000" w:type="dxa"/>
            <w:vAlign w:val="bottom"/>
            <w:tcBorders>
              <w:top w:val="single" w:sz="8" w:color="auto"/>
            </w:tcBorders>
            <w:shd w:val="clear" w:color="auto" w:fill="CCECFF"/>
          </w:tcPr>
          <w:p>
            <w:pPr>
              <w:spacing w:after="0"/>
              <w:rPr>
                <w:sz w:val="19"/>
                <w:szCs w:val="19"/>
                <w:color w:val="auto"/>
              </w:rPr>
            </w:pPr>
          </w:p>
        </w:tc>
        <w:tc>
          <w:tcPr>
            <w:tcW w:w="62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111,188</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Deposits on equipment</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(33,906 )</w:t>
            </w:r>
          </w:p>
        </w:tc>
        <w:tc>
          <w:tcPr>
            <w:tcW w:w="1000" w:type="dxa"/>
            <w:vAlign w:val="bottom"/>
            <w:shd w:val="clear" w:color="auto" w:fill="CCECFF"/>
          </w:tcPr>
          <w:p>
            <w:pPr>
              <w:spacing w:after="0"/>
              <w:rPr>
                <w:sz w:val="20"/>
                <w:szCs w:val="20"/>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w w:val="98"/>
              </w:rPr>
              <w:t>(188,103 )</w:t>
            </w:r>
          </w:p>
        </w:tc>
      </w:tr>
      <w:tr>
        <w:trPr>
          <w:trHeight w:val="220"/>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(20,480 )</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(39,219 )</w:t>
            </w:r>
          </w:p>
        </w:tc>
      </w:tr>
      <w:tr>
        <w:trPr>
          <w:trHeight w:val="23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(634 )</w:t>
            </w:r>
          </w:p>
        </w:tc>
        <w:tc>
          <w:tcPr>
            <w:tcW w:w="1000" w:type="dxa"/>
            <w:vAlign w:val="bottom"/>
            <w:shd w:val="clear" w:color="auto" w:fill="CCECFF"/>
          </w:tcPr>
          <w:p>
            <w:pPr>
              <w:spacing w:after="0"/>
              <w:rPr>
                <w:sz w:val="20"/>
                <w:szCs w:val="20"/>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(596 )</w:t>
            </w:r>
          </w:p>
        </w:tc>
      </w:tr>
      <w:tr>
        <w:trPr>
          <w:trHeight w:val="220"/>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Capital distributions from equity investees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54,009</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(3,545 )</w:t>
            </w: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6"/>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Prepayments on financing lease</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(3,676 )</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00" w:type="dxa"/>
            <w:vAlign w:val="bottom"/>
            <w:shd w:val="clear" w:color="auto" w:fill="CCECFF"/>
          </w:tcPr>
          <w:p>
            <w:pPr>
              <w:spacing w:after="0"/>
              <w:rPr>
                <w:sz w:val="19"/>
                <w:szCs w:val="19"/>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52,755</w:t>
            </w:r>
          </w:p>
        </w:tc>
        <w:tc>
          <w:tcPr>
            <w:tcW w:w="3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w w:val="98"/>
              </w:rPr>
              <w:t>(173,909 )</w:t>
            </w:r>
          </w:p>
        </w:tc>
      </w:tr>
      <w:tr>
        <w:trPr>
          <w:trHeight w:val="217"/>
        </w:trPr>
        <w:tc>
          <w:tcPr>
            <w:tcW w:w="752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38"/>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0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135,848</w:t>
            </w:r>
          </w:p>
        </w:tc>
        <w:tc>
          <w:tcPr>
            <w:tcW w:w="36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 costs paid for the issuance of common stock</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(3,404 )</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100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(3,902 )</w:t>
            </w:r>
          </w:p>
        </w:tc>
        <w:tc>
          <w:tcPr>
            <w:tcW w:w="1000" w:type="dxa"/>
            <w:vAlign w:val="bottom"/>
            <w:shd w:val="clear" w:color="auto" w:fill="CCECFF"/>
          </w:tcPr>
          <w:p>
            <w:pPr>
              <w:spacing w:after="0"/>
              <w:rPr>
                <w:sz w:val="20"/>
                <w:szCs w:val="20"/>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(3,090 )</w:t>
            </w:r>
          </w:p>
        </w:tc>
      </w:tr>
      <w:tr>
        <w:trPr>
          <w:trHeight w:val="226"/>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10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(12,878 )</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0" w:type="dxa"/>
            <w:vAlign w:val="bottom"/>
            <w:shd w:val="clear" w:color="auto" w:fill="CCECFF"/>
          </w:tcPr>
          <w:p>
            <w:pPr>
              <w:spacing w:after="0"/>
              <w:rPr>
                <w:sz w:val="19"/>
                <w:szCs w:val="19"/>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115,664</w:t>
            </w:r>
          </w:p>
        </w:tc>
        <w:tc>
          <w:tcPr>
            <w:tcW w:w="3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(3,090 )</w:t>
            </w:r>
          </w:p>
        </w:tc>
      </w:tr>
      <w:tr>
        <w:trPr>
          <w:trHeight w:val="20"/>
        </w:trPr>
        <w:tc>
          <w:tcPr>
            <w:tcW w:w="7520" w:type="dxa"/>
            <w:vAlign w:val="bottom"/>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74,178</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(197,914 )</w:t>
            </w:r>
          </w:p>
        </w:tc>
      </w:tr>
      <w:tr>
        <w:trPr>
          <w:trHeight w:val="236"/>
        </w:trPr>
        <w:tc>
          <w:tcPr>
            <w:tcW w:w="75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000" w:type="dxa"/>
            <w:vAlign w:val="bottom"/>
            <w:tcBorders>
              <w:bottom w:val="single" w:sz="8" w:color="auto"/>
            </w:tcBorders>
            <w:shd w:val="clear" w:color="auto" w:fill="CCECFF"/>
          </w:tcPr>
          <w:p>
            <w:pPr>
              <w:spacing w:after="0"/>
              <w:rPr>
                <w:sz w:val="20"/>
                <w:szCs w:val="2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360" w:type="dxa"/>
            <w:vAlign w:val="bottom"/>
            <w:tcBorders>
              <w:bottom w:val="single" w:sz="8" w:color="CCECFF"/>
            </w:tcBorders>
            <w:shd w:val="clear" w:color="auto" w:fill="CCECFF"/>
          </w:tcPr>
          <w:p>
            <w:pPr>
              <w:spacing w:after="0"/>
              <w:rPr>
                <w:sz w:val="20"/>
                <w:szCs w:val="20"/>
                <w:color w:val="auto"/>
              </w:rPr>
            </w:pPr>
          </w:p>
        </w:tc>
        <w:tc>
          <w:tcPr>
            <w:tcW w:w="1000" w:type="dxa"/>
            <w:vAlign w:val="bottom"/>
            <w:tcBorders>
              <w:bottom w:val="single" w:sz="8" w:color="auto"/>
            </w:tcBorders>
            <w:shd w:val="clear" w:color="auto" w:fill="CCECFF"/>
          </w:tcPr>
          <w:p>
            <w:pPr>
              <w:spacing w:after="0"/>
              <w:rPr>
                <w:sz w:val="20"/>
                <w:szCs w:val="20"/>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7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36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-2850515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-1369060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-478790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-179070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2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80" w:type="dxa"/>
            <w:vAlign w:val="bottom"/>
            <w:tcBorders>
              <w:top w:val="single" w:sz="8" w:color="auto"/>
            </w:tcBorders>
            <w:shd w:val="clear" w:color="auto" w:fill="CCECFF"/>
          </w:tcPr>
          <w:p>
            <w:pPr>
              <w:spacing w:after="0"/>
              <w:rPr>
                <w:sz w:val="19"/>
                <w:szCs w:val="19"/>
                <w:color w:val="auto"/>
              </w:rPr>
            </w:pPr>
          </w:p>
        </w:tc>
        <w:tc>
          <w:tcPr>
            <w:tcW w:w="560" w:type="dxa"/>
            <w:vAlign w:val="bottom"/>
            <w:tcBorders>
              <w:top w:val="single" w:sz="8" w:color="auto"/>
            </w:tcBorders>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74,186</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105,904</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14,212</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14,998</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common stock in exchange for intangible assets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receivables, related party to investment in equity investees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method investment acquired for non-cash consideration</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127,796</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tax accrual on machine purchases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stock cancelled</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in accounts payable, accounts payable, related party and accrued expenses</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13,994</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Investment in equity investees in accrued expenses</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Deposits on equipment in accounts payable, accounts payable, related party and accrued expenses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13,403</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Initial estimate of asset retirement obligation and related capitalized costs</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16,509</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deferred investment costs to investment in equity investees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Finance lease cost in accrued expenses</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CFF"/>
          </w:tcPr>
          <w:p>
            <w:pPr>
              <w:spacing w:after="0"/>
              <w:rPr>
                <w:sz w:val="20"/>
                <w:szCs w:val="20"/>
                <w:color w:val="auto"/>
              </w:rPr>
            </w:pPr>
          </w:p>
        </w:tc>
      </w:tr>
      <w:tr>
        <w:trPr>
          <w:trHeight w:val="21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rent reclassified to operating lease liability</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August 27, 2021 (the “Closing Date”), Good Works Acquisition Corp. (“GWAC”), a special purpose acquisition company, consummated the Agreement and Plan of Merger dated as of March 4, 2021 (the “Merger Agreement”), by and among GWAC, Currency Merger Sub, Inc. (“Merger Sub”), a wholly-owned direct subsidiary of GWAC, and Cipher Mining Technologies Inc. (“CMTI”).</w:t>
      </w:r>
    </w:p>
    <w:p>
      <w:pPr>
        <w:spacing w:after="0" w:line="13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Pursuant to the terms of the Merger Agreement, Merger Sub merged with and into CMTI, the separate corporate existence of Merger Sub ceasing and CMTI being the surviving corporation and a wholly-owned subsidiary of GWAC (the “Merger” and, together with the other transactions contemplated by the Merger Agreement, the “Business Combination”). Following the Business Combination, the combined company was named Cipher Mining Inc. (“Cipher” or the “Company”). The Company comprises all of GWAC’s and CMTI’s operations.</w:t>
      </w:r>
    </w:p>
    <w:p>
      <w:pPr>
        <w:spacing w:after="0" w:line="155"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7"/>
          <w:szCs w:val="17"/>
          <w:color w:val="auto"/>
        </w:rPr>
        <w:t>Upon the Business Combination, the Company’s certificate of incorporation was amended and restated to, among other things, increase the total number of authorized shares of all classes of capital stock to 510,000,000 shares, $0.001 par value per share, of which, 500,000,000 shares are designated as Common Stock and 10,000,000 shares are designated as preferred stock (“Preferred Stock”). The holder of each share of Common Stock is entitled to one vote.</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Merger Agreement, GWAC also entered into: (i) subscription agreements to sell to certain investors (the “PIPE Investors”), an aggregate of 32,235,000 shares of Common Stock, immediately following the Closing, for a purchase price of $10.00 per share and aggregate gross proceeds of $322.4 million (the “PIPE Financing”) and (ii) a subscription agreement with Bitfury Top HoldCo to sell to Bitfury Top HoldCo (or an affiliate of Bitfury Top HoldCo) an aggregate of 6,000,000 shares of Common Stock following the Closing, for a purchase price of $10.00 per share and Bitfury Top HoldCo’s payment in cash and/or forgiveness of outstanding indebtedness for aggregate gross proceeds of $60.0 million (the “Bitfury Private Placement”).</w:t>
      </w:r>
    </w:p>
    <w:p>
      <w:pPr>
        <w:spacing w:after="0" w:line="145" w:lineRule="exact"/>
        <w:rPr>
          <w:sz w:val="20"/>
          <w:szCs w:val="20"/>
          <w:color w:val="auto"/>
        </w:rPr>
      </w:pPr>
    </w:p>
    <w:p>
      <w:pPr>
        <w:jc w:val="both"/>
        <w:ind w:right="160"/>
        <w:spacing w:after="0" w:line="280" w:lineRule="auto"/>
        <w:rPr>
          <w:sz w:val="20"/>
          <w:szCs w:val="20"/>
          <w:color w:val="auto"/>
        </w:rPr>
      </w:pPr>
      <w:r>
        <w:rPr>
          <w:rFonts w:ascii="Times New Roman" w:cs="Times New Roman" w:eastAsia="Times New Roman" w:hAnsi="Times New Roman"/>
          <w:sz w:val="17"/>
          <w:szCs w:val="17"/>
          <w:color w:val="auto"/>
        </w:rPr>
        <w:t>At Closing, each share of CMTI common stock was canceled and converted into the right to receive 400,000 shares (the “Exchange Ratio”) of Common Stock, $0.001 par value per share resulting in 200,000,000 shares of Common Stock to be immediately issued and outstanding to Bitfury Top HoldCo (in addition to 8,146,119 shares of Common Stock held by GWAC), 32,235,000 shares of Common Stock held by the PIPE Investors and 6,000,000 shares of Common Stock received by Bitfury Holding under the Bitfury Private Placement, based on the following events contemplated by the Merger Agreement:</w:t>
      </w:r>
    </w:p>
    <w:p>
      <w:pPr>
        <w:spacing w:after="0" w:line="140"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each issued and outstanding share of CMTI common stock;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into the right to receive a number of shares of Common Stock based upon the Exchange Ratio.</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 of cash flows and the consolidated statement of changes in stockholders’ equity (deficit) for the eleven months ended December 31, 2021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Recapitalization</w:t>
            </w:r>
          </w:p>
        </w:tc>
      </w:tr>
      <w:tr>
        <w:trPr>
          <w:trHeight w:val="243"/>
        </w:trPr>
        <w:tc>
          <w:tcPr>
            <w:tcW w:w="8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 GWAC trust and cash, net of redemptions</w:t>
            </w: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100" w:type="dxa"/>
            <w:vAlign w:val="bottom"/>
            <w:shd w:val="clear" w:color="auto" w:fill="CCECFF"/>
          </w:tcPr>
          <w:p>
            <w:pPr>
              <w:spacing w:after="0"/>
              <w:rPr>
                <w:sz w:val="21"/>
                <w:szCs w:val="21"/>
                <w:color w:val="auto"/>
              </w:rPr>
            </w:pP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3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322,350</w:t>
            </w:r>
          </w:p>
        </w:tc>
        <w:tc>
          <w:tcPr>
            <w:tcW w:w="100" w:type="dxa"/>
            <w:vAlign w:val="bottom"/>
          </w:tcPr>
          <w:p>
            <w:pPr>
              <w:spacing w:after="0"/>
              <w:rPr>
                <w:sz w:val="20"/>
                <w:szCs w:val="20"/>
                <w:color w:val="auto"/>
              </w:rPr>
            </w:pPr>
          </w:p>
        </w:tc>
      </w:tr>
      <w:tr>
        <w:trPr>
          <w:trHeight w:val="247"/>
        </w:trPr>
        <w:tc>
          <w:tcPr>
            <w:tcW w:w="8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subscription receivable and/or debt forgiveness - Bitfury Private Placement</w:t>
            </w:r>
          </w:p>
        </w:tc>
        <w:tc>
          <w:tcPr>
            <w:tcW w:w="320" w:type="dxa"/>
            <w:vAlign w:val="bottom"/>
            <w:shd w:val="clear" w:color="auto" w:fill="CCECFF"/>
          </w:tcPr>
          <w:p>
            <w:pPr>
              <w:spacing w:after="0"/>
              <w:rPr>
                <w:sz w:val="21"/>
                <w:szCs w:val="21"/>
                <w:color w:val="auto"/>
              </w:rPr>
            </w:pPr>
          </w:p>
        </w:tc>
        <w:tc>
          <w:tcPr>
            <w:tcW w:w="2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CFF"/>
          </w:tcPr>
          <w:p>
            <w:pPr>
              <w:spacing w:after="0"/>
              <w:rPr>
                <w:sz w:val="21"/>
                <w:szCs w:val="21"/>
                <w:color w:val="auto"/>
              </w:rPr>
            </w:pP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Non-cash net assets assumed from GWAC</w:t>
            </w:r>
          </w:p>
        </w:tc>
        <w:tc>
          <w:tcPr>
            <w:tcW w:w="3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0"/>
                <w:szCs w:val="20"/>
                <w:color w:val="auto"/>
              </w:rPr>
            </w:pPr>
          </w:p>
        </w:tc>
      </w:tr>
      <w:tr>
        <w:trPr>
          <w:trHeight w:val="247"/>
        </w:trPr>
        <w:tc>
          <w:tcPr>
            <w:tcW w:w="8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Fair value of private warrants</w:t>
            </w:r>
          </w:p>
        </w:tc>
        <w:tc>
          <w:tcPr>
            <w:tcW w:w="320" w:type="dxa"/>
            <w:vAlign w:val="bottom"/>
            <w:shd w:val="clear" w:color="auto" w:fill="CCECFF"/>
          </w:tcPr>
          <w:p>
            <w:pPr>
              <w:spacing w:after="0"/>
              <w:rPr>
                <w:sz w:val="21"/>
                <w:szCs w:val="21"/>
                <w:color w:val="auto"/>
              </w:rPr>
            </w:pPr>
          </w:p>
        </w:tc>
        <w:tc>
          <w:tcPr>
            <w:tcW w:w="2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Transaction costs and advisory fees allocated to equity</w:t>
            </w:r>
          </w:p>
        </w:tc>
        <w:tc>
          <w:tcPr>
            <w:tcW w:w="320" w:type="dxa"/>
            <w:vAlign w:val="bottom"/>
          </w:tcPr>
          <w:p>
            <w:pPr>
              <w:spacing w:after="0"/>
              <w:rPr>
                <w:sz w:val="20"/>
                <w:szCs w:val="20"/>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(40,552 )</w:t>
            </w:r>
          </w:p>
        </w:tc>
      </w:tr>
      <w:tr>
        <w:trPr>
          <w:trHeight w:val="240"/>
        </w:trPr>
        <w:tc>
          <w:tcPr>
            <w:tcW w:w="8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Business Combination</w:t>
            </w:r>
          </w:p>
        </w:tc>
        <w:tc>
          <w:tcPr>
            <w:tcW w:w="320" w:type="dxa"/>
            <w:vAlign w:val="bottom"/>
            <w:tcBorders>
              <w:top w:val="single" w:sz="8" w:color="auto"/>
            </w:tcBorders>
            <w:shd w:val="clear" w:color="auto" w:fill="CCECFF"/>
          </w:tcPr>
          <w:p>
            <w:pPr>
              <w:spacing w:after="0"/>
              <w:rPr>
                <w:sz w:val="20"/>
                <w:szCs w:val="20"/>
                <w:color w:val="auto"/>
              </w:rPr>
            </w:pPr>
          </w:p>
        </w:tc>
        <w:tc>
          <w:tcPr>
            <w:tcW w:w="2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385,167</w:t>
            </w:r>
          </w:p>
        </w:tc>
        <w:tc>
          <w:tcPr>
            <w:tcW w:w="100" w:type="dxa"/>
            <w:vAlign w:val="bottom"/>
            <w:shd w:val="clear" w:color="auto" w:fill="CCECFF"/>
          </w:tcPr>
          <w:p>
            <w:pPr>
              <w:spacing w:after="0"/>
              <w:rPr>
                <w:sz w:val="20"/>
                <w:szCs w:val="20"/>
                <w:color w:val="auto"/>
              </w:rPr>
            </w:pP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Non-cash net assets assumed from GWAC</w:t>
            </w:r>
          </w:p>
        </w:tc>
        <w:tc>
          <w:tcPr>
            <w:tcW w:w="320" w:type="dxa"/>
            <w:vAlign w:val="bottom"/>
          </w:tcPr>
          <w:p>
            <w:pPr>
              <w:spacing w:after="0"/>
              <w:rPr>
                <w:sz w:val="20"/>
                <w:szCs w:val="20"/>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(433 )</w:t>
            </w:r>
          </w:p>
        </w:tc>
      </w:tr>
      <w:tr>
        <w:trPr>
          <w:trHeight w:val="247"/>
        </w:trPr>
        <w:tc>
          <w:tcPr>
            <w:tcW w:w="8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Transaction costs and advisory fees allocated to warrants</w:t>
            </w:r>
          </w:p>
        </w:tc>
        <w:tc>
          <w:tcPr>
            <w:tcW w:w="320" w:type="dxa"/>
            <w:vAlign w:val="bottom"/>
            <w:shd w:val="clear" w:color="auto" w:fill="CCECFF"/>
          </w:tcPr>
          <w:p>
            <w:pPr>
              <w:spacing w:after="0"/>
              <w:rPr>
                <w:sz w:val="21"/>
                <w:szCs w:val="21"/>
                <w:color w:val="auto"/>
              </w:rPr>
            </w:pPr>
          </w:p>
        </w:tc>
        <w:tc>
          <w:tcPr>
            <w:tcW w:w="2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r>
      <w:tr>
        <w:trPr>
          <w:trHeight w:val="24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Fair value of private warrants</w:t>
            </w:r>
          </w:p>
        </w:tc>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r>
      <w:tr>
        <w:trPr>
          <w:trHeight w:val="276"/>
        </w:trPr>
        <w:tc>
          <w:tcPr>
            <w:tcW w:w="8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contributions from Business Combination</w:t>
            </w: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384,893</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 recorded transaction costs and advisory fees allocated to the Private Placement Warrants as a component of change in fair value of warrant liability in the consolidated statement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 as follows: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10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of GWAC, net of redemptions</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4,345,619</w:t>
            </w:r>
          </w:p>
        </w:tc>
        <w:tc>
          <w:tcPr>
            <w:tcW w:w="100" w:type="dxa"/>
            <w:vAlign w:val="bottom"/>
            <w:shd w:val="clear" w:color="auto" w:fill="CCECFF"/>
          </w:tcPr>
          <w:p>
            <w:pPr>
              <w:spacing w:after="0"/>
              <w:rPr>
                <w:sz w:val="21"/>
                <w:szCs w:val="21"/>
                <w:color w:val="auto"/>
              </w:rPr>
            </w:pPr>
          </w:p>
        </w:tc>
      </w:tr>
      <w:tr>
        <w:trPr>
          <w:trHeight w:val="238"/>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GWAC founder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00" w:type="dxa"/>
            <w:vAlign w:val="bottom"/>
          </w:tcPr>
          <w:p>
            <w:pPr>
              <w:spacing w:after="0"/>
              <w:rPr>
                <w:sz w:val="20"/>
                <w:szCs w:val="20"/>
                <w:color w:val="auto"/>
              </w:rPr>
            </w:pPr>
          </w:p>
        </w:tc>
      </w:tr>
      <w:tr>
        <w:trPr>
          <w:trHeight w:val="247"/>
        </w:trPr>
        <w:tc>
          <w:tcPr>
            <w:tcW w:w="10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GWAC private placement shares</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100" w:type="dxa"/>
            <w:vAlign w:val="bottom"/>
            <w:shd w:val="clear" w:color="auto" w:fill="CCECFF"/>
          </w:tcPr>
          <w:p>
            <w:pPr>
              <w:spacing w:after="0"/>
              <w:rPr>
                <w:sz w:val="21"/>
                <w:szCs w:val="21"/>
                <w:color w:val="auto"/>
              </w:rPr>
            </w:pPr>
          </w:p>
        </w:tc>
      </w:tr>
      <w:tr>
        <w:trPr>
          <w:trHeight w:val="238"/>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 in PIPE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32,235,000</w:t>
            </w:r>
          </w:p>
        </w:tc>
        <w:tc>
          <w:tcPr>
            <w:tcW w:w="100" w:type="dxa"/>
            <w:vAlign w:val="bottom"/>
          </w:tcPr>
          <w:p>
            <w:pPr>
              <w:spacing w:after="0"/>
              <w:rPr>
                <w:sz w:val="20"/>
                <w:szCs w:val="20"/>
                <w:color w:val="auto"/>
              </w:rPr>
            </w:pPr>
          </w:p>
        </w:tc>
      </w:tr>
      <w:tr>
        <w:trPr>
          <w:trHeight w:val="247"/>
        </w:trPr>
        <w:tc>
          <w:tcPr>
            <w:tcW w:w="8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Shares issued in the Bitfury Private Placement</w:t>
            </w:r>
          </w:p>
        </w:tc>
        <w:tc>
          <w:tcPr>
            <w:tcW w:w="1220" w:type="dxa"/>
            <w:vAlign w:val="bottom"/>
            <w:tcBorders>
              <w:bottom w:val="single" w:sz="8" w:color="auto"/>
            </w:tcBorders>
            <w:shd w:val="clear" w:color="auto" w:fill="CCECFF"/>
          </w:tcPr>
          <w:p>
            <w:pPr>
              <w:spacing w:after="0"/>
              <w:rPr>
                <w:sz w:val="21"/>
                <w:szCs w:val="21"/>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Combination, PIPE Financing and Bitfury Private Placement shares -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46,381,119</w:t>
            </w:r>
          </w:p>
        </w:tc>
        <w:tc>
          <w:tcPr>
            <w:tcW w:w="100" w:type="dxa"/>
            <w:vAlign w:val="bottom"/>
          </w:tcPr>
          <w:p>
            <w:pPr>
              <w:spacing w:after="0"/>
              <w:rPr>
                <w:sz w:val="20"/>
                <w:szCs w:val="20"/>
                <w:color w:val="auto"/>
              </w:rPr>
            </w:pPr>
          </w:p>
        </w:tc>
      </w:tr>
      <w:tr>
        <w:trPr>
          <w:trHeight w:val="247"/>
        </w:trPr>
        <w:tc>
          <w:tcPr>
            <w:tcW w:w="8780" w:type="dxa"/>
            <w:vAlign w:val="bottom"/>
            <w:tcBorders>
              <w:bottom w:val="single" w:sz="8" w:color="CCECFF"/>
            </w:tcBorders>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Cipher common shares issued in Business Combination </w:t>
            </w:r>
            <w:r>
              <w:rPr>
                <w:rFonts w:ascii="Times New Roman" w:cs="Times New Roman" w:eastAsia="Times New Roman" w:hAnsi="Times New Roman"/>
                <w:sz w:val="24"/>
                <w:szCs w:val="24"/>
                <w:color w:val="auto"/>
                <w:vertAlign w:val="superscript"/>
              </w:rPr>
              <w:t>(1)</w:t>
            </w:r>
          </w:p>
        </w:tc>
        <w:tc>
          <w:tcPr>
            <w:tcW w:w="1220" w:type="dxa"/>
            <w:vAlign w:val="bottom"/>
            <w:tcBorders>
              <w:bottom w:val="single" w:sz="8" w:color="auto"/>
            </w:tcBorders>
            <w:shd w:val="clear" w:color="auto" w:fill="CCECFF"/>
          </w:tcPr>
          <w:p>
            <w:pPr>
              <w:spacing w:after="0"/>
              <w:rPr>
                <w:sz w:val="21"/>
                <w:szCs w:val="21"/>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246,381,119</w:t>
            </w:r>
          </w:p>
        </w:tc>
        <w:tc>
          <w:tcPr>
            <w:tcW w:w="100" w:type="dxa"/>
            <w:vAlign w:val="bottom"/>
          </w:tcPr>
          <w:p>
            <w:pPr>
              <w:spacing w:after="0"/>
              <w:rPr>
                <w:sz w:val="20"/>
                <w:szCs w:val="20"/>
                <w:color w:val="auto"/>
              </w:rPr>
            </w:pPr>
          </w:p>
        </w:tc>
      </w:tr>
      <w:tr>
        <w:trPr>
          <w:trHeight w:val="20"/>
        </w:trPr>
        <w:tc>
          <w:tcPr>
            <w:tcW w:w="8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2"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number of CMTI common shares outstanding immediately prior to the Business Combination was 500 shares converted at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9005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15, 2022, the Company received a letter from the Listing Qualifications Department of The Nasdaq Stock Market LLC (“Nasdaq”) indicating that, since the Company’s common stock (“Common Stock”) had closed below Nasdaq’s $1.00 per share minimum bid price requirement for 30 consecutive days, the Company was no longer in compliance with Nasdaq Listing Rule 5450(a)(1) (the “Minimum Bid Price Requirement”) for continued listing. In accordance with Nasdaq Listing Rule 5810(c)(3)(A), the Company had a period of 180 calendar days, or until June 13, 2023 (the “Compliance Date”), to regain compliance with the Minimum Bid Price Requirement. If at any time before the Compliance Date the bid price for the Common Stock closed at $1.00 per share or more for a minimum of 10 consecutive business days (unless Nasdaq exercised its discretion to extend this ten-day period pursuant to Nasdaq Listing Rule 5810(c)(3)(H)), Nasdaq would provide written notification to the Company that it had regained compliance with the Minimum Bid Price Requirement. The Company received written notification from Nasdaq that it had regained compliance on February 3, 2023.</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CMTI was established on January 7, 2021, in Delaware, by Bitfury Top Holdco B.V. and its subsidiaries (“Bitfury Top Holdco” and, with its subsidiaries, the “Bitfury Group”). Bitfury Top HoldCo (together with Bitfury Holding B.V., a subsidiary of Bitfury Top HoldCo, and referred to herein as “Bitfury Holding”) beneficially owned approximately 66.0% of the Company’s Common Stock as of December 31, 2023, with sole voting and sole dispositive power over those shares and, as a result, Bitfury Top HoldCo had control of the Company as defined in Financial Accounting Standard Board (“FASB”)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an emerging technology company that develops and operates industrial scale bitcoin mining data centers. The Company operates or jointly operates four bitcoin mining data centers in Texas including one wholly-owned data center and three partially-owned data centers that were acquired through investments in joint ventures. Bitcoin mining is the Company’s principal revenue generating business activity. The Company began deployment of capacity in the first quarter of 2022, with mining operations beginning at the partially-owned Alborz facility in February 2022 (the “Alborz Facility”). In August 2022, installation of the last mining rigs delivered to the Alborz Facility was completed. In October 2022, installation at the partially-owned Bear facility (the “Bear Facility”) and the partially-owned Chief facility (the “Chief Facility”) was also completed. In November 2022, the Company began bitcoin mining operations at the wholly-owned Odessa facility (the “Odessa Facility”) and is continuing to expand those operations. In December 2023, the Company announced the acquisition of a site for a new wholly-owned data center in Winkler County, Texas, the “Black Pearl Facility”, which is expected to commence operations in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limited business history</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As of December 31, 2023, the Company had approximate balances of cash and cash equivalents of $86.1 million, working capital of $121.7 million, total stockholders’ equity of $491.3 million and an accumulated deficit of $136.8 million. For fiscal years ended December 31, 2022 and 2021, the Company, in large part, relied on proceeds from the consummation of the Business Combination to fund its operations.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2023 and December 31, 2022, the Company paid $33.9 million and $188.1 million, respectively, of deposits for miners and mining equipment. As of December 31, 2023, the Company had contributed equipment with a total cost of $127.8 million related to its contributions of miners and other mining equipment to the Alborz Facility, Bear Facility, and Chief Facility. The deposits for the contributed equipment were reclassified to investment in equity investees on the Company’s consolidated balance sheet, with the exception of losses totaling $33.4 million that were recognized by the Company in relation to miners contributed between June 2022 and October 2022 that had fair values at the time of the contributions that were less than the costs paid by the Company to obtain them. These losses were recognized in equity in losses of equity investees on the consolidated statement of operations during the year ended December 31, 2022. The Company also reclassified $74.2 million of deposits on equipment to property and equipment during the year ended December 31, 2023 in connection with the receipt of miners at the Odessa Facility.</w:t>
      </w:r>
    </w:p>
    <w:p>
      <w:pPr>
        <w:spacing w:after="0" w:line="16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As of December 31, 2023, the Company had $30.8 million of deposits on equipment on its consolidated balance sheet, primarily for deposits on miners. The Company currently has $98.8 million in commitments associated with purchase commitments for miners and, the Company expects to incur ongoing capital expenditures related to building out the Black Pearl Facility that will require resources beyond the Company’s existing financial resources as of December 31, 2023. Management intends to continue to build out the infrastructure at the Black Pearl Facility to get the site to 150 megawatts (“MW”) in 2025, and full capacity in 2026, in support of the Company’s current business plans. Management believes that the Company’s existing financial resources, combined with projected cash and bitcoin inflows from its data centers and its intent and ability to sell bitcoin received or earned, will be sufficient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to enable the Company to meet its operating and capital requirements for at least 12 months from the date these consolidated financial statements are issued.</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Company’s management has no current intention of entering into a merger or acquisition within the next 12 months. The Company may require additional capital to pursue certain business opportunities or respond to technological advancements, competitive dynamics or technologies, customer demands, challenges, acquisitions or unforeseen circumstances. Additionally, the Company has incurred and expects to continue to incur significant costs related to being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master loan agreement with Coinbase Credit, Inc., as lender, and Coinbase, Inc., as lending service provider. Pursuant to the master loan agreement, the Company established a secured line of credit up to $10.0 million (the “Credit Facility”). The Company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December 31, 2023 the Company had not drawn upon the Credit Facility.</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As disclosed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on September 21, 2022, the Company entered into an at-the-market offering agreement (the “Sales Agreement”) with H.C. Wainwright &amp; Co., LLC (the “Agent”), pursuant to which the Company may, from time to time, sell up to $250.0 million in shares of Common Stock through the Agent. During the year ended December 31, 2023, the Company received gross proceeds of approximately $135.8 million, from the sale of 37,433,923 shares of its Common Stock under the Sales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 COVID-19 and other economic, business and political conditions</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could be adversely affected by general conditions in the global economy and in the global financial markets, including conditions that are outside of the Company’s control, such as any epidemics, pandemics or disease outbreaks or other public health conditions. For example, the COVID-19 pandemic (“COVID-19”) that was declared on March 11, 2020 has caused significant economic dislocation in the United States (“U.S.”) and globally as governments across the world, including the U.S., introduced measures aimed at preventing the spread of COVID-19. While most policies and regulations implemented by governments in response to COVID-19 have been lifted, they have had a significant impact, both directly and indirectly, on global business and commerce.</w:t>
      </w:r>
    </w:p>
    <w:p>
      <w:pPr>
        <w:spacing w:after="0" w:line="1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may experience disruptions to its business operations resulting from supply interruptions, quarantines, self-isolations, or other movement and restrictions on the ability of its employees or its counterparties to perform their jobs. The Company may also experience delays in construction and obtaining necessary equipment in a timely fashion. For example, in early January 2022, construction at the Alborz Facility was temporarily shut down in response to employees being impacted by COVID-19. The temporary shutdown was less than a week, and construction resumed at the site immediately after. If the Company is unable to effectively set up and service its miners, its ability to mine bitcoin will be adversely affected. There is no assurance that COVID-19 or any other pandemic, or other unfavorable global economic, business or political conditions, such as a rise in energy prices, a slowdown in the U.S. or international economy, high inflation rates or other factors, will not materially and adversely affect the Company's business, prospects, financial condition’ and operating results.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12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GAAP (the “Reverse Recapitalization”). Under this method of accounting, GWAC was treated as the acquired company and CMTI was treated as the acquirer for financial statement reporting purposes.</w:t>
      </w:r>
    </w:p>
    <w:p>
      <w:pPr>
        <w:spacing w:after="0" w:line="13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 xml:space="preserve">Accordingly, for accounting purposes, the Reverse Recapitalization was treated as the equivalent of CMTI issuing stock for the net assets of GWAC, accompanied by a recapitalization. The net assets of GWAC are stated at historical cost, with no goodwill or other intangible assets recorded, see Note 1, </w:t>
      </w:r>
      <w:r>
        <w:rPr>
          <w:rFonts w:ascii="Times New Roman" w:cs="Times New Roman" w:eastAsia="Times New Roman" w:hAnsi="Times New Roman"/>
          <w:sz w:val="18"/>
          <w:szCs w:val="18"/>
          <w:i w:val="1"/>
          <w:iCs w:val="1"/>
          <w:color w:val="auto"/>
        </w:rPr>
        <w:t>Organization and Business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CMTI was determined to be the accounting acquirer based on an evaluation of the following facts and circumstances:</w:t>
      </w:r>
    </w:p>
    <w:p>
      <w:pPr>
        <w:spacing w:after="0" w:line="184"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CMTI’s existing shareholder has the greatest voting interest in the Company;</w:t>
      </w:r>
    </w:p>
    <w:p>
      <w:pPr>
        <w:spacing w:after="0" w:line="197"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members of the board of directors of the Company (“Board”) are primarily composed of individuals associated with CMTI;</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CMTI’s senior management is the senior management of the Company; and</w:t>
      </w:r>
    </w:p>
    <w:p>
      <w:pPr>
        <w:spacing w:after="0" w:line="18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CMTI’s operations prior to the Reverse Recapitalization comprise the only ongoing operations of the Company after the consummation of the Business Combination.</w:t>
      </w:r>
    </w:p>
    <w:p>
      <w:pPr>
        <w:spacing w:after="0" w:line="1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 xml:space="preserve">The consolidated assets, liabilities and results of operations prior to the Reverse Recapitalization are those of CMTI. The shares and corresponding capital amounts and losses per share prior to the Business Combination have been retroactively restated based on shares reflecting the exchange ratio established in the Business Combination, see Note 1, </w:t>
      </w:r>
      <w:r>
        <w:rPr>
          <w:rFonts w:ascii="Times New Roman" w:cs="Times New Roman" w:eastAsia="Times New Roman" w:hAnsi="Times New Roman"/>
          <w:sz w:val="18"/>
          <w:szCs w:val="18"/>
          <w:i w:val="1"/>
          <w:iCs w:val="1"/>
          <w:color w:val="auto"/>
        </w:rPr>
        <w:t>Organization and Business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controlled subsidiaries. All intercompany transactions and balances have been eliminated.</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consolidated financial statements in order to conform to the current period presentation. Such reclassifications are immaterial, individually and in the aggregate, to both current and all previously issued financial statements taken as a whole. Effective for the year ended December 31, 2023, the Company reclassified $0.6 million of capitalized software previously included in Property and equipment, net into Intangible assets, net.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The most significant estimates inherent in the preparation of the Company’s consolidated financial statements include, but are not limited to, those related to equity instruments issued in share-based compensation arrangements, valuations of its derivative asset and warrant liability,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acquisition to be cash equivalents. The Company’s cash equivalents consist of funds held in money market accounts. The Company had $86.1 million and $11.9 million in cash equivalents as of December 31, 2023 and 2022,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8" w:lineRule="exact"/>
        <w:rPr>
          <w:sz w:val="20"/>
          <w:szCs w:val="20"/>
          <w:color w:val="auto"/>
        </w:rPr>
      </w:pPr>
    </w:p>
    <w:p>
      <w:pPr>
        <w:jc w:val="both"/>
        <w:ind w:right="520"/>
        <w:spacing w:after="0" w:line="265" w:lineRule="auto"/>
        <w:rPr>
          <w:sz w:val="20"/>
          <w:szCs w:val="20"/>
          <w:color w:val="auto"/>
        </w:rPr>
      </w:pPr>
      <w:r>
        <w:rPr>
          <w:rFonts w:ascii="Times New Roman" w:cs="Times New Roman" w:eastAsia="Times New Roman" w:hAnsi="Times New Roman"/>
          <w:sz w:val="18"/>
          <w:szCs w:val="18"/>
          <w:color w:val="auto"/>
        </w:rPr>
        <w:t>The Company’s accounts receivable balance consists of amounts due from its only customer, a mining pool operator. Amounts recorded in accounts receivable as of December 31, 2023 consist of the block rewards and transaction fees earned the last day (last contract period) of the year, but not yet received from the mining pool operator. No allowance was recorded as of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left="1360" w:right="400" w:hanging="838"/>
        <w:spacing w:after="0" w:line="265"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8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37"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5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231F20"/>
        </w:rPr>
        <w:t>As of December 31, 2023, the Company had an embedded derivative asset in the accounts receivable recorded for the amount of block rewards and transaction fees earned the last day (last contract period) of the year. The derivative asset is classified within Level 1 of the fair value hierarchy because fair value is based on quoted prices in an active market. Changes in fair value of the derivative asset are presented within operating expense (income) in the consolidated statement of operations.</w:t>
      </w:r>
    </w:p>
    <w:p>
      <w:pPr>
        <w:spacing w:after="0" w:line="128" w:lineRule="exact"/>
        <w:rPr>
          <w:sz w:val="20"/>
          <w:szCs w:val="20"/>
          <w:color w:val="auto"/>
        </w:rPr>
      </w:pPr>
    </w:p>
    <w:p>
      <w:pPr>
        <w:ind w:right="620"/>
        <w:spacing w:after="0" w:line="462" w:lineRule="auto"/>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information about the Level 3 asset and liability rollforwards of activity and Level 3 inputs. </w:t>
      </w:r>
      <w:r>
        <w:rPr>
          <w:rFonts w:ascii="Times New Roman" w:cs="Times New Roman" w:eastAsia="Times New Roman" w:hAnsi="Times New Roman"/>
          <w:sz w:val="18"/>
          <w:szCs w:val="18"/>
          <w:b w:val="1"/>
          <w:bCs w:val="1"/>
          <w:i w:val="1"/>
          <w:iCs w:val="1"/>
          <w:color w:val="auto"/>
        </w:rPr>
        <w:t>Bitcoin</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Bitcoin are included in current assets on the consolidated balance sheets. Bitcoin that are temporarily held for the Company’s joint venture partner are included in prepaid and other current assets on the consolidated balance sheet. Bitcoin received through the Company’s wholly-owned mining activities are accounted for in connection with the Company’s revenue recognition policy. Bitcoin awarded to the Company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2023, bitcoin held by the Company are accounted for as intangible assets under ASC 350-60,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xml:space="preserve"> issued by the FASB in December 2023. Intangible assets under the scope of this subtopic are measured at fair value on the Company’s consolidated balance sheet. The Company determines the fair value of its bitcoin on a nonrecurring basis in accordance with ASC 820 based on quoted prices on the active trading platform that the Company has determined is its principal market for bitcoin (Level 1 inputs). The Company recognized fair value adjustments of $11.0 million on its bitcoin holdings during the year ended December 31, 2023.</w:t>
      </w:r>
    </w:p>
    <w:p>
      <w:pPr>
        <w:spacing w:after="0" w:line="14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Prior to the adoption of ASU 2023-08, bitcoin was accounted for as an intangible asset subject to impairment. Upon adoption of ASC 350-60 on January 1, 2023, the company recorded an opening adjustment to retained earnings of $0.2 million.</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Bitcoin awarded to the Company through its mining activities are included as an adjustment to reconcile net loss to cash used in operating activities on the consolidated statements of cash flows. Proceeds from sales of bitcoin are included within cash flows from operating activities on the consolidated statements of cash flows to the extent bitcoin are sold within seven days of being awarded, and investing cash flows if sold after that period. Any realized gains or losses from such sales are included in costs and operating expenses (income) on the consolidated statements of operations. The receipt of bitcoin as distributions-in-kind from equity investees are included within investing activities on the consolidated statements of cash flows. Bitcoin are sold on a first-in-first-out (“FIFO”) basis.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Property and equipment consists primarily of miners and mining equipment, leasehold improvements and construction-in-progress at the Odessa Facility and is stated at cost, net of accumulated depreciation and amortization. Depreciation and amortization are calculated using the straight-line method over the estimated useful lives of the assets, which ranges from three to seven years. Leasehold improvements include capitalized asset retirement costs (see the related </w:t>
      </w:r>
      <w:r>
        <w:rPr>
          <w:rFonts w:ascii="Times New Roman" w:cs="Times New Roman" w:eastAsia="Times New Roman" w:hAnsi="Times New Roman"/>
          <w:sz w:val="18"/>
          <w:szCs w:val="18"/>
          <w:i w:val="1"/>
          <w:iCs w:val="1"/>
          <w:color w:val="auto"/>
        </w:rPr>
        <w:t>Asset Retirement Obligation</w:t>
      </w:r>
      <w:r>
        <w:rPr>
          <w:rFonts w:ascii="Times New Roman" w:cs="Times New Roman" w:eastAsia="Times New Roman" w:hAnsi="Times New Roman"/>
          <w:sz w:val="18"/>
          <w:szCs w:val="18"/>
          <w:color w:val="auto"/>
        </w:rPr>
        <w:t xml:space="preserve"> policy below) and the substation right-of-use asset (further discussed in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both of which are amortized over the estimated useful life of the related assets. All other leasehold improvements are depreciated over the lesser of the estimated useful life of the asset or the remaining life of the related lease. Costs of maintenance, repairs and minor replacements are expensed when incurred. Construction-in-progress is comprised of assets which have not been placed into service and is not depreciated until the related assets or improvements are ready to be placed into service.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property and equipment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7"/>
                <w:szCs w:val="17"/>
                <w:color w:val="auto"/>
              </w:rPr>
            </w:pPr>
          </w:p>
        </w:tc>
        <w:tc>
          <w:tcPr>
            <w:tcW w:w="24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45"/>
        </w:trPr>
        <w:tc>
          <w:tcPr>
            <w:tcW w:w="8820" w:type="dxa"/>
            <w:vAlign w:val="bottom"/>
          </w:tcPr>
          <w:p>
            <w:pPr>
              <w:spacing w:after="0"/>
              <w:rPr>
                <w:sz w:val="21"/>
                <w:szCs w:val="21"/>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4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Autos</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0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Intangible assets, net primarily includes strategic contracts acquired as part of asset acquisitions and relate to certain regulatory approvals related to our mining operations. Intangible assets also includes capitalized software, which consists of consulting costs related to development of internal-use software. Intangible assets are presented net of the associated accumulated amortization.</w:t>
      </w:r>
    </w:p>
    <w:p>
      <w:pPr>
        <w:spacing w:after="0" w:line="1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accounts for the costs of software developed for internal use by capitalizing costs incurred during the application development stage to property and equipment, net on its consolidated balance sheets. Costs related to preliminary project activities and post-implementation activities are expensed as incurred. The Company plans to amortize the capitalized costs of internal-use software on a straight-line basis over the estimated useful life of the asset, which is expected to be three years. The Company will recognize the amortization of software in depreciation expense on the consolidated statements of operations once the software is technologically feasible.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intangible assets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8"/>
                <w:szCs w:val="18"/>
                <w:color w:val="auto"/>
              </w:rPr>
            </w:pPr>
          </w:p>
        </w:tc>
        <w:tc>
          <w:tcPr>
            <w:tcW w:w="24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45"/>
        </w:trPr>
        <w:tc>
          <w:tcPr>
            <w:tcW w:w="8820" w:type="dxa"/>
            <w:vAlign w:val="bottom"/>
          </w:tcPr>
          <w:p>
            <w:pPr>
              <w:spacing w:after="0"/>
              <w:rPr>
                <w:sz w:val="21"/>
                <w:szCs w:val="21"/>
                <w:color w:val="auto"/>
              </w:rPr>
            </w:pPr>
          </w:p>
        </w:tc>
        <w:tc>
          <w:tcPr>
            <w:tcW w:w="24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4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24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 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If such assets are considered to be impaired, the impairment to be recognized will be measured by the amount by which the carrying amount of the assets exceeds the fair value of the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indication that the Company’s long-lived assets might be impaired as of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using the equity method of accounting if the investments provide the Company the ability to exercise significant influence, but not control, over its investees. Significant influence is generally deemed to exist if the Company has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a joint venture from the Company.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investments are subsequently adjusted to recognize its share of net income or losses as they occur. The Company also adjusts its investment upon receipt of bitcoin from an equity investee, which is accounted for as a distribution-in-kind that is measured as of time of receipt. The Company’s share of investees’ earnings or losses is recorded, net of taxes, within equity in losses of equity investees on the Company’s consolidated statement of operations. Additionally, the Company’s interest in the net assets of its equity method investees is reflected on its consolidated balance sheet. If, upon the Company’s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the Company’s proportionate share of the investee’s net income or loss. If the Company is unable to relate the difference to specific accounts of the investee, the difference should be considered goodwill.</w:t>
      </w:r>
    </w:p>
    <w:p>
      <w:pPr>
        <w:spacing w:after="0" w:line="14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considers whether the fair value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success of the mining operations and the overall health of the investee’s industry), then the Company would record a write-down to the estimated fair value.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investment costs</w:t>
      </w:r>
    </w:p>
    <w:p>
      <w:pPr>
        <w:spacing w:after="0" w:line="202"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 xml:space="preserve">Deferred investment costs consist of legal fees incurred through the balance sheet date that were directly related to the formation of a joint venture and which were capitalized as part of the Company’s total investment in the joint venture upon consummation of the joint venture agreement, see Note 7, </w:t>
      </w:r>
      <w:r>
        <w:rPr>
          <w:rFonts w:ascii="Times New Roman" w:cs="Times New Roman" w:eastAsia="Times New Roman" w:hAnsi="Times New Roman"/>
          <w:sz w:val="18"/>
          <w:szCs w:val="18"/>
          <w:i w:val="1"/>
          <w:iCs w:val="1"/>
          <w:color w:val="auto"/>
        </w:rPr>
        <w:t>Investment in Equity Investees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Asset retirement obligations relate to the legal obligations associated with the retirement of long-lived assets that result from the construction, development and/or normal operation of a long-lived asset. The Company currently has one asset retirement obligation (“ARO”) related to the construction of the data center and installation of the related electrical infrastructure at the Odessa Facility.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(“ASC 410”) requires an entity to record the fair value of a liability for an ARO in the period in which it is incurred if a reasonable estimate of fair value can be made. Due to the long lead time involved until decommissioning activities occur, the Company uses a present value technique to estimate the liability. A liability for the fair value of the ARO based on the expected present value of estimated future decommissioning costs with a corresponding increase to the carrying value of the related long-lived asset (leasehold improvements) was recorded upon commencement of the lease in November 2022. The estimated capitalized asset retirement costs are depreciated using the straight-line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method over the estimated remaining useful life of the related long-lived asset, with such depreciation included in depreciation expense in the consolidated statements of operations. The ARO is accreted based on the original discount rate and is recognized as an increase in the carrying amount of the liability and a charge to accretion expense, which is included in depreciation expense in the consolidated statements of operations. Annually, or more frequently if an event occurs that would dictate a change in assumptions or estimates underlying the obligation, the Company reassesses its ARO to determine whether any revisions to the obligation are necessary. Revisions to the estimated ARO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60"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 xml:space="preserve">In order to determine the fair value of the ARO, the Company’s management made certain estimates and assumptions including, among other things, projected cash flows, the borrowing interest rate and an assessment of market conditions that could significantly impact the estimated fair value. These estimates and assumptions are subjective. See additional information regarding the ARO in Note 12, </w:t>
      </w:r>
      <w:r>
        <w:rPr>
          <w:rFonts w:ascii="Times New Roman" w:cs="Times New Roman" w:eastAsia="Times New Roman" w:hAnsi="Times New Roman"/>
          <w:sz w:val="18"/>
          <w:szCs w:val="18"/>
          <w:i w:val="1"/>
          <w:iCs w:val="1"/>
          <w:color w:val="auto"/>
        </w:rPr>
        <w:t>Asset Retirement Obligation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the Company’s consolidated balance sheet at lease commencement reflecting the present value of its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generally uses its incremental borrowing rate, determined based on information available at lease commencement, if rates implicit in its leasing arrangements are not readily determinable. The Company’s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4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elected the practical expedient not to separate lease and non-lease components for all leases, which means all consideration that is fixed, or in-substance fixed, relating to the non-lease components will be captured as part of the Company’s lease components for balance sheet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8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Upon the consummation of the Business Combination, the Company assumed common stock warrants that were originally issued in GWAC’s initial public offering (the “Public Warrants”), as well as warrants that were issued in a</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0" w:right="37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4"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color w:val="auto"/>
        </w:rPr>
        <w:t xml:space="preserve">private placement that closed concurrently with GWAC’s initial public offering (the “Private Placement Warrants”). See Note 16,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for additional information on the Public Warrants and Private Placement Warrants.</w:t>
      </w:r>
    </w:p>
    <w:p>
      <w:pPr>
        <w:spacing w:after="0" w:line="13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Company is capitalized as a single class of common stock, accordingly, a qualifying cash tender offer of more than 50% of the Common Stock will always result in a change-in-control, and in accordance with ASC 815-40-55-3, this would not preclude permanent equity classification of the Public Warrants; therefore, the Public Warrants are equity classified.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are accounted for as a liability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xml:space="preserve">, as they are a freestanding financial instrument that require the Company to transfer assets upon exercise. The Company recorded the Private Placement Warrants as a liability in the consolidated balance sheet at fair value on the Closing Date, with subsequent changes in fair value recognized in the change in fair value of warrant liability within the consolidated statements of operations. The Private Placement Warrants were valued using a Black-Scholes option-pricing model as described in Note 18,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 purchases obtained through share withholdings for taxes are recorded at par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47"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5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41" w:lineRule="exact"/>
        <w:rPr>
          <w:sz w:val="20"/>
          <w:szCs w:val="20"/>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the Company would sell a promised service separately to a customer. The relative selling price for each performance obligation is estimated using observable objective evidence if it is available. If observable objective evidence is not available, the Company uses its best estimate of the selling price for the promised service. In instances where the Company does not sell a service separately, establishing standalone selling price requires significant judgment. The Company estimates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4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entered into a bitcoin mining pool by executing a contract, as amended from time to time, with a mining pool operator to provide computing power to the mining pool. Specifically, in November 2022, the Company entered into a mining pool contract with Foundry USA Pool (“Foundry”). Providing computing power to a mining pool operator for the purpose of cryptocurrency transaction verification is an output of the Company’s ordinary activities. 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the Company. Given cancellation terms of the contract, and the Company’s customary business practice, the contract effectively provides the Company with the option to renew for successive contract terms of 24 hours. The options to renew are not material rights because they are offered at the standalone selling price of computing power. The Company elected the optional exemption to not disclose the transaction price allocated to remaining performance obligations that are part of a contract that has an original expected duration of one year or less.</w:t>
      </w:r>
    </w:p>
    <w:p>
      <w:pPr>
        <w:spacing w:after="0" w:line="1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provision of computing power in accordance with the mining pool operator’s terms of service is the only performance obligation in the Company’s contract with the mining pool operator, its customer. In exchange for providing computing power pursuant to Foundry’s terms of service, the Company is entitled to noncash consideration in the form of bitcoin, measured under the Full Pay Per Share (“FPPS”) approach. Under the FPPS approach, the Company is entitled to a fractional share of the fixed bitcoin award from the mining pool operator (referred to as a “block reward”) and potentially transaction fees generated from (paid by) blockchain users and distributed (paid out) to individual miners by the mining pool operator. The Company’s fractional share of the block reward is based on the proportion of computing power the Company contributed to the mining pool operator to the total computing power contributed by all mining pool participants in solving the current algorithm, over the contract term. The Company is entitled to its relative share of consideration even if a block is not successfully placed. In other words, the Company receives consideration once after the end of each 24-hour contract period, regardless of whether the pool successfully places a block. The Company proportionate share of transaction fees is based on the Company’s </w:t>
      </w:r>
      <w:r>
        <w:rPr>
          <w:rFonts w:ascii="Times New Roman" w:cs="Times New Roman" w:eastAsia="Times New Roman" w:hAnsi="Times New Roman"/>
          <w:sz w:val="18"/>
          <w:szCs w:val="18"/>
          <w:color w:val="231F20"/>
        </w:rPr>
        <w:t>contributed share of hashrate as a percentage of total network hashrate during the contract term.</w:t>
      </w:r>
    </w:p>
    <w:p>
      <w:pPr>
        <w:spacing w:after="0" w:line="1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mining pool operator calculates block rewards under the FPPS approach described above and may charge a pool fee for maintenance of the pool that reduces the amount of block rewards to which the Company is entitled. Foundry did not claim a fee for any block rewards earned by the Company in 2023. After every 24-hour contract term, the Company receives a payout and the pool transfers the bitcoin consideration to the Company’s designated bitcoin wallet.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Fair value of the bitcoin consideration is determined using the quoted price on the Company’s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the Company expects to be entitled for providing computing power is entirely variable, as well as being noncash consideration, the Company assesses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the Company is entitled becomes known.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4"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the Company earned revenue of $126.8 million from Foundry, its only customer, representing 100% of total consolidated revenue.</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Company’s ability to satisfy its performance obligation under its contract with the mining pool operator to provide computing power may be contracted to various third parties and there is a risk that if these parties are unable to perform or curtail their operations, the Company’s revenue and operating results may be affected. Please see Note 4, </w:t>
      </w:r>
      <w:r>
        <w:rPr>
          <w:rFonts w:ascii="Times New Roman" w:cs="Times New Roman" w:eastAsia="Times New Roman" w:hAnsi="Times New Roman"/>
          <w:sz w:val="18"/>
          <w:szCs w:val="18"/>
          <w:i w:val="1"/>
          <w:iCs w:val="1"/>
          <w:color w:val="auto"/>
        </w:rPr>
        <w:t>Derivative Asset</w:t>
      </w:r>
      <w:r>
        <w:rPr>
          <w:rFonts w:ascii="Times New Roman" w:cs="Times New Roman" w:eastAsia="Times New Roman" w:hAnsi="Times New Roman"/>
          <w:sz w:val="18"/>
          <w:szCs w:val="18"/>
          <w:color w:val="auto"/>
        </w:rPr>
        <w:t>, for additional information about the Company’s power arrangements.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Cost of revenue consists primarily of direct production costs of bitcoin mining operations, which for the year ended December 31, 2023 consisted mainly of electricity expenses, but excludes depreciation which is separately stated.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2023, the Company has awarded only RSUs with service-based vesting conditions (“Service-Based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 See also Note 17,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below.</w:t>
      </w:r>
    </w:p>
    <w:p>
      <w:pPr>
        <w:spacing w:after="0" w:line="1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Common Stock on the date of the grant. The Company employs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As of December 31, 2023 and December 31, 2022, the Company did not have any significant uncertain tax positions. The Company will recognize interest and penalties related to uncertain tax positions in income tax expense. The Company did not have any accrued interest or penalties related to uncertain tax positions recorded as of December 31, 2023 or December 31, 2022, and no amounts have been recognized in the Company’s consolidated statements of operations. The Company does not anticipate a material change to unrecognized tax benefits in the next 12 months.</w:t>
      </w:r>
    </w:p>
    <w:p>
      <w:pPr>
        <w:spacing w:after="0" w:line="14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tax jurisdiction and various state jurisdictions. The Company did not have any foreign operations during any periods presented in these consolidated financial statements. All of the Company’s tax years since inception are open for examination by the federal and state tax authorities and will remain open to the extent that the Company’s tax attributes are utilized in future years to offset income or income taxes. The Company is not aware of any tax examinations currently taking place.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allocable to common shareholders by the weighted average number of common shares outstanding during the period. Diluted net loss per common share adjusts net loss and net loss per common share for the effect of all potentially dilutive shares of Common Stock. Basic net loss per common share is the same as dilutive net loss per common share for all periods presented as the inclusion of all potential common shares would have been antidilutive. Potential common shares consist of the Public Warrants and the Private Placement Warrants to purchase Common Stock (using the treasury stock method), as well as unvested RSUs.</w:t>
      </w:r>
    </w:p>
    <w:p>
      <w:pPr>
        <w:spacing w:after="0" w:line="14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income (loss) per common share at December 31, 2023 and 2022, because including them would have been antidilutive.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Pr>
          <w:p>
            <w:pPr>
              <w:spacing w:after="0"/>
              <w:rPr>
                <w:sz w:val="19"/>
                <w:szCs w:val="19"/>
                <w:color w:val="auto"/>
              </w:rPr>
            </w:pPr>
          </w:p>
        </w:tc>
        <w:tc>
          <w:tcPr>
            <w:tcW w:w="2800" w:type="dxa"/>
            <w:vAlign w:val="bottom"/>
            <w:tcBorders>
              <w:bottom w:val="single" w:sz="8" w:color="auto"/>
            </w:tcBorders>
            <w:gridSpan w:val="3"/>
          </w:tcPr>
          <w:p>
            <w:pPr>
              <w:ind w:left="1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9"/>
        </w:trPr>
        <w:tc>
          <w:tcPr>
            <w:tcW w:w="6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8,499,980</w:t>
            </w:r>
          </w:p>
        </w:tc>
        <w:tc>
          <w:tcPr>
            <w:tcW w:w="400" w:type="dxa"/>
            <w:vAlign w:val="bottom"/>
            <w:shd w:val="clear" w:color="auto" w:fill="CCECFF"/>
          </w:tcPr>
          <w:p>
            <w:pPr>
              <w:spacing w:after="0"/>
              <w:rPr>
                <w:sz w:val="19"/>
                <w:szCs w:val="19"/>
                <w:color w:val="auto"/>
              </w:rPr>
            </w:pPr>
          </w:p>
        </w:tc>
        <w:tc>
          <w:tcPr>
            <w:tcW w:w="52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8,499,980</w:t>
            </w:r>
          </w:p>
        </w:tc>
        <w:tc>
          <w:tcPr>
            <w:tcW w:w="100" w:type="dxa"/>
            <w:vAlign w:val="bottom"/>
            <w:shd w:val="clear" w:color="auto" w:fill="CCECFF"/>
          </w:tcPr>
          <w:p>
            <w:pPr>
              <w:spacing w:after="0"/>
              <w:rPr>
                <w:sz w:val="19"/>
                <w:szCs w:val="19"/>
                <w:color w:val="auto"/>
              </w:rPr>
            </w:pP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tcPr>
          <w:p>
            <w:pPr>
              <w:spacing w:after="0"/>
              <w:rPr>
                <w:sz w:val="19"/>
                <w:szCs w:val="19"/>
                <w:color w:val="auto"/>
              </w:rPr>
            </w:pPr>
          </w:p>
        </w:tc>
      </w:tr>
      <w:tr>
        <w:trPr>
          <w:trHeight w:val="236"/>
        </w:trPr>
        <w:tc>
          <w:tcPr>
            <w:tcW w:w="6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21,304,952</w:t>
            </w:r>
          </w:p>
        </w:tc>
        <w:tc>
          <w:tcPr>
            <w:tcW w:w="400" w:type="dxa"/>
            <w:vAlign w:val="bottom"/>
            <w:tcBorders>
              <w:bottom w:val="single" w:sz="8" w:color="CCECFF"/>
            </w:tcBorders>
            <w:shd w:val="clear" w:color="auto" w:fill="CCECFF"/>
          </w:tcPr>
          <w:p>
            <w:pPr>
              <w:spacing w:after="0"/>
              <w:rPr>
                <w:sz w:val="20"/>
                <w:szCs w:val="20"/>
                <w:color w:val="auto"/>
              </w:rPr>
            </w:pPr>
          </w:p>
        </w:tc>
        <w:tc>
          <w:tcPr>
            <w:tcW w:w="520" w:type="dxa"/>
            <w:vAlign w:val="bottom"/>
            <w:tcBorders>
              <w:bottom w:val="single" w:sz="8" w:color="auto"/>
            </w:tcBorders>
            <w:shd w:val="clear" w:color="auto" w:fill="CCECFF"/>
          </w:tcPr>
          <w:p>
            <w:pPr>
              <w:spacing w:after="0"/>
              <w:rPr>
                <w:sz w:val="20"/>
                <w:szCs w:val="20"/>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18,698,755</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19"/>
        </w:trPr>
        <w:tc>
          <w:tcPr>
            <w:tcW w:w="69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29,918,932</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27,312,735</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-179070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0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consolidated financial statements and assures that there are proper controls in place to ascertain that the Company’s consolidated financial statements properly reflect the change.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45"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In June 2016, the FASB issued Accounting Standards Update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which was codified with its subsequent amendments as ASC Topic 326,</w:t>
      </w:r>
      <w:r>
        <w:rPr>
          <w:rFonts w:ascii="Times New Roman" w:cs="Times New Roman" w:eastAsia="Times New Roman" w:hAnsi="Times New Roman"/>
          <w:sz w:val="18"/>
          <w:szCs w:val="18"/>
          <w:i w:val="1"/>
          <w:iCs w:val="1"/>
          <w:color w:val="auto"/>
        </w:rPr>
        <w:t xml:space="preserve"> Financial Instruments – Credit Losses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326”). ASC 326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other GAAP with a methodology that reflects current expected credit losses and requires consideration of a broader range of reasonable and supportable information to inform credit loss estimates. The adoption of this guidance on January 1, 2023 did not have a material impact on the Company’s consolidated financial statements and disclosures.</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Crypto Assets </w:t>
      </w:r>
      <w:r>
        <w:rPr>
          <w:rFonts w:ascii="Times New Roman" w:cs="Times New Roman" w:eastAsia="Times New Roman" w:hAnsi="Times New Roman"/>
          <w:sz w:val="18"/>
          <w:szCs w:val="18"/>
          <w:color w:val="auto"/>
        </w:rPr>
        <w:t>(“ASU 2023-08”)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2023-08 seeks to provide financial statement users with more decision-useful information about the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economics of crypto assets, and a reporting entity’s financial position. The amendment requires an entity to present crypto assets at fair value on the balance sheet, present these assets separate from other intangible assets, and record changes from remeasurements of crypto assets separately from changes in carrying amounts from other intangible assets on the income statement. The amendment also requires entities to disclose by crypto asset the name, fair value, cost basis, and number of units, as well as changes crypto holdings over the periods presented. The updated guidance is effective for the company for January 1, 2025, however the company has chosen to early adopt the amendments as of January 1, 2023, resulting in an opening adjustment to retained earnings of $0.2 million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2023-07 seeks to improve disclosures about a public entity’s reportable segments and add disclosures around a reportable segment’s expenses. The updated guidance is effective for the Company for annual periods beginning January 1, 2024, and interim periods within fiscal years beginning January 1, 2025. As the Company has one reportable segment, the Company does not expect the adoption of this ASU to have a material impact on its financial statements and disclosures.</w:t>
      </w:r>
    </w:p>
    <w:p>
      <w:pPr>
        <w:spacing w:after="0" w:line="15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seeks to improve transparency if income tax disclosures by requiring consistent categories and greater disaggregation of information in the rate reconciliation and income taxes paid disclosures. The updated guidance is effective for the Company on January 1, 2025. The Company does not expect the adoption of ASU 2023-09 to have a material impact on its financial statements and disclosures.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7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shd w:val="clear" w:color="auto" w:fill="CCEE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effect upon adoption of ASU 2023-08</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5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36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CECFF"/>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recognized from bitcoin mined, net of receivable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20"/>
                <w:szCs w:val="20"/>
                <w:color w:val="auto"/>
              </w:rPr>
            </w:pPr>
          </w:p>
        </w:tc>
      </w:tr>
      <w:tr>
        <w:trPr>
          <w:trHeight w:val="247"/>
        </w:trPr>
        <w:tc>
          <w:tcPr>
            <w:tcW w:w="75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36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(111,188 )</w:t>
            </w: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bitcoin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5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Impairment of bitcoin</w:t>
            </w:r>
          </w:p>
        </w:tc>
        <w:tc>
          <w:tcPr>
            <w:tcW w:w="36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(1,467 )</w:t>
            </w:r>
          </w:p>
        </w:tc>
      </w:tr>
      <w:tr>
        <w:trPr>
          <w:trHeight w:val="236"/>
        </w:trPr>
        <w:tc>
          <w:tcPr>
            <w:tcW w:w="75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20" w:type="dxa"/>
            <w:vAlign w:val="bottom"/>
            <w:tcBorders>
              <w:top w:val="single" w:sz="8" w:color="CCECFF"/>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Borders>
              <w:top w:val="single" w:sz="8" w:color="CCECFF"/>
            </w:tcBorders>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-187960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 held approximately 780 and 394 bitcoin at December 31, 2023, and December 31, 2022, respectively. The associated fair value and cost basis of bitcoin held was $33.0 million, and $30.9 million, respectively, at December 31, 2023, and $6.5 million, and $7.7 million, respectively at December 31, 2022. Fair value of bitcoin is estimated using the closing price, which is a Level 1 input (i.e., an observable input such as a quoted price in an active market for an identical asset). The Company accounts for bitcoin on a FIFO basis.</w:t>
      </w:r>
    </w:p>
    <w:p>
      <w:pPr>
        <w:spacing w:after="0" w:line="14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As of December 31, 2023, 10 bitcoin with a fair value of $0.4 million were pledged as collateral related to bitcoin trading strategies. Restrictions on the collateral lapse on January 26, 2024 or upon closing trading positions. No bitcoin were pledged as collateral as of December 31,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ET Services Company LLC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 Starting from July 1, 2022, and prior to the receipt of interconnection approval from the Electric Reliability Council of Texas (“ERCOT”), under the take or pay framework of the Luminant Power Agreement and pursuant to the ramp-up schedule agreed to between Luminant and Cipher, Luminant began sales of the scheduled energy in the ERCOT market.</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Because ERCOT allows for net settlement, the Company’s management determined that, as of July 1, 2022, the Luminant Power Agreement met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Because the Company has the ability to sell its electricity in the ERCOT market rather than take physical delivery, physical delivery is not probable through the entirety of the contract and therefore, the Company’s management does not believe the normal purchases and normal sales scope exception applies to the Luminant Power Agreement. Accordingly, the Luminant Power Agreement (the non-hedging derivative contract) is recorded at an estimated fair value each reporting period with the change in the fair value recorded in change in fair value of derivative asset in the consolidated statements of operations. See additional information regarding valuation of the Luminant Power Agreement derivative in Note 18,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Depending on the spot market price of electricity, the Company may opportunistically sell electricity in the ERCOT market in exchange for cash payments, rather than utilizing the power to mine for bitcoin at the Odessa Facility during peak times in order to most efficiently manage the Company’s operating costs. The Company, through Luminant, sold $1.7 million in electricity, net of the costs under the Luminant Power Agreement, prior to the start of bitcoin mining at the Odessa Facility, which it recorded as part of the change in the fair value of the derivative asset in the consolidated statement of operations during the year ended December 31, 2022. On November 22, 2022, the Company began bitcoin mining at the Odessa Facility, and subsequent to this date, the costs under the Luminant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Power Agreement are recorded in cost of revenue in the Company’s consolidated statements of operations. The Company sold $9.9 million and $0.5 million in electricity, net of the costs under the Luminant Power Agreement, during the years ended December 31, 2023 and 2022, respectively, and recorded this amount as income from power sales in operating income on the consolidated statement of operations, with the corresponding costs of the power sold recorded in cost of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23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4"/>
                <w:szCs w:val="24"/>
                <w:color w:val="auto"/>
              </w:rPr>
            </w:pPr>
          </w:p>
        </w:tc>
        <w:tc>
          <w:tcPr>
            <w:tcW w:w="1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36"/>
        </w:trPr>
        <w:tc>
          <w:tcPr>
            <w:tcW w:w="6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163,523</w:t>
            </w:r>
          </w:p>
        </w:tc>
        <w:tc>
          <w:tcPr>
            <w:tcW w:w="42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00" w:type="dxa"/>
            <w:vAlign w:val="bottom"/>
            <w:shd w:val="clear" w:color="auto" w:fill="CCECFF"/>
          </w:tcPr>
          <w:p>
            <w:pPr>
              <w:spacing w:after="0"/>
              <w:rPr>
                <w:sz w:val="21"/>
                <w:szCs w:val="21"/>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Autos</w:t>
            </w: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CECFF"/>
          </w:tcPr>
          <w:p>
            <w:pPr>
              <w:spacing w:after="0"/>
              <w:rPr>
                <w:sz w:val="21"/>
                <w:szCs w:val="21"/>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00" w:type="dxa"/>
            <w:vAlign w:val="bottom"/>
            <w:shd w:val="clear" w:color="auto" w:fill="CCECFF"/>
          </w:tcPr>
          <w:p>
            <w:pPr>
              <w:spacing w:after="0"/>
              <w:rPr>
                <w:sz w:val="20"/>
                <w:szCs w:val="20"/>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302,895</w:t>
            </w:r>
          </w:p>
        </w:tc>
        <w:tc>
          <w:tcPr>
            <w:tcW w:w="42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195,383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0"/>
                <w:szCs w:val="20"/>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(59,080 )</w:t>
            </w:r>
          </w:p>
        </w:tc>
        <w:tc>
          <w:tcPr>
            <w:tcW w:w="20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(4,195 )</w:t>
            </w:r>
          </w:p>
        </w:tc>
        <w:tc>
          <w:tcPr>
            <w:tcW w:w="0" w:type="dxa"/>
            <w:vAlign w:val="bottom"/>
          </w:tcPr>
          <w:p>
            <w:pPr>
              <w:spacing w:after="0"/>
              <w:rPr>
                <w:sz w:val="1"/>
                <w:szCs w:val="1"/>
                <w:color w:val="auto"/>
              </w:rPr>
            </w:pPr>
          </w:p>
        </w:tc>
      </w:tr>
      <w:tr>
        <w:trPr>
          <w:trHeight w:val="280"/>
        </w:trPr>
        <w:tc>
          <w:tcPr>
            <w:tcW w:w="6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243,815</w:t>
            </w:r>
          </w:p>
        </w:tc>
        <w:tc>
          <w:tcPr>
            <w:tcW w:w="42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191,188</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placed approximately $40.7 million and $37.4, respectively, of construction-in-progress into service at the Odessa Facility. Depreciation expense was $59.0 million for the year ended December 31, 2023, and $4.4 million for the year ended December 31, 2022. There were no impairment charges recorded during either year.</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the remaining 17,094 MicroBT M30S, M30S+ and M30S++ miners (“MicroBT miners”) related to the framework agreement of September 2021 with SuperAcme Technology (Hong Kong) Limited (“SuperAcme”), which was amended and restated by the Amended and Restated Framework Agreement on Supply of Blockchain Servers (the “Amended and Restated Framework Agreement”), dated as of May 6, 2022, and subject to the Supplementary Agreement of the Framework Agreement on Supply of Blockchain Servers (the “Supplementary Agreement). These MicroBT miners received during the first quarter of fiscal year 2023 had an aggregate cost of approximately $50.7 million and were purchased by the Company at the new fixed and floating price terms set forth in the Supplementary Agreement. The Company also received 4,622 Antminer S19j Pro (100 TH/s) (“S19j Pro”) miners from Bitmain with a cost basis of approximately $1.6 million during the first quarter of fiscal year 2023. As of December 31, 2023, the Company had a total of approximately 61,000 miners at the Odessa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August 2021 purchase agreement with Bitmain Technologies Limited (“Bitmain”), the Company purchased a total of 27,000 Antminer S19j Pro (100 TH/s) (“S19j Pro”) miners and had received 27,035 miners from Bitmain at our data centers in Texas as of December 31, 2022. The Company has no further payment obligations under this agreement with Bitmain. In November and December 2022, the Company agreed to purchase an additional 5,000 and 2,200 S19j Pros, respectively, from Bitmain. The Company utilized accumulated Bitmain credits and coupons for the majority of the purchase price for these miners and has no further payments due in respect of these orders as of December 31, 2023.</w:t>
      </w:r>
    </w:p>
    <w:p>
      <w:pPr>
        <w:spacing w:after="0" w:line="1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framework agreement of September 2021 with SuperAcme Technology (Hong Kong) Limited (“SuperAcme”), which was amended and restated by the Amended and Restated Framework Agreement on Supply of Blockchain Servers (the “Amended and Restated Framework Agreement”), dated as of May 6, 2022, the Company agreed to purchase 60,000 MicroBT M30S, M30S+ and M30S++ miners. On November 4, 2022, the Company entered into a Supplementary agreement of the Framework Agreement on Supply of Blockchain Servers (the “Supplementary Agreement”) with SuperAcme, which amended and supplemented the Amended and Restated Framework Agreement by changing the previously agreed fixed and floating price terms for miners that had yet to be delivered. As of the date of the Supplementary Agreement and December 31, 2022, SuperAcme had delivered 17,833 miners to the Company in Texas, with an aggregate cost of approximately $51.1 million, and the Company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had paid a total of $101.8 million to SuperAcme. The Company applied the remaining balance of $50.7 million to purchase miners at the new fixed and floating price terms set forth in the Supplementary Agreement, and had no balance due as of December 31, 2023.</w:t>
      </w:r>
    </w:p>
    <w:p>
      <w:pPr>
        <w:spacing w:after="0" w:line="13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two agreements with Bitfury USA Inc. (“Bitfury USA”), a subsidiary of Bitfury Top HoldCo, made under, and as a part of, the Master Services and Supply Agreement between the Company and Bitfury Top HoldCo dated August 26, 2021, to purchase a total of 240 units of BlockBox air-cooled containers (each a “BBAC”), the modular data centers that house mining machines. The Company received delivery of all of the BBACs during the year ended December 31, 2022. See Note 10,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more information on the Master Services and Supply Agreement.</w:t>
      </w:r>
    </w:p>
    <w:p>
      <w:pPr>
        <w:spacing w:after="0" w:line="1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previously had an agreement for the purchase of between 28,000 to 56,000 mining rigs from Bitfury Top HoldCo, also made under, and as a part of, the Master Services and Supply Agreement. Upon execution of this agreement, the Company paid a $10.0 million deposit to Bitfury Top HoldCo which was included in deposits on equipment in the Company’s consolidated balance sheet as of December 31, 2022; however, the agreement for the purchase of mining rigs was a non-binding commitment unless and until confirmed by a mutually executed order confirmation. No order confirmations were executed under this agreement and, as further described in Note 10,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shares of Common Stock held by Bitfury Top HoldCo were returned to the Company as consideration for, or repayment of, the $10.0 million deposit. As further described in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and Bitfury Top HoldCo terminated the Master Services and Supply Agreement on February 28, 2024.</w:t>
      </w:r>
    </w:p>
    <w:p>
      <w:pPr>
        <w:spacing w:after="0" w:line="14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4, 2023, the Company entered into an agreement with Bitmain to purchase 1.2 EH/s worth of Bitmain’s new HASH Super Computing Servers (Antminer S21-200.0T model) for a total purchase price of $24.0 million to be paid in cash and coupons, or $16.8 million in cash after applying coupons. The Company expects to make periodic payments in accordance with the payment schedule under this agreement, with the final payment expected to occur one year after the delivery of the last batch of miners. Related to this agreement, the Company has made installment payments of $7.6 million, which is included in the balance of deposits on equipment as of December 31, 2023. Batches of the Antminer S21 miners are expected to be delivered between January and June 2024.</w:t>
      </w:r>
    </w:p>
    <w:p>
      <w:pPr>
        <w:spacing w:after="0" w:line="15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December 18, 2023, the Company entered into a second agreement with Bitmain to purchase 37,396 units of the latest generation Antminer T21 miners to be delivered in the first half of 2025. The Company paid a deposit of $9.9 million upon execution of the agreement. The agreement has an option to purchase an additional 45,706 miners in 2024. The Company paid $12.2 million as a deposit, which can be used towards purchases under this option.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 purchase agreement commitments, deposits paid and expected delivery timing are summarized below as of December 31, 2023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Open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Expected Shipping</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Deposit</w:t>
            </w:r>
          </w:p>
        </w:tc>
        <w:tc>
          <w:tcPr>
            <w:tcW w:w="34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Open Purchase</w:t>
            </w:r>
          </w:p>
        </w:tc>
      </w:tr>
      <w:tr>
        <w:trPr>
          <w:trHeight w:val="245"/>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Vendor</w:t>
            </w:r>
          </w:p>
        </w:tc>
        <w:tc>
          <w:tcPr>
            <w:tcW w:w="240" w:type="dxa"/>
            <w:vAlign w:val="bottom"/>
          </w:tcPr>
          <w:p>
            <w:pPr>
              <w:spacing w:after="0"/>
              <w:rPr>
                <w:sz w:val="21"/>
                <w:szCs w:val="21"/>
                <w:color w:val="auto"/>
              </w:rPr>
            </w:pPr>
          </w:p>
        </w:tc>
        <w:tc>
          <w:tcPr>
            <w:tcW w:w="25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Agreement Dates</w:t>
            </w:r>
          </w:p>
        </w:tc>
        <w:tc>
          <w:tcPr>
            <w:tcW w:w="24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40" w:type="dxa"/>
            <w:vAlign w:val="bottom"/>
          </w:tcPr>
          <w:p>
            <w:pPr>
              <w:spacing w:after="0"/>
              <w:rPr>
                <w:sz w:val="21"/>
                <w:szCs w:val="21"/>
                <w:color w:val="auto"/>
              </w:rPr>
            </w:pPr>
          </w:p>
        </w:tc>
        <w:tc>
          <w:tcPr>
            <w:tcW w:w="1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11"/>
        </w:trPr>
        <w:tc>
          <w:tcPr>
            <w:tcW w:w="3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Bitmain</w:t>
            </w:r>
          </w:p>
        </w:tc>
        <w:tc>
          <w:tcPr>
            <w:tcW w:w="240" w:type="dxa"/>
            <w:vAlign w:val="bottom"/>
            <w:shd w:val="clear" w:color="auto" w:fill="CCECFF"/>
          </w:tcPr>
          <w:p>
            <w:pPr>
              <w:spacing w:after="0"/>
              <w:rPr>
                <w:sz w:val="18"/>
                <w:szCs w:val="18"/>
                <w:color w:val="auto"/>
              </w:rPr>
            </w:pPr>
          </w:p>
        </w:tc>
        <w:tc>
          <w:tcPr>
            <w:tcW w:w="25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w w:val="99"/>
              </w:rPr>
              <w:t>October 4, 2023 and December 18,</w:t>
            </w: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98,759</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340" w:type="dxa"/>
            <w:vAlign w:val="bottom"/>
            <w:shd w:val="clear" w:color="auto" w:fill="CCECFF"/>
          </w:tcPr>
          <w:p>
            <w:pPr>
              <w:spacing w:after="0"/>
              <w:rPr>
                <w:sz w:val="18"/>
                <w:szCs w:val="18"/>
                <w:color w:val="auto"/>
              </w:rPr>
            </w:pPr>
          </w:p>
        </w:tc>
        <w:tc>
          <w:tcPr>
            <w:tcW w:w="1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January 2024 -</w:t>
            </w:r>
          </w:p>
        </w:tc>
      </w:tr>
      <w:tr>
        <w:trPr>
          <w:trHeight w:val="248"/>
        </w:trPr>
        <w:tc>
          <w:tcPr>
            <w:tcW w:w="3820" w:type="dxa"/>
            <w:vAlign w:val="bottom"/>
            <w:shd w:val="clear" w:color="auto" w:fill="CCECFF"/>
          </w:tcPr>
          <w:p>
            <w:pPr>
              <w:spacing w:after="0"/>
              <w:rPr>
                <w:sz w:val="21"/>
                <w:szCs w:val="21"/>
                <w:color w:val="auto"/>
              </w:rPr>
            </w:pPr>
          </w:p>
        </w:tc>
        <w:tc>
          <w:tcPr>
            <w:tcW w:w="278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April 2025</w:t>
            </w: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vendors</w:t>
            </w: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Various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6"/>
        </w:trPr>
        <w:tc>
          <w:tcPr>
            <w:tcW w:w="38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CFF"/>
            </w:tcBorders>
            <w:shd w:val="clear" w:color="auto" w:fill="CCECFF"/>
          </w:tcPr>
          <w:p>
            <w:pPr>
              <w:spacing w:after="0"/>
              <w:rPr>
                <w:sz w:val="24"/>
                <w:szCs w:val="24"/>
                <w:color w:val="auto"/>
              </w:rPr>
            </w:pPr>
          </w:p>
        </w:tc>
        <w:tc>
          <w:tcPr>
            <w:tcW w:w="254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98,759</w:t>
            </w:r>
          </w:p>
        </w:tc>
        <w:tc>
          <w:tcPr>
            <w:tcW w:w="3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340" w:type="dxa"/>
            <w:vAlign w:val="bottom"/>
            <w:tcBorders>
              <w:bottom w:val="single" w:sz="8" w:color="CCECFF"/>
            </w:tcBorders>
            <w:shd w:val="clear" w:color="auto" w:fill="CCECFF"/>
          </w:tcPr>
          <w:p>
            <w:pPr>
              <w:spacing w:after="0"/>
              <w:rPr>
                <w:sz w:val="24"/>
                <w:szCs w:val="24"/>
                <w:color w:val="auto"/>
              </w:rPr>
            </w:pPr>
          </w:p>
        </w:tc>
        <w:tc>
          <w:tcPr>
            <w:tcW w:w="14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EQUITY INVESTEES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10, 2021, the Company and WindHQ LLC (“WindHQ”) signed a binding definitive framework agreement with respect to the construction, buildout, deployment and operation of one or more data centers (“Data Centers”) in the United States (the “WindHQ Joint Venture Agreement”). 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and the Company will each own 51% and 49%, respectively, of the initial membership interests of each Initial Data Center LLC.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WindHQ Joint Venture Agreement includes a development schedule for additional electrical power capacity through the joint identification, procurement, development and operation of additional Data Centers (“Future Data Centers”). Each Future Data Center will be owned by a separate limited liability company (each, a “Future Data Center LLC”, and collectively with the Initial Data Center LLCs, the “Data Center LLCs”), and the Company and WindHQ, or respective affiliates of the Company or WindHQ, shall become a member of each Data Center LLC by entering into a limited liability company agreement for each such Data Center LLC (“LLC Agreement”). WindHQ will own at least 51% of the initial membership interests of each Data Center LLC and the Company will own a maximum of 49% of the initial membership interests of each Data Center LLC. Furthermore, under the WindHQ Joint Venture Agreement, WindHQ is required to procure energy for Future Data Centers at the most favorable pricing then available. Similarly, the Company is required to procure the applicable equipment needed for the Future Data Centers at the most favorable pricing then available.</w:t>
      </w:r>
    </w:p>
    <w:p>
      <w:pPr>
        <w:spacing w:after="0" w:line="16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Under the WindHQ Joint Venture Agreement, WindHQ agrees to provide a series of services to each of the Data Centers, including but not limited to: (i) the design and engineering of each of the Data Centers; (ii) the procurement of energy equipment and other related services such as logistics for each of the Data Centers; and (iii) the construction work for each of the Data Centers. Furthermore, the Company is required to support and monitor (remotely) the operations of the hardware at each Data Center (particularly the mining servers) as required under the WindHQ Joint Venture Agreement.</w:t>
      </w:r>
    </w:p>
    <w:p>
      <w:pPr>
        <w:spacing w:after="0" w:line="14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 development fee equal to 2% of capital expenditures in respect of the initial development of each Data Center shall be paid 50% to WindHQ and 50% to the Company. Furthermore, a fee equal to 2% of the gross revenues of each of the Data Center LLCs will be payable monthly, based on the immediately prior month gross revenue of such Data Center, 50% to WindHQ and 50% to the Company.</w:t>
      </w:r>
    </w:p>
    <w:p>
      <w:pPr>
        <w:spacing w:after="0" w:line="1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For each Data Center, WindHQ and the Company will cooperate to prepare a financial model incorporating the relevant economic factors of each Data Center, and both WindHQ and the Company will provide the initial funding required for each Data Center on a pro rata basis in accordance with the parties’ respective ownership interests in the applicable Data Center LLC.</w:t>
      </w:r>
    </w:p>
    <w:p>
      <w:pPr>
        <w:spacing w:after="0" w:line="15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 the absence of any material breaches by either party, the WindHQ Joint Venture Agreement may only be terminated by mutual written consent of both parties.</w:t>
      </w:r>
    </w:p>
    <w:p>
      <w:pPr>
        <w:spacing w:after="0" w:line="12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Currently, the Company’s investment in the individual Data Center LLCs does not meet the definition of a variable interest entity in accordance with ASC 810, and the Company does not have a controlling voting interest in any of the Data Center LLCs. The Company does have significant influence over the operations and major decisions of the Data Center LLCs, therefore, the Company’s 49% ownership in each individual Data Center LLC is separately accounted for under the equity method of accounting, as the Company does not expect to exercise control over the Data Center LLCs.</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January 28, 2022, in connection with the WindHQ Joint Venture Agreement, CMTI and Alborz Interests DC LLC (a subsidiary of WindHQ), as members, entered into the Amended and Restated Limited Liability Company Agreement of Alborz LLC (the “Alborz LLC Agreement”). On May 16, 2022, in connection with the WindHQ Joint Venture Agreement, CMTI and Bear Interests DC LLC (a subsidiary of WindHQ), as members, entered into the Amended and Restated Limited Liability Company Agreement of Bear LLC (the “Bear LLC Agreement”). Effective October 7, 2022, in connection with the WindHQ Joint Venture Agreement, CMTI and Chief Interests DC LLC (a subsidiary of WindHQ), as members, entered into the Limited Liability Company Agreement of Chief Mountain LLC (the “Chief LLC Agreement”). The Alborz, Bear and Chief LLC Agreements delineate the rights and obligations of the members related to the construction, operation and management, respectively, of the Alborz, Bear and Chief Facilities. The Company is required to support and monitor (remotely) the operations of the hardware at the three facilities (particularly the mining servers) under the WindHQ Joint Venture Agreement.</w:t>
      </w:r>
    </w:p>
    <w:p>
      <w:pPr>
        <w:spacing w:after="0" w:line="15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the Data Center LLCs. The Company recognized a total of $2.5 million, and $37.0 million of equity in the net losses of its equity investees, consisting of Alborz LLC, Bear LLC and Chief LLC, in the consolidated statement of operations during the years ended December 31, 2023 and 2022, respectively.</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had contributed equipment with a total cost of $127.8 million related to its contributions of 12,953, 3,254, and 3,254 miners and other mining equipment to the Alborz, Bear, and Chief Facilities, respectively. The majority of the contributed miners had a fair value that was lower than the cost paid by the Company to obtain them, and the Company recognized losses at the time of the contributions, which totaled $33.4 million for the year ended December 31, 2022. These losses were recorded within equity in losses of equity investees on the consolidated statement of operations and represent basis differences related to the Company’s investments in Alborz LLC, Bear LLC and Chief LLC which recorded the contribution of the equipment from the Company at the historical cost paid by the Company to obtain the equipment. As Alborz LLC, Bear LLC, and Chief LLC depreciate the historical cost of the miners on their respective financial statements over the expected depreciation period of five years, the Company will accrete these basis differences over the same period and will record the accretion amount for each reporting period within equity in losses of equity investees on its consolidated statements of operations until the miners are fully depreciated and the corresponding basis differences are fully accreted. As of December 31, 2023 and 2022, the Company had remaining basis differences totaling $24.7 million and $31.4 million, respectively, that have not yet been accreted. See accretion recorded by the Company during the year ended December 31, 2023 in the table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investment in equity investees during the years ended December 31, 2023 and 2022 consisted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94,380</w:t>
            </w:r>
          </w:p>
        </w:tc>
        <w:tc>
          <w:tcPr>
            <w:tcW w:w="100" w:type="dxa"/>
            <w:vAlign w:val="bottom"/>
          </w:tcPr>
          <w:p>
            <w:pPr>
              <w:spacing w:after="0"/>
              <w:rPr>
                <w:sz w:val="20"/>
                <w:szCs w:val="20"/>
                <w:color w:val="auto"/>
              </w:rPr>
            </w:pPr>
          </w:p>
        </w:tc>
      </w:tr>
      <w:tr>
        <w:trPr>
          <w:trHeight w:val="247"/>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taxes to be paid by Cipher on behalf of equity investees</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shd w:val="clear" w:color="auto" w:fill="CCEEFF"/>
          </w:tcPr>
          <w:p>
            <w:pPr>
              <w:spacing w:after="0"/>
              <w:rPr>
                <w:sz w:val="21"/>
                <w:szCs w:val="21"/>
                <w:color w:val="auto"/>
              </w:rPr>
            </w:pPr>
          </w:p>
        </w:tc>
      </w:tr>
      <w:tr>
        <w:trPr>
          <w:trHeight w:val="238"/>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r>
      <w:tr>
        <w:trPr>
          <w:trHeight w:val="247"/>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costs related to formation of joint ventures reclassified from deferred investment costs</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r>
      <w:tr>
        <w:trPr>
          <w:trHeight w:val="238"/>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(54,009 )</w:t>
            </w:r>
          </w:p>
        </w:tc>
      </w:tr>
      <w:tr>
        <w:trPr>
          <w:trHeight w:val="247"/>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(4,828 )</w:t>
            </w:r>
          </w:p>
        </w:tc>
      </w:tr>
      <w:tr>
        <w:trPr>
          <w:trHeight w:val="243"/>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(5,561 )</w:t>
            </w:r>
          </w:p>
        </w:tc>
      </w:tr>
      <w:tr>
        <w:trPr>
          <w:trHeight w:val="236"/>
        </w:trPr>
        <w:tc>
          <w:tcPr>
            <w:tcW w:w="9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2"/>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20"/>
                <w:szCs w:val="20"/>
                <w:color w:val="auto"/>
              </w:rPr>
            </w:pPr>
          </w:p>
        </w:tc>
      </w:tr>
      <w:tr>
        <w:trPr>
          <w:trHeight w:val="247"/>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shd w:val="clear" w:color="auto" w:fill="CCEEFF"/>
          </w:tcPr>
          <w:p>
            <w:pPr>
              <w:spacing w:after="0"/>
              <w:rPr>
                <w:sz w:val="21"/>
                <w:szCs w:val="21"/>
                <w:color w:val="auto"/>
              </w:rPr>
            </w:pPr>
          </w:p>
        </w:tc>
      </w:tr>
      <w:tr>
        <w:trPr>
          <w:trHeight w:val="238"/>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(3,808 )</w:t>
            </w:r>
          </w:p>
        </w:tc>
      </w:tr>
      <w:tr>
        <w:trPr>
          <w:trHeight w:val="247"/>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r>
      <w:tr>
        <w:trPr>
          <w:trHeight w:val="243"/>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(9,213 )</w:t>
            </w:r>
          </w:p>
        </w:tc>
      </w:tr>
      <w:tr>
        <w:trPr>
          <w:trHeight w:val="276"/>
        </w:trPr>
        <w:tc>
          <w:tcPr>
            <w:tcW w:w="9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30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5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Accumulated Amortization</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00" w:type="dxa"/>
            <w:vAlign w:val="bottom"/>
          </w:tcPr>
          <w:p>
            <w:pPr>
              <w:spacing w:after="0"/>
              <w:rPr>
                <w:sz w:val="20"/>
                <w:szCs w:val="20"/>
                <w:color w:val="auto"/>
              </w:rPr>
            </w:pPr>
          </w:p>
        </w:tc>
      </w:tr>
      <w:tr>
        <w:trPr>
          <w:trHeight w:val="238"/>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500" w:type="dxa"/>
            <w:vAlign w:val="bottom"/>
            <w:gridSpan w:val="3"/>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4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shd w:val="clear" w:color="auto" w:fill="CCECFF"/>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0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80" w:type="dxa"/>
            <w:vAlign w:val="bottom"/>
            <w:gridSpan w:val="2"/>
            <w:shd w:val="clear" w:color="auto" w:fill="CCECFF"/>
          </w:tcPr>
          <w:p>
            <w:pPr>
              <w:spacing w:after="0"/>
              <w:rPr>
                <w:sz w:val="22"/>
                <w:szCs w:val="22"/>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4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shd w:val="clear" w:color="auto" w:fill="CCECFF"/>
          </w:tcPr>
          <w:p>
            <w:pPr>
              <w:spacing w:after="0"/>
              <w:rPr>
                <w:sz w:val="22"/>
                <w:szCs w:val="22"/>
                <w:color w:val="auto"/>
              </w:rPr>
            </w:pPr>
          </w:p>
        </w:tc>
      </w:tr>
      <w:tr>
        <w:trPr>
          <w:trHeight w:val="20"/>
        </w:trPr>
        <w:tc>
          <w:tcPr>
            <w:tcW w:w="308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3080" w:type="dxa"/>
            <w:vAlign w:val="bottom"/>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00" w:type="dxa"/>
            <w:vAlign w:val="bottom"/>
          </w:tcPr>
          <w:p>
            <w:pPr>
              <w:spacing w:after="0"/>
              <w:rPr>
                <w:sz w:val="20"/>
                <w:szCs w:val="20"/>
                <w:color w:val="auto"/>
              </w:rPr>
            </w:pPr>
          </w:p>
        </w:tc>
      </w:tr>
      <w:tr>
        <w:trPr>
          <w:trHeight w:val="238"/>
        </w:trPr>
        <w:tc>
          <w:tcPr>
            <w:tcW w:w="30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200" w:type="dxa"/>
            <w:vAlign w:val="bottom"/>
            <w:tcBorders>
              <w:bottom w:val="single" w:sz="8" w:color="auto"/>
            </w:tcBorders>
            <w:shd w:val="clear" w:color="auto" w:fill="CCECFF"/>
          </w:tcPr>
          <w:p>
            <w:pPr>
              <w:jc w:val="right"/>
              <w:ind w:right="2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2520" w:type="dxa"/>
            <w:vAlign w:val="bottom"/>
            <w:tcBorders>
              <w:bottom w:val="single" w:sz="8" w:color="auto"/>
            </w:tcBorders>
            <w:shd w:val="clear" w:color="auto" w:fill="CCECFF"/>
          </w:tcPr>
          <w:p>
            <w:pPr>
              <w:jc w:val="right"/>
              <w:ind w:right="23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CFF"/>
            </w:tcBorders>
            <w:gridSpan w:val="2"/>
            <w:shd w:val="clear" w:color="auto" w:fill="CCECFF"/>
          </w:tcPr>
          <w:p>
            <w:pPr>
              <w:spacing w:after="0"/>
              <w:rPr>
                <w:sz w:val="20"/>
                <w:szCs w:val="20"/>
                <w:color w:val="auto"/>
              </w:rPr>
            </w:pPr>
          </w:p>
        </w:tc>
        <w:tc>
          <w:tcPr>
            <w:tcW w:w="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3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Borders>
              <w:bottom w:val="single" w:sz="8" w:color="auto"/>
            </w:tcBorders>
          </w:tcPr>
          <w:p>
            <w:pPr>
              <w:jc w:val="right"/>
              <w:ind w:right="23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30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F-27</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6"/>
        </w:trPr>
        <w:tc>
          <w:tcPr>
            <w:tcW w:w="30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-1223645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-1223645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 expects to record amortization expense as follows over the next five subsequent years: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660" w:type="dxa"/>
            <w:vAlign w:val="bottom"/>
          </w:tcPr>
          <w:p>
            <w:pPr>
              <w:spacing w:after="0"/>
              <w:rPr>
                <w:sz w:val="21"/>
                <w:szCs w:val="21"/>
                <w:color w:val="auto"/>
              </w:rPr>
            </w:pPr>
          </w:p>
        </w:tc>
        <w:tc>
          <w:tcPr>
            <w:tcW w:w="4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60" w:type="dxa"/>
            <w:vAlign w:val="bottom"/>
          </w:tcPr>
          <w:p>
            <w:pPr>
              <w:spacing w:after="0"/>
              <w:rPr>
                <w:sz w:val="21"/>
                <w:szCs w:val="21"/>
                <w:color w:val="auto"/>
              </w:rPr>
            </w:pPr>
          </w:p>
        </w:tc>
        <w:tc>
          <w:tcPr>
            <w:tcW w:w="4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60" w:type="dxa"/>
            <w:vAlign w:val="bottom"/>
          </w:tcPr>
          <w:p>
            <w:pPr>
              <w:spacing w:after="0"/>
              <w:rPr>
                <w:sz w:val="21"/>
                <w:szCs w:val="21"/>
                <w:color w:val="auto"/>
              </w:rPr>
            </w:pPr>
          </w:p>
        </w:tc>
        <w:tc>
          <w:tcPr>
            <w:tcW w:w="4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180" w:type="dxa"/>
            <w:vAlign w:val="bottom"/>
          </w:tcPr>
          <w:p>
            <w:pPr>
              <w:spacing w:after="0"/>
              <w:rPr>
                <w:sz w:val="24"/>
                <w:szCs w:val="24"/>
                <w:color w:val="auto"/>
              </w:rPr>
            </w:pPr>
          </w:p>
        </w:tc>
        <w:tc>
          <w:tcPr>
            <w:tcW w:w="16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Luminant Power Purchase Agreement collateral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3,063</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security deposits</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security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23,855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Under the Luminant Power Agreement (defined above in Note 4, </w:t>
      </w:r>
      <w:r>
        <w:rPr>
          <w:rFonts w:ascii="Times New Roman" w:cs="Times New Roman" w:eastAsia="Times New Roman" w:hAnsi="Times New Roman"/>
          <w:sz w:val="18"/>
          <w:szCs w:val="18"/>
          <w:i w:val="1"/>
          <w:iCs w:val="1"/>
          <w:color w:val="auto"/>
        </w:rPr>
        <w:t>Derivative Asset</w:t>
      </w:r>
      <w:r>
        <w:rPr>
          <w:rFonts w:ascii="Times New Roman" w:cs="Times New Roman" w:eastAsia="Times New Roman" w:hAnsi="Times New Roman"/>
          <w:sz w:val="18"/>
          <w:szCs w:val="18"/>
          <w:color w:val="auto"/>
        </w:rPr>
        <w:t>), the Company was required to provide Luminant with collateral of approximately $12.6 million (the “Independent Collateral Amount”). Half, or approximately $6.3 million, of the Independent Collateral Amount was paid to Luminant on September 1, 2021 and the other half was paid on November 14, 2022.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Purchase and Sale Agreement dated June 28, 2021, with amendment and restatement on July 9, 2021 (as amended and restated, the “Luminant Purchase and Sale Agreement”) with another Luminant affiliate. Under the Luminant Purchase and Sale Agreement, the Company provided approximately $3.1 million as collateral separate from the Independent Collateral Amount, which is also recorded in security deposits as of December 31, 2023 and 2022.</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2023, as associated with the Company’s buildout of the Black Pearl Facility, the Company entered into an agreement with Oncor Electric Delivery Company LLC (“Oncor”) to construct infrastructure to energize the data center (the “Facility Extension Agreement”). As part of the agreement, the Company was required to provide a security deposit of $6.3 million to be returned to the Company if the Black Pearl Facility uses 135 MW by May 15,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18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As of December 31, 2023 and 2022, the Company had $3.7 million and $7.3 million, respectively, of prepaid expenses and other current assets on its consolidated balance sheet, which was almost entirely related to prepaid insurance in both periods, other than $1.2 million of bitcoin temporarily held for the Company’s joint venture partner, WindHQ, as of December 31,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9"/>
                <w:szCs w:val="19"/>
                <w:color w:val="auto"/>
              </w:rPr>
            </w:pPr>
          </w:p>
        </w:tc>
      </w:tr>
      <w:tr>
        <w:trPr>
          <w:trHeight w:val="243"/>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6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100" w:type="dxa"/>
            <w:vAlign w:val="bottom"/>
            <w:shd w:val="clear" w:color="auto" w:fill="CCECFF"/>
          </w:tcPr>
          <w:p>
            <w:pPr>
              <w:spacing w:after="0"/>
              <w:rPr>
                <w:sz w:val="21"/>
                <w:szCs w:val="21"/>
                <w:color w:val="auto"/>
              </w:rPr>
            </w:pPr>
          </w:p>
        </w:tc>
      </w:t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8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4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43"/>
        </w:trPr>
        <w:tc>
          <w:tcPr>
            <w:tcW w:w="72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Finance lease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r>
      <w:tr>
        <w:trPr>
          <w:trHeight w:val="243"/>
        </w:trPr>
        <w:tc>
          <w:tcPr>
            <w:tcW w:w="720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Legal settlement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r>
      <w:tr>
        <w:trPr>
          <w:trHeight w:val="276"/>
        </w:trPr>
        <w:tc>
          <w:tcPr>
            <w:tcW w:w="72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44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-24765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9"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u w:val="single" w:color="auto"/>
          <w:color w:val="auto"/>
        </w:rPr>
        <w:t>Leases</w:t>
      </w:r>
      <w:r>
        <w:rPr>
          <w:rFonts w:ascii="Times New Roman" w:cs="Times New Roman" w:eastAsia="Times New Roman" w:hAnsi="Times New Roman"/>
          <w:sz w:val="18"/>
          <w:szCs w:val="18"/>
          <w:color w:val="auto"/>
        </w:rPr>
        <w:t xml:space="preserve"> for additional information regarding the Company’s finance leases.</w:t>
      </w:r>
    </w:p>
    <w:p>
      <w:pPr>
        <w:spacing w:after="0" w:line="15"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regarding the legal settlement.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202"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$0.2 million and $1.1 million, as of December 31, 2023 and 2022, respectively, representing additional expenses paid on behalf of the Data Center LLCs.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Lock-up and Board Observer Agreements</w:t>
      </w:r>
    </w:p>
    <w:p>
      <w:pPr>
        <w:spacing w:after="0" w:line="18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On April 8, 2022, the Company entered into a waiver agreement with Bitfury Top HoldCo (the “Waiver Agreement”), pursuant to which the Company waived certain restrictions on transfer of Common Stock under (a) that certain Lock-up Agreement, dated as of August 26, 2021, by and between GWAC and Bitfury Top HoldCo and (b) those certain Lock-up Agreements, dated August 26, 2021, by and between GWAC and each of (i) I-B Goodworks, LLC,</w:t>
      </w:r>
    </w:p>
    <w:p>
      <w:pPr>
        <w:spacing w:after="0" w:line="1" w:lineRule="exact"/>
        <w:rPr>
          <w:sz w:val="20"/>
          <w:szCs w:val="20"/>
          <w:color w:val="auto"/>
        </w:rPr>
      </w:pPr>
    </w:p>
    <w:p>
      <w:pPr>
        <w:ind w:right="440" w:firstLine="8"/>
        <w:spacing w:after="0" w:line="255"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w:t>
      </w:r>
    </w:p>
    <w:p>
      <w:pPr>
        <w:spacing w:after="0" w:line="158"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Waiver Agreement was negotiated and approved by an independent committee of the Board. The Waiver Agreement permits each Stockholder to (i) pledge or otherwise hypothecate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such waiver will only apply and be effective if certain conditions specified in the Waiver Agreement are satisfied or waived. Additionally, effective as of the date of consummation of any pledge or hypothecation, and solely in regard to any pledged shares, the Lock-up Period, as defined in the applicable Lock-up Agreement, was extended an additional three months to November 26, 2023. Furthermore, the Waiver Agreement provided for the cancellation of 2,890,173 shares of Common Stock held by Bitfury Top HoldCo and subject to the Lock-up Agreements as consideration for the $10.0 million deposit paid by the Company for Bitfury Top HoldCo mining rigs under the agreement dated October 11, 2021, for which no order confirmation was made.</w:t>
      </w:r>
    </w:p>
    <w:p>
      <w:pPr>
        <w:spacing w:after="0" w:line="15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On April 8, 2022, the Company also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August 26, 2021, Bitfury Top HoldCo and the Company entered into the Master Services and Supply Agreement. The initial term of the agreement is 84 months, with automatic </w:t>
      </w:r>
      <w:r>
        <w:rPr>
          <w:rFonts w:ascii="Times New Roman" w:cs="Times New Roman" w:eastAsia="Times New Roman" w:hAnsi="Times New Roman"/>
          <w:sz w:val="18"/>
          <w:szCs w:val="18"/>
          <w:color w:val="231F20"/>
        </w:rPr>
        <w:t>12-month renewals thereafter (unless either party provides sufficient notice of non-renewal). Pursuant to this agreement,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Company can request and Bitfury Top HoldCo is required to use commercially reasonable efforts to provide, or procure the provision of, certain equipment and/or services, such as construction, engineering and operations, in each case as may be required to launch and maintain the Company’s </w:t>
      </w:r>
      <w:r>
        <w:rPr>
          <w:rFonts w:ascii="Times New Roman" w:cs="Times New Roman" w:eastAsia="Times New Roman" w:hAnsi="Times New Roman"/>
          <w:sz w:val="18"/>
          <w:szCs w:val="18"/>
          <w:color w:val="000000"/>
        </w:rPr>
        <w:t>bitcoin</w:t>
      </w:r>
      <w:r>
        <w:rPr>
          <w:rFonts w:ascii="Times New Roman" w:cs="Times New Roman" w:eastAsia="Times New Roman" w:hAnsi="Times New Roman"/>
          <w:sz w:val="18"/>
          <w:szCs w:val="18"/>
          <w:color w:val="231F20"/>
        </w:rPr>
        <w:t xml:space="preserve"> mining data centers in the United States. </w:t>
      </w:r>
      <w:r>
        <w:rPr>
          <w:rFonts w:ascii="Times New Roman" w:cs="Times New Roman" w:eastAsia="Times New Roman" w:hAnsi="Times New Roman"/>
          <w:sz w:val="18"/>
          <w:szCs w:val="18"/>
          <w:color w:val="000000"/>
        </w:rPr>
        <w:t>As further described in Note 20,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Subsequent Events</w:t>
      </w:r>
      <w:r>
        <w:rPr>
          <w:rFonts w:ascii="Times New Roman" w:cs="Times New Roman" w:eastAsia="Times New Roman" w:hAnsi="Times New Roman"/>
          <w:sz w:val="18"/>
          <w:szCs w:val="18"/>
          <w:color w:val="000000"/>
        </w:rPr>
        <w:t>, the Company and Bitfury Top HoldCo terminated the Master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Services and Supply Agreement on February 28, 2024 for which no order confirmation was made.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18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Company entered into two agreements with Bitfury USA Inc. (“Bitfury USA”), made under, and as a part of, the Master Services and Supply Agreement to purchase BBACs. Additionally, Bitfury USA contracted with third-party vendors for the purchase of equipment and the receipt of services related to Cipher’s future mining operations.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Pursuant to one of these arrangements between Bitfury USA and a third-party vendor, Paradigm Controls of Texas, LLC (“Paradigm”), the Company made payments directly to Paradigm in place of Bitfury USA, in respect of manufacturing services for BBACs, totaling approximately $5.8 million during the year ended December 31, 2023, and the Company’s obligations to Bitfury USA under the Master Services and Supply Agreement were reduced by the same amount. As of December 31, 2023, there were no remaining amounts due under the Master Services and Supply Agreement, and the agreement was terminated on February 28, 2024. Refer to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details on the termination.</w:t>
      </w:r>
    </w:p>
    <w:p>
      <w:pPr>
        <w:spacing w:after="0" w:line="15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As of December 31, 2022, in relation to the Company assisting WindHQ with the liquidation of some of WindHQ’s bitcoin holdings, the Company had approximately $1.2 million of bitcoin and approximately $0.3 million of proceeds received, but not yet transferred to WindHQ, respectively, recorded in accounts payable, related party on its consolidated balance sheet. During the year ended December 31, 2023, all of the bitcoin held by the Company on behalf of WindHQ was liquidated and all proceeds received from the liquidation were forwarded to WindHQ, leaving no remaining amount payable to WindHQ in accounts payable, related party as of December 31, 2023 on the Company’s consolidated balance sheet.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ASSET RETIREMENT OBLIGATION</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Company’s ARO (in thousands):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estimate of ARO liability</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00" w:type="dxa"/>
            <w:vAlign w:val="bottom"/>
          </w:tcPr>
          <w:p>
            <w:pPr>
              <w:spacing w:after="0"/>
              <w:rPr>
                <w:sz w:val="20"/>
                <w:szCs w:val="20"/>
                <w:color w:val="auto"/>
              </w:rPr>
            </w:pPr>
          </w:p>
        </w:tc>
      </w:tr>
      <w:tr>
        <w:trPr>
          <w:trHeight w:val="247"/>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00" w:type="dxa"/>
            <w:vAlign w:val="bottom"/>
          </w:tcPr>
          <w:p>
            <w:pPr>
              <w:spacing w:after="0"/>
              <w:rPr>
                <w:sz w:val="20"/>
                <w:szCs w:val="20"/>
                <w:color w:val="auto"/>
              </w:rPr>
            </w:pPr>
          </w:p>
        </w:tc>
      </w:tr>
      <w:tr>
        <w:trPr>
          <w:trHeight w:val="236"/>
        </w:trPr>
        <w:tc>
          <w:tcPr>
            <w:tcW w:w="9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100" w:type="dxa"/>
            <w:vAlign w:val="bottom"/>
          </w:tcPr>
          <w:p>
            <w:pPr>
              <w:spacing w:after="0"/>
              <w:rPr>
                <w:sz w:val="20"/>
                <w:szCs w:val="20"/>
                <w:color w:val="auto"/>
              </w:rPr>
            </w:pPr>
          </w:p>
        </w:tc>
      </w:tr>
      <w:tr>
        <w:trPr>
          <w:trHeight w:val="20"/>
        </w:trPr>
        <w:tc>
          <w:tcPr>
            <w:tcW w:w="9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Luminant Lease Agreement</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4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Company’s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$15.0 million).</w:t>
      </w:r>
    </w:p>
    <w:p>
      <w:pPr>
        <w:spacing w:after="0" w:line="15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At the end of the lease term for the Interconnection Electrical Facilities, the substation will be sold back to Luminant’s affiliate, Vistra Operations Company, LLC at a price to be determined based upon bids obtained in the secondary market.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Pearl Lease Agreement</w:t>
      </w:r>
    </w:p>
    <w:p>
      <w:pPr>
        <w:spacing w:after="0" w:line="20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and its wholly-owned subsidiary, Cipher Black Pearl LLC (“Black Pearl”), entered into an agreement with Trinity Mining Group, Inc. (“Trinity”) on December 8, 2023 to assume a lease for a 70 acre plot of land in Winkler County, Texas, for the purpose of constructing a data center, and ancillary infrastructure to construct the Black Pearl Facility. The initial term of the lease is ten years, and includes four consecutive renewal options for ten years each.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headquarters lease</w:t>
      </w:r>
    </w:p>
    <w:p>
      <w:pPr>
        <w:spacing w:after="0" w:line="18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entered into an operating lease for office space located in New York. The lease has an initial term of 64 months, commencing on February 1, 2022. The lease does not provide the Company with renewal options.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1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21"/>
                <w:szCs w:val="21"/>
                <w:color w:val="auto"/>
              </w:rPr>
            </w:pPr>
          </w:p>
        </w:tc>
      </w:tr>
      <w:tr>
        <w:trPr>
          <w:trHeight w:val="24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6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43"/>
        </w:trPr>
        <w:tc>
          <w:tcPr>
            <w:tcW w:w="7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4"/>
                <w:szCs w:val="24"/>
                <w:color w:val="auto"/>
                <w:vertAlign w:val="superscript"/>
              </w:rPr>
              <w:t>(1)</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1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1"/>
                <w:szCs w:val="21"/>
                <w:color w:val="auto"/>
              </w:rPr>
            </w:pPr>
          </w:p>
        </w:tc>
      </w:tr>
      <w:tr>
        <w:trPr>
          <w:trHeight w:val="243"/>
        </w:trPr>
        <w:tc>
          <w:tcPr>
            <w:tcW w:w="7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06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46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r>
      <w:tr>
        <w:trPr>
          <w:trHeight w:val="247"/>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6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0"/>
                <w:szCs w:val="20"/>
                <w:color w:val="auto"/>
              </w:rPr>
            </w:pPr>
          </w:p>
        </w:tc>
      </w:tr>
      <w:tr>
        <w:trPr>
          <w:trHeight w:val="247"/>
        </w:trPr>
        <w:tc>
          <w:tcPr>
            <w:tcW w:w="7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4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0"/>
                <w:szCs w:val="20"/>
                <w:color w:val="auto"/>
              </w:rPr>
            </w:pPr>
          </w:p>
        </w:tc>
      </w:tr>
      <w:tr>
        <w:trPr>
          <w:trHeight w:val="276"/>
        </w:trPr>
        <w:tc>
          <w:tcPr>
            <w:tcW w:w="71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1060" w:type="dxa"/>
            <w:vAlign w:val="bottom"/>
            <w:tcBorders>
              <w:bottom w:val="single" w:sz="8" w:color="auto"/>
            </w:tcBorders>
            <w:shd w:val="clear" w:color="auto" w:fill="CCEC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460" w:type="dxa"/>
            <w:vAlign w:val="bottom"/>
            <w:tcBorders>
              <w:bottom w:val="single" w:sz="8" w:color="CCECFF"/>
            </w:tcBorders>
            <w:shd w:val="clear" w:color="auto" w:fill="CCECFF"/>
          </w:tcPr>
          <w:p>
            <w:pPr>
              <w:spacing w:after="0"/>
              <w:rPr>
                <w:sz w:val="24"/>
                <w:szCs w:val="24"/>
                <w:color w:val="auto"/>
              </w:rPr>
            </w:pPr>
          </w:p>
        </w:tc>
        <w:tc>
          <w:tcPr>
            <w:tcW w:w="680" w:type="dxa"/>
            <w:vAlign w:val="bottom"/>
            <w:tcBorders>
              <w:bottom w:val="single" w:sz="8" w:color="auto"/>
            </w:tcBorders>
            <w:shd w:val="clear" w:color="auto" w:fill="CCEC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-975360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-350520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line="205" w:lineRule="auto"/>
        <w:tabs>
          <w:tab w:leader="none" w:pos="38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Amortization of finance lease ROU asset is included within depreciation expense.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9"/>
                <w:szCs w:val="19"/>
                <w:color w:val="auto"/>
              </w:rPr>
            </w:pPr>
          </w:p>
        </w:tc>
      </w:tr>
      <w:tr>
        <w:trPr>
          <w:trHeight w:val="243"/>
        </w:trPr>
        <w:tc>
          <w:tcPr>
            <w:tcW w:w="5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2980" w:type="dxa"/>
            <w:vAlign w:val="bottom"/>
            <w:gridSpan w:val="2"/>
            <w:shd w:val="clear" w:color="auto" w:fill="CCEC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140" w:type="dxa"/>
            <w:vAlign w:val="bottom"/>
            <w:gridSpan w:val="2"/>
            <w:shd w:val="clear" w:color="auto" w:fill="CCEC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CFF"/>
          </w:tcPr>
          <w:p>
            <w:pPr>
              <w:spacing w:after="0"/>
              <w:rPr>
                <w:sz w:val="21"/>
                <w:szCs w:val="21"/>
                <w:color w:val="auto"/>
              </w:rPr>
            </w:pP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obtained in exchange for finance lease liabilities</w:t>
            </w:r>
          </w:p>
        </w:tc>
        <w:tc>
          <w:tcPr>
            <w:tcW w:w="2980" w:type="dxa"/>
            <w:vAlign w:val="bottom"/>
            <w:gridSpan w:val="2"/>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Pr>
          <w:p>
            <w:pPr>
              <w:spacing w:after="0"/>
              <w:rPr>
                <w:sz w:val="20"/>
                <w:szCs w:val="20"/>
                <w:color w:val="auto"/>
              </w:rPr>
            </w:pPr>
          </w:p>
        </w:tc>
      </w:tr>
      <w:tr>
        <w:trPr>
          <w:trHeight w:val="247"/>
        </w:trPr>
        <w:tc>
          <w:tcPr>
            <w:tcW w:w="5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980" w:type="dxa"/>
            <w:vAlign w:val="bottom"/>
            <w:gridSpan w:val="2"/>
            <w:shd w:val="clear" w:color="auto" w:fill="CCEC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140" w:type="dxa"/>
            <w:vAlign w:val="bottom"/>
            <w:gridSpan w:val="2"/>
            <w:shd w:val="clear" w:color="auto" w:fill="CCEC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shd w:val="clear" w:color="auto" w:fill="CCECFF"/>
          </w:tcPr>
          <w:p>
            <w:pPr>
              <w:spacing w:after="0"/>
              <w:rPr>
                <w:sz w:val="21"/>
                <w:szCs w:val="21"/>
                <w:color w:val="auto"/>
              </w:rPr>
            </w:pPr>
          </w:p>
        </w:tc>
      </w:tr>
      <w:tr>
        <w:trPr>
          <w:trHeight w:val="755"/>
        </w:trPr>
        <w:tc>
          <w:tcPr>
            <w:tcW w:w="5260" w:type="dxa"/>
            <w:vAlign w:val="bottom"/>
          </w:tcPr>
          <w:p>
            <w:pPr>
              <w:spacing w:after="0"/>
              <w:rPr>
                <w:sz w:val="24"/>
                <w:szCs w:val="24"/>
                <w:color w:val="auto"/>
              </w:rPr>
            </w:pPr>
          </w:p>
        </w:tc>
        <w:tc>
          <w:tcPr>
            <w:tcW w:w="2980" w:type="dxa"/>
            <w:vAlign w:val="bottom"/>
            <w:gridSpan w:val="2"/>
          </w:tcPr>
          <w:p>
            <w:pPr>
              <w:jc w:val="right"/>
              <w:ind w:right="2359"/>
              <w:spacing w:after="0"/>
              <w:rPr>
                <w:sz w:val="20"/>
                <w:szCs w:val="20"/>
                <w:color w:val="auto"/>
              </w:rPr>
            </w:pPr>
            <w:r>
              <w:rPr>
                <w:rFonts w:ascii="Times New Roman" w:cs="Times New Roman" w:eastAsia="Times New Roman" w:hAnsi="Times New Roman"/>
                <w:sz w:val="18"/>
                <w:szCs w:val="18"/>
                <w:color w:val="auto"/>
              </w:rPr>
              <w:t>F-31</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6"/>
        </w:trPr>
        <w:tc>
          <w:tcPr>
            <w:tcW w:w="52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0" w:name="page131"/>
    <w:bookmarkEnd w:id="13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9"/>
                <w:szCs w:val="19"/>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4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160" w:type="dxa"/>
            <w:vAlign w:val="bottom"/>
            <w:tcBorders>
              <w:top w:val="single" w:sz="8" w:color="auto"/>
            </w:tcBorders>
            <w:shd w:val="clear" w:color="auto" w:fill="CCECFF"/>
          </w:tcPr>
          <w:p>
            <w:pPr>
              <w:spacing w:after="0"/>
              <w:rPr>
                <w:sz w:val="21"/>
                <w:szCs w:val="21"/>
                <w:color w:val="auto"/>
              </w:rPr>
            </w:pPr>
          </w:p>
        </w:tc>
        <w:tc>
          <w:tcPr>
            <w:tcW w:w="1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spacing w:after="0"/>
              <w:rPr>
                <w:sz w:val="21"/>
                <w:szCs w:val="21"/>
                <w:color w:val="auto"/>
              </w:rPr>
            </w:pPr>
          </w:p>
        </w:tc>
        <w:tc>
          <w:tcPr>
            <w:tcW w:w="1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60" w:type="dxa"/>
            <w:vAlign w:val="bottom"/>
          </w:tcPr>
          <w:p>
            <w:pPr>
              <w:spacing w:after="0"/>
              <w:rPr>
                <w:sz w:val="20"/>
                <w:szCs w:val="20"/>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11.0 %</w:t>
            </w:r>
          </w:p>
        </w:tc>
        <w:tc>
          <w:tcPr>
            <w:tcW w:w="1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60" w:type="dxa"/>
            <w:vAlign w:val="bottom"/>
          </w:tcPr>
          <w:p>
            <w:pPr>
              <w:spacing w:after="0"/>
              <w:rPr>
                <w:sz w:val="21"/>
                <w:szCs w:val="21"/>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49"/>
        </w:trPr>
        <w:tc>
          <w:tcPr>
            <w:tcW w:w="7180" w:type="dxa"/>
            <w:vAlign w:val="bottom"/>
            <w:shd w:val="clear" w:color="auto" w:fill="CCECFF"/>
          </w:tcPr>
          <w:p>
            <w:pPr>
              <w:ind w:left="20"/>
              <w:spacing w:after="0" w:line="249" w:lineRule="exact"/>
              <w:rPr>
                <w:sz w:val="20"/>
                <w:szCs w:val="20"/>
                <w:color w:val="auto"/>
              </w:rPr>
            </w:pPr>
            <w:r>
              <w:rPr>
                <w:rFonts w:ascii="Times New Roman" w:cs="Times New Roman" w:eastAsia="Times New Roman" w:hAnsi="Times New Roman"/>
                <w:sz w:val="18"/>
                <w:szCs w:val="18"/>
                <w:color w:val="auto"/>
              </w:rPr>
              <w:t xml:space="preserve">Finance lease ROU assets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46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460" w:right="300" w:hanging="452"/>
        <w:spacing w:after="0" w:line="215" w:lineRule="auto"/>
        <w:tabs>
          <w:tab w:leader="none" w:pos="371"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As of December 31, 2023, the Company recorded accumulated amortization of $1.3 million for the finance lease ROU asset. Finance lease ROU assets are recorded within property and equipment, net on the Company’s consolidated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future minimum lease payments during the next five years are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8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380" w:type="dxa"/>
            <w:vAlign w:val="bottom"/>
            <w:shd w:val="clear" w:color="auto" w:fill="CCECFF"/>
          </w:tcPr>
          <w:p>
            <w:pPr>
              <w:spacing w:after="0"/>
              <w:rPr>
                <w:sz w:val="20"/>
                <w:szCs w:val="20"/>
                <w:color w:val="auto"/>
              </w:rPr>
            </w:pPr>
          </w:p>
        </w:tc>
        <w:tc>
          <w:tcPr>
            <w:tcW w:w="520" w:type="dxa"/>
            <w:vAlign w:val="bottom"/>
            <w:tcBorders>
              <w:top w:val="single" w:sz="8" w:color="auto"/>
            </w:tcBorders>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360" w:type="dxa"/>
            <w:vAlign w:val="bottom"/>
            <w:shd w:val="clear" w:color="auto" w:fill="CCECFF"/>
          </w:tcPr>
          <w:p>
            <w:pPr>
              <w:spacing w:after="0"/>
              <w:rPr>
                <w:sz w:val="20"/>
                <w:szCs w:val="20"/>
                <w:color w:val="auto"/>
              </w:rPr>
            </w:pPr>
          </w:p>
        </w:tc>
        <w:tc>
          <w:tcPr>
            <w:tcW w:w="320" w:type="dxa"/>
            <w:vAlign w:val="bottom"/>
            <w:tcBorders>
              <w:top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CECFF"/>
          </w:tcPr>
          <w:p>
            <w:pPr>
              <w:spacing w:after="0"/>
              <w:rPr>
                <w:sz w:val="20"/>
                <w:szCs w:val="20"/>
                <w:color w:val="auto"/>
              </w:rPr>
            </w:pP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Pr>
          <w:p>
            <w:pPr>
              <w:spacing w:after="0"/>
              <w:rPr>
                <w:sz w:val="20"/>
                <w:szCs w:val="20"/>
                <w:color w:val="auto"/>
              </w:rPr>
            </w:pPr>
          </w:p>
        </w:tc>
      </w:tr>
      <w:tr>
        <w:trPr>
          <w:trHeight w:val="247"/>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6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38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3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shd w:val="clear" w:color="auto" w:fill="CCECFF"/>
          </w:tcPr>
          <w:p>
            <w:pPr>
              <w:spacing w:after="0"/>
              <w:rPr>
                <w:sz w:val="21"/>
                <w:szCs w:val="21"/>
                <w:color w:val="auto"/>
              </w:rPr>
            </w:pP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20"/>
                <w:szCs w:val="20"/>
                <w:color w:val="auto"/>
              </w:rPr>
            </w:pPr>
          </w:p>
        </w:tc>
      </w:tr>
      <w:tr>
        <w:trPr>
          <w:trHeight w:val="247"/>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6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0"/>
                <w:szCs w:val="20"/>
                <w:color w:val="auto"/>
              </w:rPr>
            </w:pPr>
          </w:p>
        </w:tc>
      </w:tr>
      <w:tr>
        <w:trPr>
          <w:trHeight w:val="247"/>
        </w:trPr>
        <w:tc>
          <w:tcPr>
            <w:tcW w:w="60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38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3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100" w:type="dxa"/>
            <w:vAlign w:val="bottom"/>
            <w:shd w:val="clear" w:color="auto" w:fill="CCECFF"/>
          </w:tcPr>
          <w:p>
            <w:pPr>
              <w:spacing w:after="0"/>
              <w:rPr>
                <w:sz w:val="21"/>
                <w:szCs w:val="21"/>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60" w:type="dxa"/>
            <w:vAlign w:val="bottom"/>
          </w:tcPr>
          <w:p>
            <w:pPr>
              <w:spacing w:after="0"/>
              <w:rPr>
                <w:sz w:val="21"/>
                <w:szCs w:val="21"/>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(3,193 )</w:t>
            </w:r>
          </w:p>
        </w:tc>
        <w:tc>
          <w:tcPr>
            <w:tcW w:w="52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(2,653 )</w:t>
            </w: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(5,846 )</w:t>
            </w:r>
          </w:p>
        </w:tc>
      </w:tr>
      <w:tr>
        <w:trPr>
          <w:trHeight w:val="276"/>
        </w:trPr>
        <w:tc>
          <w:tcPr>
            <w:tcW w:w="60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380" w:type="dxa"/>
            <w:vAlign w:val="bottom"/>
            <w:tcBorders>
              <w:bottom w:val="single" w:sz="8" w:color="CCECFF"/>
            </w:tcBorders>
            <w:shd w:val="clear" w:color="auto" w:fill="CCECFF"/>
          </w:tcPr>
          <w:p>
            <w:pPr>
              <w:spacing w:after="0"/>
              <w:rPr>
                <w:sz w:val="24"/>
                <w:szCs w:val="24"/>
                <w:color w:val="auto"/>
              </w:rPr>
            </w:pPr>
          </w:p>
        </w:tc>
        <w:tc>
          <w:tcPr>
            <w:tcW w:w="520" w:type="dxa"/>
            <w:vAlign w:val="bottom"/>
            <w:tcBorders>
              <w:top w:val="single" w:sz="8" w:color="auto"/>
              <w:bottom w:val="single" w:sz="8" w:color="auto"/>
            </w:tcBorders>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36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Power Agreement</w:t>
      </w:r>
    </w:p>
    <w:p>
      <w:pPr>
        <w:spacing w:after="0" w:line="19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On November 18, 2022, Luminant filed suit against CMTI in the 95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$5.1 million paid to CMTI in September 2022 pursuant to a contractual provision requiring such payment in the parties’ written and executed August 25, 2022 Third Amendment to the Luminant Power Agreement, and (ii) the sum of $1.7 million also paid to CMTI in September 2022, as agreed by the parties, for electrical power sold by Luminant for CMTI’s benefit into the open market prior to the final energization of the Odessa Facility. Luminant contended that such payments were mistaken because, although voluntarily made by Luminant, they were not actually due under the terms of the Luminant Power Agreement, as amended. The Company filed its answer on January 17, 2023, denying any liability to Luminant. Cipher has not received payment from Luminant for electricity sold in the ERCOT market in September 2022 and October 2022.</w:t>
      </w:r>
    </w:p>
    <w:p>
      <w:pPr>
        <w:spacing w:after="0" w:line="17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established a $2.0 million accrual for the cost of resolving the claims in the second quarter of 2023, $1.0 million of which has been paid as of December 31, 2023.</w:t>
      </w:r>
    </w:p>
    <w:p>
      <w:pPr>
        <w:spacing w:after="0" w:line="12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On July 11, 2023, the Company entered into an amendment of the payment schedule to the Luminant Purchase and Sale Agreement, reflecting monthly installments of principal and interest totaling $19.7 million on an undiscounted basis, due over the remaining four-year period starting in July 2023.</w:t>
      </w: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40" w:right="27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August 23, 2023, the Company settled the dispute with Luminant (the “Luminant Settlement”). In connection with the Luminant Settlement, the Company, through CMTI, entered into (i) a Fourth Amendment to the Power Purchase Agreement (the “Amended PPA”) with Luminant, which amended the Luminant Power Agreement and (ii) a Second Amendment to the Lease Agreement (the "Amended Lease") with an affiliate of Luminant, which amended the Luminant Lease Agreement.</w:t>
      </w:r>
    </w:p>
    <w:p>
      <w:pPr>
        <w:spacing w:after="0" w:line="15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Amended PPA, among other items, reduces the notice requirements that CMTI must satisfy in connection with changes to its energy consumption at the Odessa Facility and the Amended Lease provides that the initial term of the agreement shall end on July 31,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December 31, 2023. The Company does not anticipate recognizing any significant losses relating to these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Bitmain miner purchase agreements</w:t>
      </w:r>
    </w:p>
    <w:p>
      <w:pPr>
        <w:spacing w:after="0" w:line="18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an agreement with Bitmain to purchase 1.2 EH/s worth of Bitmain’s new HASH Super Computing Servers (Antminer S21-200.0T model) for a total purchase price $16.8 million in cash after applying coupons. On December 18, 2023, the Company entered into a second agreement with Bitmain to purchase 37,396 Antminer T21 miners to be delivered in the first half of 2025. Refer to Note 6. </w:t>
      </w:r>
      <w:r>
        <w:rPr>
          <w:rFonts w:ascii="Times New Roman" w:cs="Times New Roman" w:eastAsia="Times New Roman" w:hAnsi="Times New Roman"/>
          <w:sz w:val="18"/>
          <w:szCs w:val="18"/>
          <w:i w:val="1"/>
          <w:iCs w:val="1"/>
          <w:color w:val="auto"/>
        </w:rPr>
        <w:t>Deposits on Equipment</w:t>
      </w:r>
      <w:r>
        <w:rPr>
          <w:rFonts w:ascii="Times New Roman" w:cs="Times New Roman" w:eastAsia="Times New Roman" w:hAnsi="Times New Roman"/>
          <w:sz w:val="18"/>
          <w:szCs w:val="18"/>
          <w:color w:val="auto"/>
        </w:rPr>
        <w:t xml:space="preserve"> for more details on these agreements.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December 31, 2023, 510,000,000 shares with a par value of $0.001 per share are authorized, of which, 500,000,000 shares are designated as Common Stock and 10,000,000 shares are designated as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5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Company repurchased 1,775,327 shares and 691,088 shares of its Common Stock related to tax withholding settlements for RSUs that vested during the year ended December 31, 2023 and December 31, 2022, respectively.</w:t>
      </w:r>
    </w:p>
    <w:p>
      <w:pPr>
        <w:spacing w:after="0" w:line="12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As disclosed above in Note 6, </w:t>
      </w:r>
      <w:r>
        <w:rPr>
          <w:rFonts w:ascii="Times New Roman" w:cs="Times New Roman" w:eastAsia="Times New Roman" w:hAnsi="Times New Roman"/>
          <w:sz w:val="18"/>
          <w:szCs w:val="18"/>
          <w:i w:val="1"/>
          <w:iCs w:val="1"/>
          <w:color w:val="auto"/>
        </w:rPr>
        <w:t>Deposits on Equipment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on April 8, 2022, the Company accepted the return of 2,890,173 shares of its Common Stock held by Bitfury Top HoldCo as consideration for the $10.0 million deposit paid to Bitfury Top HoldCo for mining rigs under the agreement dated October 11, 2021. The returned shares were cancelled by the Company upon their return.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At-The-Market Offering Agreement</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The Registration Statement covers: (i) the offer and sale by the Company, from time to time in one or more offerings, securities having an aggregate public offering price of up to $500.0 million, (ii) the offer and sale from time to time by the selling securityholders identified therein of up to 23,265,565 shares of Common Stock and the offer and sale from time to time by the selling securityholders of up to 85,500 of the Company’s warrants and (iii) the offer and sale of (A) up to 8,499,978 shares of Common Stock that are issuable by the Company upon the exercise of 8,499,978 public warrants that were previously registered and (B) up to 114,000 shares of Common Stock that are issuable by the Company upon the exercise of 114,000 private placement warrants.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filing of the Registration Statement, the Company also entered into the Sales Agreement with H.C. Wainwright &amp; Co., LLC as the Agent, under which the Company may, from time to time, sell shares of its Common Stock having an aggregate offering price of up to $250.0 million in “at-the-market” offerings through the Agent, which is included in the $500.0 million of securities that may be offered pursuant to the Registration Statement. Sales of the shares of Common Stock, if any, will be made at prevailing market prices at the time of sale, or as otherwise agreed with the Agent. Pursuant to the Sales Agreement, the Company will pay the Agent a commission of up to 3.0% of the gross proceeds from the sale of any shares of Common Stock under the Sales Agreement. The Company is not obligated to make any sales of shares of its Common Stock under the Sales Agreement. As of December 31, 2023, the Company received gross proceeds on sales of 37,433,923 shares of Common Stock under the Prior Sales Agreement and the Sales Agreement of approximately $135.8 million at a weighted average price of $3.79.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WARRANTS</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The Company assumed the Public and Private Placement Warrants, as mentioned above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upon consummation of the Business Combination. The Public and Private Placement Warrants entitle the holder to purchase one share of Common Stock at an exercise price of $11.50 per share, subject to adjustment. There were 8,499,980 Public Warrants and 114,000 Private Placement Warrants outstanding as of December 31, 2023 and December 31, 2022.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Warrants are exercisable, provided in each case that the Company has an effective registration statement covering the shares of Common Stock issuable upon exercise of the Public Warrants and a current prospectus relating to such shares of Common Stock is available (or the Company permits holders to exercise their Public Warrants on a cashless basis under the circumstances specified in the warrant agreement) and such shares of Common Stock are registered, qualified or exempt from registration under the securities or blue sky laws of the state of residence of the holder. The Public Warrants will expire five years after the completion of the Business Combination or earlier upon redemption or liquidation.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outstanding warrants (except as described below with respect to the Private Placement Warrants):</w:t>
      </w:r>
    </w:p>
    <w:p>
      <w:pPr>
        <w:spacing w:after="0" w:line="184" w:lineRule="exact"/>
        <w:rPr>
          <w:sz w:val="20"/>
          <w:szCs w:val="20"/>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w:t>
      </w:r>
    </w:p>
    <w:p>
      <w:pPr>
        <w:spacing w:after="0" w:line="184" w:lineRule="exact"/>
        <w:rPr>
          <w:rFonts w:ascii="Times New Roman" w:cs="Times New Roman" w:eastAsia="Times New Roman" w:hAnsi="Times New Roman"/>
          <w:sz w:val="18"/>
          <w:szCs w:val="18"/>
          <w:color w:val="auto"/>
        </w:rPr>
      </w:pPr>
    </w:p>
    <w:p>
      <w:pPr>
        <w:ind w:left="1020" w:right="260" w:hanging="504"/>
        <w:spacing w:after="0" w:line="265"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Common Stock equals or exceeds $18.00 per share (as adjusted for share splits, stock capitalizations, reorganizations, recapitalizations and the like), for any 20 trading days within a 30-trading day period ending three trading days before the Company sends notice of redemption to warrant holders.</w:t>
      </w:r>
    </w:p>
    <w:p>
      <w:pPr>
        <w:spacing w:after="0" w:line="15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8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Private Placement Warrants have terms and provisions that are identical to the Public Warrants, except that the Private Placement Warrants and the shares of Common Stock issuable upon the exercise of the Private Placement Warrants did not become transferable, assignable or salable until September 27, 2021, subject to certain limited exceptions. Additionally, the Private Placement Warrants are exercisable for cash or on a cashless basis, at the</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holder’s option, and are non-redeemable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the holders on the same basis as the Public Warrants.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w:t>
      </w:r>
    </w:p>
    <w:p>
      <w:pPr>
        <w:spacing w:after="0" w:line="1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2023 and 2022, this resulted in increases of 7,426,559 shares and 7,478,382 shares, respectively, of Common Stock available for issuance under the Incentive Award Plan. However, as of December 31, 2023, 5,833,744 shares of Common Stock were available for issuance under the Incentive Award Plan.</w:t>
      </w:r>
    </w:p>
    <w:p>
      <w:pPr>
        <w:spacing w:after="0" w:line="159"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The Company recognized total share-based compensation in general and administrative expenses on the consolidated statements of operations for the following categories of awards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6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27,952</w:t>
            </w:r>
          </w:p>
        </w:tc>
        <w:tc>
          <w:tcPr>
            <w:tcW w:w="100" w:type="dxa"/>
            <w:vAlign w:val="bottom"/>
            <w:shd w:val="clear" w:color="auto" w:fill="CCEEFF"/>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100" w:type="dxa"/>
            <w:vAlign w:val="bottom"/>
          </w:tcPr>
          <w:p>
            <w:pPr>
              <w:spacing w:after="0"/>
              <w:rPr>
                <w:sz w:val="20"/>
                <w:szCs w:val="20"/>
                <w:color w:val="auto"/>
              </w:rPr>
            </w:pPr>
          </w:p>
        </w:tc>
      </w:tr>
      <w:tr>
        <w:trPr>
          <w:trHeight w:val="247"/>
        </w:trPr>
        <w:tc>
          <w:tcPr>
            <w:tcW w:w="6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1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38,470</w:t>
            </w:r>
          </w:p>
        </w:tc>
        <w:tc>
          <w:tcPr>
            <w:tcW w:w="11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year ended December 31, 2023 is shown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gridSpan w:val="2"/>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100" w:type="dxa"/>
            <w:vAlign w:val="bottom"/>
          </w:tcPr>
          <w:p>
            <w:pPr>
              <w:spacing w:after="0"/>
              <w:rPr>
                <w:sz w:val="17"/>
                <w:szCs w:val="17"/>
                <w:color w:val="auto"/>
              </w:rPr>
            </w:pPr>
          </w:p>
        </w:tc>
      </w:tr>
      <w:tr>
        <w:trPr>
          <w:trHeight w:val="225"/>
        </w:trPr>
        <w:tc>
          <w:tcPr>
            <w:tcW w:w="6040" w:type="dxa"/>
            <w:vAlign w:val="bottom"/>
          </w:tcPr>
          <w:p>
            <w:pPr>
              <w:spacing w:after="0"/>
              <w:rPr>
                <w:sz w:val="19"/>
                <w:szCs w:val="19"/>
                <w:color w:val="auto"/>
              </w:rPr>
            </w:pPr>
          </w:p>
        </w:tc>
        <w:tc>
          <w:tcPr>
            <w:tcW w:w="284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9"/>
                <w:szCs w:val="19"/>
                <w:color w:val="auto"/>
              </w:rPr>
            </w:pPr>
          </w:p>
        </w:tc>
        <w:tc>
          <w:tcPr>
            <w:tcW w:w="182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9"/>
                <w:szCs w:val="19"/>
                <w:color w:val="auto"/>
              </w:rPr>
            </w:pPr>
          </w:p>
        </w:tc>
      </w:tr>
      <w:tr>
        <w:trPr>
          <w:trHeight w:val="243"/>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 2023</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14,441,044</w:t>
            </w:r>
          </w:p>
        </w:tc>
        <w:tc>
          <w:tcPr>
            <w:tcW w:w="50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1"/>
                <w:szCs w:val="21"/>
                <w:color w:val="auto"/>
              </w:rPr>
            </w:pPr>
          </w:p>
        </w:tc>
      </w:tr>
      <w:tr>
        <w:trPr>
          <w:trHeight w:val="238"/>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7,549,105</w:t>
            </w:r>
          </w:p>
        </w:tc>
        <w:tc>
          <w:tcPr>
            <w:tcW w:w="500" w:type="dxa"/>
            <w:vAlign w:val="bottom"/>
          </w:tcPr>
          <w:p>
            <w:pPr>
              <w:spacing w:after="0"/>
              <w:rPr>
                <w:sz w:val="20"/>
                <w:szCs w:val="20"/>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r>
        <w:trPr>
          <w:trHeight w:val="247"/>
        </w:trPr>
        <w:tc>
          <w:tcPr>
            <w:tcW w:w="6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(4,942,907 )</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1"/>
                <w:szCs w:val="21"/>
                <w:color w:val="auto"/>
              </w:rPr>
            </w:pPr>
          </w:p>
        </w:tc>
      </w:tr>
      <w:tr>
        <w:trPr>
          <w:trHeight w:val="236"/>
        </w:trPr>
        <w:tc>
          <w:tcPr>
            <w:tcW w:w="60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17,047,242</w:t>
            </w:r>
          </w:p>
        </w:tc>
        <w:tc>
          <w:tcPr>
            <w:tcW w:w="50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tcBorders>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There was approximately $21.0 million of unrecognized compensation expense related to unvested Service-Based RSUs, which is expected to be recognized over a weighted-average vesting period of approximately 1.3 years.</w:t>
      </w:r>
    </w:p>
    <w:p>
      <w:pPr>
        <w:spacing w:after="0" w:line="1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November 10, 2021, the Board approved grants of RSUs under the Incentive Award Plan to the Company's Chief Executive Officer (“CEO”), as well as to directors, which grants were effective November 17, 2021. The RSUs awarded to the directors and a grant of 5,676,946 RSUs made to the CEO were fully vested upon grant on November 17, 2021. Additionally, effective November 17, 2021, the CEO received an additional grant of 7,096,183 RSUs, 2,838,473 of which were Service-Based RSUs and 4,257,710 of which were Performance-Based RSUs (discussed further below).</w:t>
      </w:r>
    </w:p>
    <w:p>
      <w:pPr>
        <w:spacing w:after="0" w:line="14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If not fully-vested upon grant, Service-Based RSUs awarded by the Company generally vest in equal installments on the first four anniversaries of the vesting commencement date as determined by the Board, which will generally coincide with the timing when the employee or consultant began to provide services to the Company, and which</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There was no new activity for unvested Performance-Based RSUs during the year ended December 31, 2023. There were 4,257,710 unvested Performance-Based RSUs at a weighted average grant date fair value of $7.76 as of both December 31, 2023 and 2022. There was approximately $5.2 million of unrecognized compensation expense related to unvested Performance-Based RSUs, which is expected to be recognized over a remaining weighted average vesting period of approximately 0.5 years.</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45"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8"/>
          <w:szCs w:val="18"/>
          <w:color w:val="auto"/>
        </w:rPr>
        <w:t>Weighted average assumptions used in the November 17, 2021 Monte Carlo valuation model for Performance-Based RSUs awarded on that date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500" w:type="dxa"/>
            <w:vAlign w:val="bottom"/>
            <w:shd w:val="clear" w:color="auto" w:fill="CCECFF"/>
          </w:tcPr>
          <w:p>
            <w:pPr>
              <w:jc w:val="center"/>
              <w:ind w:left="2510"/>
              <w:spacing w:after="0"/>
              <w:rPr>
                <w:sz w:val="20"/>
                <w:szCs w:val="20"/>
                <w:color w:val="auto"/>
              </w:rPr>
            </w:pPr>
            <w:r>
              <w:rPr>
                <w:rFonts w:ascii="Times New Roman" w:cs="Times New Roman" w:eastAsia="Times New Roman" w:hAnsi="Times New Roman"/>
                <w:sz w:val="18"/>
                <w:szCs w:val="18"/>
                <w:color w:val="auto"/>
                <w:w w:val="98"/>
              </w:rPr>
              <w:t>1.60%</w:t>
            </w: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term (in years)</w:t>
            </w:r>
          </w:p>
        </w:tc>
        <w:tc>
          <w:tcPr>
            <w:tcW w:w="5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47"/>
        </w:trPr>
        <w:tc>
          <w:tcPr>
            <w:tcW w:w="5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500" w:type="dxa"/>
            <w:vAlign w:val="bottom"/>
            <w:shd w:val="clear" w:color="auto" w:fill="CCECFF"/>
          </w:tcPr>
          <w:p>
            <w:pPr>
              <w:jc w:val="center"/>
              <w:ind w:left="2510"/>
              <w:spacing w:after="0"/>
              <w:rPr>
                <w:sz w:val="20"/>
                <w:szCs w:val="20"/>
                <w:color w:val="auto"/>
              </w:rPr>
            </w:pPr>
            <w:r>
              <w:rPr>
                <w:rFonts w:ascii="Times New Roman" w:cs="Times New Roman" w:eastAsia="Times New Roman" w:hAnsi="Times New Roman"/>
                <w:sz w:val="18"/>
                <w:szCs w:val="18"/>
                <w:color w:val="auto"/>
                <w:w w:val="98"/>
              </w:rPr>
              <w:t>96.1%</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50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20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8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64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100" w:type="dxa"/>
            <w:vAlign w:val="bottom"/>
            <w:shd w:val="clear" w:color="auto" w:fill="CCECFF"/>
          </w:tcPr>
          <w:p>
            <w:pPr>
              <w:spacing w:after="0"/>
              <w:rPr>
                <w:sz w:val="21"/>
                <w:szCs w:val="2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Pr>
          <w:p>
            <w:pPr>
              <w:spacing w:after="0"/>
              <w:rPr>
                <w:sz w:val="20"/>
                <w:szCs w:val="20"/>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C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Pr>
          <w:p>
            <w:pPr>
              <w:spacing w:after="0"/>
              <w:rPr>
                <w:sz w:val="21"/>
                <w:szCs w:val="21"/>
                <w:color w:val="auto"/>
              </w:rPr>
            </w:pPr>
          </w:p>
        </w:tc>
      </w:tr>
      <w:tr>
        <w:trPr>
          <w:trHeight w:val="272"/>
        </w:trPr>
        <w:tc>
          <w:tcPr>
            <w:tcW w:w="4680" w:type="dxa"/>
            <w:vAlign w:val="bottom"/>
            <w:shd w:val="clear" w:color="auto" w:fill="CCECFF"/>
          </w:tcPr>
          <w:p>
            <w:pPr>
              <w:spacing w:after="0"/>
              <w:rPr>
                <w:sz w:val="23"/>
                <w:szCs w:val="23"/>
                <w:color w:val="auto"/>
              </w:rPr>
            </w:pP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99,545</w:t>
            </w:r>
          </w:p>
        </w:tc>
        <w:tc>
          <w:tcPr>
            <w:tcW w:w="64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380" w:type="dxa"/>
            <w:vAlign w:val="bottom"/>
            <w:shd w:val="clear" w:color="auto" w:fill="CCECFF"/>
          </w:tcPr>
          <w:p>
            <w:pPr>
              <w:spacing w:after="0"/>
              <w:rPr>
                <w:sz w:val="23"/>
                <w:szCs w:val="23"/>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193,136</w:t>
            </w:r>
          </w:p>
        </w:tc>
        <w:tc>
          <w:tcPr>
            <w:tcW w:w="100" w:type="dxa"/>
            <w:vAlign w:val="bottom"/>
            <w:shd w:val="clear" w:color="auto" w:fill="CCECFF"/>
          </w:tcPr>
          <w:p>
            <w:pPr>
              <w:spacing w:after="0"/>
              <w:rPr>
                <w:sz w:val="23"/>
                <w:szCs w:val="23"/>
                <w:color w:val="auto"/>
              </w:rPr>
            </w:pPr>
          </w:p>
        </w:tc>
      </w:tr>
      <w:tr>
        <w:trPr>
          <w:trHeight w:val="225"/>
        </w:trPr>
        <w:tc>
          <w:tcPr>
            <w:tcW w:w="46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8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Borders>
              <w:top w:val="single" w:sz="8" w:color="CCEC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5"/>
        </w:trPr>
        <w:tc>
          <w:tcPr>
            <w:tcW w:w="4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6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4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F-36</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3"/>
        </w:trPr>
        <w:tc>
          <w:tcPr>
            <w:tcW w:w="4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-1549400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-1532255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-1549400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-1532255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-1549400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-1532255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-1215390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-1215390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-1215390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8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64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shd w:val="clear" w:color="auto" w:fill="CCECFF"/>
          </w:tcPr>
          <w:p>
            <w:pPr>
              <w:spacing w:after="0"/>
              <w:rPr>
                <w:sz w:val="21"/>
                <w:szCs w:val="2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Pr>
          <w:p>
            <w:pPr>
              <w:spacing w:after="0"/>
              <w:rPr>
                <w:sz w:val="20"/>
                <w:szCs w:val="20"/>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C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100" w:type="dxa"/>
            <w:vAlign w:val="bottom"/>
          </w:tcPr>
          <w:p>
            <w:pPr>
              <w:spacing w:after="0"/>
              <w:rPr>
                <w:sz w:val="21"/>
                <w:szCs w:val="21"/>
                <w:color w:val="auto"/>
              </w:rPr>
            </w:pPr>
          </w:p>
        </w:tc>
      </w:tr>
      <w:tr>
        <w:trPr>
          <w:trHeight w:val="272"/>
        </w:trPr>
        <w:tc>
          <w:tcPr>
            <w:tcW w:w="4680" w:type="dxa"/>
            <w:vAlign w:val="bottom"/>
            <w:shd w:val="clear" w:color="auto" w:fill="CCECFF"/>
          </w:tcPr>
          <w:p>
            <w:pPr>
              <w:spacing w:after="0"/>
              <w:rPr>
                <w:sz w:val="23"/>
                <w:szCs w:val="23"/>
                <w:color w:val="auto"/>
              </w:rPr>
            </w:pP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17,553</w:t>
            </w:r>
          </w:p>
        </w:tc>
        <w:tc>
          <w:tcPr>
            <w:tcW w:w="64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380" w:type="dxa"/>
            <w:vAlign w:val="bottom"/>
            <w:shd w:val="clear" w:color="auto" w:fill="CCECFF"/>
          </w:tcPr>
          <w:p>
            <w:pPr>
              <w:spacing w:after="0"/>
              <w:rPr>
                <w:sz w:val="23"/>
                <w:szCs w:val="23"/>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84,255</w:t>
            </w:r>
          </w:p>
        </w:tc>
        <w:tc>
          <w:tcPr>
            <w:tcW w:w="100" w:type="dxa"/>
            <w:vAlign w:val="bottom"/>
            <w:shd w:val="clear" w:color="auto" w:fill="CCECFF"/>
          </w:tcPr>
          <w:p>
            <w:pPr>
              <w:spacing w:after="0"/>
              <w:rPr>
                <w:sz w:val="23"/>
                <w:szCs w:val="23"/>
                <w:color w:val="auto"/>
              </w:rPr>
            </w:pPr>
          </w:p>
        </w:tc>
      </w:tr>
      <w:tr>
        <w:trPr>
          <w:trHeight w:val="225"/>
        </w:trPr>
        <w:tc>
          <w:tcPr>
            <w:tcW w:w="46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8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Borders>
              <w:top w:val="single" w:sz="8" w:color="CCEC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5"/>
        </w:trPr>
        <w:tc>
          <w:tcPr>
            <w:tcW w:w="4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6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-521970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-504825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-521970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-504825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-521970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-504825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-187960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-187960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-187960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80"/>
        <w:spacing w:after="0" w:line="453" w:lineRule="auto"/>
        <w:rPr>
          <w:sz w:val="20"/>
          <w:szCs w:val="20"/>
          <w:color w:val="auto"/>
        </w:rPr>
      </w:pPr>
      <w:r>
        <w:rPr>
          <w:rFonts w:ascii="Times New Roman" w:cs="Times New Roman" w:eastAsia="Times New Roman" w:hAnsi="Times New Roman"/>
          <w:sz w:val="18"/>
          <w:szCs w:val="18"/>
          <w:color w:val="auto"/>
        </w:rPr>
        <w:t xml:space="preserve">There were no transfers of financial instruments between Level 1, Level 2 and Level 3 during the years ended December 31, 2023 and December 31, 2022. </w:t>
      </w:r>
      <w:r>
        <w:rPr>
          <w:rFonts w:ascii="Times New Roman" w:cs="Times New Roman" w:eastAsia="Times New Roman" w:hAnsi="Times New Roman"/>
          <w:sz w:val="18"/>
          <w:szCs w:val="18"/>
          <w:b w:val="1"/>
          <w:bCs w:val="1"/>
          <w:i w:val="1"/>
          <w:iCs w:val="1"/>
          <w:color w:val="auto"/>
        </w:rPr>
        <w:t>Level 3 asset</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July 1, 2022, the Company recorded a derivative asset, divided between current and noncurrent assets, on its consolidated balance sheet related to the Luminant Power Agreement as this is when both the quantities of electricity demand were known and penalties for nonperformance under the Luminant Power Agreement became enforceable, with an offsetting amount recorded to change in the fair value of derivative asset in operating loss on the consolidated statements of operations. Subsequent changes in fair value are also recorded to change in fair value of derivative asset in operating loss.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valuations performed by the third-party valuation firm engaged by the Company utilized pre-tax discount rates of 6.11% and 6.83% as of December 31, 2023 and December 31,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6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year ended December 31, 2023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40" w:type="dxa"/>
            <w:vAlign w:val="bottom"/>
            <w:shd w:val="clear" w:color="auto" w:fill="CCEC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9"/>
                <w:szCs w:val="19"/>
                <w:color w:val="auto"/>
              </w:rPr>
            </w:pPr>
          </w:p>
        </w:tc>
      </w:tr>
      <w:tr>
        <w:trPr>
          <w:trHeight w:val="238"/>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on derivative asset effective date</w:t>
            </w:r>
          </w:p>
        </w:tc>
        <w:tc>
          <w:tcPr>
            <w:tcW w:w="10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83,610</w:t>
            </w:r>
          </w:p>
        </w:tc>
        <w:tc>
          <w:tcPr>
            <w:tcW w:w="100" w:type="dxa"/>
            <w:vAlign w:val="bottom"/>
          </w:tcPr>
          <w:p>
            <w:pPr>
              <w:spacing w:after="0"/>
              <w:rPr>
                <w:sz w:val="20"/>
                <w:szCs w:val="20"/>
                <w:color w:val="auto"/>
              </w:rPr>
            </w:pPr>
          </w:p>
        </w:tc>
      </w:tr>
      <w:tr>
        <w:trPr>
          <w:trHeight w:val="247"/>
        </w:trPr>
        <w:tc>
          <w:tcPr>
            <w:tcW w:w="8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reduction of scheduled power</w:t>
            </w:r>
          </w:p>
        </w:tc>
        <w:tc>
          <w:tcPr>
            <w:tcW w:w="1040" w:type="dxa"/>
            <w:vAlign w:val="bottom"/>
            <w:shd w:val="clear" w:color="auto" w:fill="CCECFF"/>
          </w:tcPr>
          <w:p>
            <w:pPr>
              <w:spacing w:after="0"/>
              <w:rPr>
                <w:sz w:val="21"/>
                <w:szCs w:val="21"/>
                <w:color w:val="auto"/>
              </w:rPr>
            </w:pPr>
          </w:p>
        </w:tc>
        <w:tc>
          <w:tcPr>
            <w:tcW w:w="1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(5,056 )</w:t>
            </w: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04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(11,852 )</w:t>
            </w:r>
          </w:p>
        </w:tc>
      </w:tr>
      <w:tr>
        <w:trPr>
          <w:trHeight w:val="236"/>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40" w:type="dxa"/>
            <w:vAlign w:val="bottom"/>
            <w:tcBorders>
              <w:top w:val="single" w:sz="8" w:color="auto"/>
            </w:tcBorders>
            <w:shd w:val="clear" w:color="auto" w:fill="CCECFF"/>
          </w:tcPr>
          <w:p>
            <w:pPr>
              <w:spacing w:after="0"/>
              <w:rPr>
                <w:sz w:val="20"/>
                <w:szCs w:val="20"/>
                <w:color w:val="auto"/>
              </w:rPr>
            </w:pPr>
          </w:p>
        </w:tc>
        <w:tc>
          <w:tcPr>
            <w:tcW w:w="1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100" w:type="dxa"/>
            <w:vAlign w:val="bottom"/>
            <w:shd w:val="clear" w:color="auto" w:fill="CCECFF"/>
          </w:tcPr>
          <w:p>
            <w:pPr>
              <w:spacing w:after="0"/>
              <w:rPr>
                <w:sz w:val="20"/>
                <w:szCs w:val="20"/>
                <w:color w:val="auto"/>
              </w:rPr>
            </w:pP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0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100" w:type="dxa"/>
            <w:vAlign w:val="bottom"/>
          </w:tcPr>
          <w:p>
            <w:pPr>
              <w:spacing w:after="0"/>
              <w:rPr>
                <w:sz w:val="21"/>
                <w:szCs w:val="21"/>
                <w:color w:val="auto"/>
              </w:rPr>
            </w:pPr>
          </w:p>
        </w:tc>
      </w:tr>
      <w:tr>
        <w:trPr>
          <w:trHeight w:val="276"/>
        </w:trPr>
        <w:tc>
          <w:tcPr>
            <w:tcW w:w="8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40" w:type="dxa"/>
            <w:vAlign w:val="bottom"/>
            <w:tcBorders>
              <w:bottom w:val="single" w:sz="8" w:color="auto"/>
            </w:tcBorders>
            <w:shd w:val="clear" w:color="auto" w:fill="CCEC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August 26, 2022 amendment to the Luminant Power Agreement, the Company and Luminant agreed to reduce Luminant’s obligation to provide specific amounts of scheduled power over upcoming months and, in exchange for the reduction in scheduled power supply by Luminant and as consideration for the modification to the ramp up schedule under the Luminant Power Agreement, Luminant paid the Company $5.1 million. The Company’s management determined that this did not represent a freestanding instrument to be assessed separately from the Luminant Power Agreement and, as such, the Company reduced the derivative asset by the amount received from Luminant as shown in the table above. Additionally, as discussed above in Note 4,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the Company, through Luminant, sold electricity in the ERCOT market prior to bitcoin mining operations beginning at the Odessa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6" w:name="page137"/>
    <w:bookmarkEnd w:id="13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Facility, resulting in $1.7 million recorded to change in fair value of derivative asset in the consolidated statements of operations during the year ended December 31, 2022. For the year ended December 31, 2023, there was a change of $26.8 million in Level 3 assets measured at 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88"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The Company’s Private Placement Warrants are its only liability classified within Level 3 of the fair value hierarchy because the fair value is based on significant inputs that are unobservable in the market. 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41"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Common Stock. The following table presents significant assumptions utilized in the valuations of the Private Placement Warrants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gridSpan w:val="2"/>
          </w:tcPr>
          <w:p>
            <w:pPr>
              <w:spacing w:after="0"/>
              <w:rPr>
                <w:sz w:val="19"/>
                <w:szCs w:val="19"/>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20"/>
                <w:szCs w:val="20"/>
                <w:color w:val="auto"/>
              </w:rPr>
            </w:pPr>
          </w:p>
        </w:tc>
        <w:tc>
          <w:tcPr>
            <w:tcW w:w="2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3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220" w:type="dxa"/>
            <w:vAlign w:val="bottom"/>
          </w:tcPr>
          <w:p>
            <w:pPr>
              <w:spacing w:after="0"/>
              <w:rPr>
                <w:sz w:val="20"/>
                <w:szCs w:val="20"/>
                <w:color w:val="auto"/>
              </w:rPr>
            </w:pPr>
          </w:p>
        </w:tc>
        <w:tc>
          <w:tcPr>
            <w:tcW w:w="2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21"/>
                <w:szCs w:val="21"/>
                <w:color w:val="auto"/>
              </w:rPr>
            </w:pPr>
          </w:p>
        </w:tc>
        <w:tc>
          <w:tcPr>
            <w:tcW w:w="2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124.0 %</w:t>
            </w:r>
          </w:p>
        </w:tc>
        <w:tc>
          <w:tcPr>
            <w:tcW w:w="20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24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22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50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405"/>
        </w:trPr>
        <w:tc>
          <w:tcPr>
            <w:tcW w:w="9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(amounts in thousands):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6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220" w:type="dxa"/>
            <w:vAlign w:val="bottom"/>
            <w:shd w:val="clear" w:color="auto" w:fill="CCECFF"/>
          </w:tcPr>
          <w:p>
            <w:pPr>
              <w:spacing w:after="0"/>
              <w:rPr>
                <w:sz w:val="21"/>
                <w:szCs w:val="21"/>
                <w:color w:val="auto"/>
              </w:rPr>
            </w:pP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c>
          <w:tcPr>
            <w:tcW w:w="60" w:type="dxa"/>
            <w:vAlign w:val="bottom"/>
          </w:tcPr>
          <w:p>
            <w:pPr>
              <w:spacing w:after="0"/>
              <w:rPr>
                <w:sz w:val="21"/>
                <w:szCs w:val="21"/>
                <w:color w:val="auto"/>
              </w:rPr>
            </w:pPr>
          </w:p>
        </w:tc>
      </w:tr>
      <w:tr>
        <w:trPr>
          <w:trHeight w:val="276"/>
        </w:trPr>
        <w:tc>
          <w:tcPr>
            <w:tcW w:w="6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20" w:type="dxa"/>
            <w:vAlign w:val="bottom"/>
            <w:tcBorders>
              <w:bottom w:val="single" w:sz="8" w:color="CCECFF"/>
            </w:tcBorders>
            <w:shd w:val="clear" w:color="auto" w:fill="CCECFF"/>
          </w:tcPr>
          <w:p>
            <w:pPr>
              <w:spacing w:after="0"/>
              <w:rPr>
                <w:sz w:val="24"/>
                <w:szCs w:val="24"/>
                <w:color w:val="auto"/>
              </w:rPr>
            </w:pPr>
          </w:p>
        </w:tc>
        <w:tc>
          <w:tcPr>
            <w:tcW w:w="164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CFF"/>
            </w:tcBorders>
            <w:shd w:val="clear" w:color="auto" w:fill="CCECFF"/>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6"/>
        </w:trPr>
        <w:tc>
          <w:tcPr>
            <w:tcW w:w="6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20" w:type="dxa"/>
            <w:vAlign w:val="bottom"/>
            <w:tcBorders>
              <w:bottom w:val="single" w:sz="8" w:color="CCECFF"/>
            </w:tcBorders>
            <w:shd w:val="clear" w:color="auto" w:fill="CCECFF"/>
          </w:tcPr>
          <w:p>
            <w:pPr>
              <w:spacing w:after="0"/>
              <w:rPr>
                <w:sz w:val="24"/>
                <w:szCs w:val="24"/>
                <w:color w:val="auto"/>
              </w:rPr>
            </w:pPr>
          </w:p>
        </w:tc>
        <w:tc>
          <w:tcPr>
            <w:tcW w:w="164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spacing w:after="0"/>
              <w:rPr>
                <w:sz w:val="24"/>
                <w:szCs w:val="24"/>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CFF"/>
            </w:tcBorders>
            <w:shd w:val="clear" w:color="auto" w:fill="CCECFF"/>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-1866265</wp:posOffset>
            </wp:positionV>
            <wp:extent cx="71323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a deferred tax expense related to an increase in deferred tax liabilities associated with derivatives and joint venture instruments (refer to “Note 7. Investment In Equity Investees” for more details on the Company’s joint ventures). Current income taxes are based upon the current period’s income taxable for federal and state tax reporting purposes. Deferred income taxes (benefits) are provided for certain income and expenses, which are recognized in different periods for tax and financial reporting purposes. Deferred tax assets and liabilities are computed for differences between the financial statements and tax bases of assets and liabilities that will result in taxable or deductible amounts in the future based on enacted tax laws and rates applicable to the period in which the differences are expected to affect taxable income, and net operating loss (“NOL”) carryforwards.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income tax provision are listed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42"/>
        </w:trPr>
        <w:tc>
          <w:tcPr>
            <w:tcW w:w="35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4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360" w:type="dxa"/>
            <w:vAlign w:val="bottom"/>
            <w:shd w:val="clear" w:color="auto" w:fill="CCEC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360" w:type="dxa"/>
            <w:vAlign w:val="bottom"/>
          </w:tcPr>
          <w:p>
            <w:pPr>
              <w:spacing w:after="0"/>
              <w:rPr>
                <w:sz w:val="21"/>
                <w:szCs w:val="21"/>
                <w:color w:val="auto"/>
              </w:rPr>
            </w:pPr>
          </w:p>
        </w:tc>
        <w:tc>
          <w:tcPr>
            <w:tcW w:w="176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360" w:type="dxa"/>
            <w:vAlign w:val="bottom"/>
            <w:tcBorders>
              <w:bottom w:val="single" w:sz="8" w:color="CCECFF"/>
            </w:tcBorders>
            <w:shd w:val="clear" w:color="auto" w:fill="CCEC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5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4120" w:type="dxa"/>
            <w:vAlign w:val="bottom"/>
            <w:gridSpan w:val="2"/>
            <w:shd w:val="clear" w:color="auto" w:fill="CCECFF"/>
          </w:tcPr>
          <w:p>
            <w:pPr>
              <w:jc w:val="right"/>
              <w:ind w:right="15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3,366</w:t>
            </w:r>
          </w:p>
        </w:tc>
        <w:tc>
          <w:tcPr>
            <w:tcW w:w="900" w:type="dxa"/>
            <w:vAlign w:val="bottom"/>
            <w:gridSpan w:val="2"/>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shd w:val="clear" w:color="auto" w:fill="CCECFF"/>
          </w:tcPr>
          <w:p>
            <w:pPr>
              <w:spacing w:after="0"/>
              <w:rPr>
                <w:sz w:val="21"/>
                <w:szCs w:val="21"/>
                <w:color w:val="auto"/>
              </w:rPr>
            </w:pPr>
          </w:p>
        </w:tc>
      </w:tr>
      <w:tr>
        <w:trPr>
          <w:trHeight w:val="236"/>
        </w:trPr>
        <w:tc>
          <w:tcPr>
            <w:tcW w:w="350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360" w:type="dxa"/>
            <w:vAlign w:val="bottom"/>
            <w:tcBorders>
              <w:top w:val="single" w:sz="8" w:color="CCECFF"/>
            </w:tcBorders>
          </w:tcPr>
          <w:p>
            <w:pPr>
              <w:spacing w:after="0"/>
              <w:rPr>
                <w:sz w:val="20"/>
                <w:szCs w:val="20"/>
                <w:color w:val="auto"/>
              </w:rPr>
            </w:pPr>
          </w:p>
        </w:tc>
        <w:tc>
          <w:tcPr>
            <w:tcW w:w="17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3,366</w:t>
            </w:r>
          </w:p>
        </w:tc>
        <w:tc>
          <w:tcPr>
            <w:tcW w:w="540" w:type="dxa"/>
            <w:vAlign w:val="bottom"/>
            <w:tcBorders>
              <w:top w:val="single" w:sz="8" w:color="CCEC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top w:val="single" w:sz="8" w:color="CCECFF"/>
            </w:tcBorders>
          </w:tcPr>
          <w:p>
            <w:pPr>
              <w:spacing w:after="0"/>
              <w:rPr>
                <w:sz w:val="20"/>
                <w:szCs w:val="20"/>
                <w:color w:val="auto"/>
              </w:rPr>
            </w:pPr>
          </w:p>
        </w:tc>
      </w:tr>
      <w:tr>
        <w:trPr>
          <w:trHeight w:val="276"/>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360" w:type="dxa"/>
            <w:vAlign w:val="bottom"/>
            <w:tcBorders>
              <w:bottom w:val="single" w:sz="8" w:color="CCECFF"/>
            </w:tcBorders>
            <w:shd w:val="clear" w:color="auto" w:fill="CCECFF"/>
          </w:tcPr>
          <w:p>
            <w:pPr>
              <w:spacing w:after="0"/>
              <w:rPr>
                <w:sz w:val="24"/>
                <w:szCs w:val="24"/>
                <w:color w:val="auto"/>
              </w:rPr>
            </w:pPr>
          </w:p>
        </w:tc>
        <w:tc>
          <w:tcPr>
            <w:tcW w:w="1760" w:type="dxa"/>
            <w:vAlign w:val="bottom"/>
            <w:tcBorders>
              <w:bottom w:val="single" w:sz="8" w:color="auto"/>
            </w:tcBorders>
            <w:shd w:val="clear" w:color="auto" w:fill="CCECFF"/>
          </w:tcPr>
          <w:p>
            <w:pPr>
              <w:jc w:val="right"/>
              <w:ind w:right="1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3,567</w:t>
            </w:r>
          </w:p>
        </w:tc>
        <w:tc>
          <w:tcPr>
            <w:tcW w:w="54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736"/>
        </w:trPr>
        <w:tc>
          <w:tcPr>
            <w:tcW w:w="3500" w:type="dxa"/>
            <w:vAlign w:val="bottom"/>
          </w:tcPr>
          <w:p>
            <w:pPr>
              <w:spacing w:after="0"/>
              <w:rPr>
                <w:sz w:val="24"/>
                <w:szCs w:val="24"/>
                <w:color w:val="auto"/>
              </w:rPr>
            </w:pPr>
          </w:p>
        </w:tc>
        <w:tc>
          <w:tcPr>
            <w:tcW w:w="4120" w:type="dxa"/>
            <w:vAlign w:val="bottom"/>
            <w:gridSpan w:val="2"/>
          </w:tcPr>
          <w:p>
            <w:pPr>
              <w:jc w:val="right"/>
              <w:ind w:right="1735"/>
              <w:spacing w:after="0"/>
              <w:rPr>
                <w:sz w:val="20"/>
                <w:szCs w:val="20"/>
                <w:color w:val="auto"/>
              </w:rPr>
            </w:pPr>
            <w:r>
              <w:rPr>
                <w:rFonts w:ascii="Times New Roman" w:cs="Times New Roman" w:eastAsia="Times New Roman" w:hAnsi="Times New Roman"/>
                <w:sz w:val="18"/>
                <w:szCs w:val="18"/>
                <w:color w:val="auto"/>
              </w:rPr>
              <w:t>F-38</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6"/>
        </w:trPr>
        <w:tc>
          <w:tcPr>
            <w:tcW w:w="35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-1703070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-1703070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-1386205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-1061085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-1043940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940" w:right="279" w:bottom="1440" w:gutter="0" w:footer="0" w:header="0"/>
        </w:sectPr>
      </w:pPr>
    </w:p>
    <w:bookmarkStart w:id="137" w:name="page138"/>
    <w:bookmarkEnd w:id="13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tax computed at the U.S. statutory federal income tax rate to the total expense for income taxes is shown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162m limitations</w:t>
            </w: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(5.3 )%</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8"/>
              </w:rPr>
              <w:t>(30.3 )%</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(0.5 )%</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and changes in tax rates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RTP and other</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8"/>
              </w:rPr>
              <w:t>(16.2 )%</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tcPr>
          <w:p>
            <w:pPr>
              <w:spacing w:after="0"/>
              <w:rPr>
                <w:sz w:val="22"/>
                <w:szCs w:val="2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8"/>
              </w:rPr>
              <w:t>(15.9 )%</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3"/>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0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27,075</w:t>
            </w: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Accruals and other temporary differences</w:t>
            </w:r>
          </w:p>
        </w:tc>
        <w:tc>
          <w:tcPr>
            <w:tcW w:w="2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Joint venture investments</w:t>
            </w:r>
          </w:p>
        </w:tc>
        <w:tc>
          <w:tcPr>
            <w:tcW w:w="2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Bitcoin holdings</w:t>
            </w: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39,885</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Pr>
          <w:p>
            <w:pPr>
              <w:spacing w:after="0"/>
              <w:rPr>
                <w:sz w:val="21"/>
                <w:szCs w:val="21"/>
                <w:color w:val="auto"/>
              </w:rPr>
            </w:pP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(8,520 )</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(12,173 )</w:t>
            </w:r>
          </w:p>
        </w:tc>
        <w:tc>
          <w:tcPr>
            <w:tcW w:w="100" w:type="dxa"/>
            <w:vAlign w:val="bottom"/>
          </w:tcPr>
          <w:p>
            <w:pPr>
              <w:spacing w:after="0"/>
              <w:rPr>
                <w:sz w:val="21"/>
                <w:szCs w:val="21"/>
                <w:color w:val="auto"/>
              </w:rPr>
            </w:pPr>
          </w:p>
        </w:tc>
      </w:tr>
      <w:tr>
        <w:trPr>
          <w:trHeight w:val="236"/>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tcBorders>
            <w:shd w:val="clear" w:color="auto" w:fill="CCEEFF"/>
          </w:tcPr>
          <w:p>
            <w:pPr>
              <w:spacing w:after="0"/>
              <w:rPr>
                <w:sz w:val="20"/>
                <w:szCs w:val="20"/>
                <w:color w:val="auto"/>
              </w:rPr>
            </w:pPr>
          </w:p>
        </w:tc>
        <w:tc>
          <w:tcPr>
            <w:tcW w:w="1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shd w:val="clear" w:color="auto" w:fill="CCEEFF"/>
          </w:tcPr>
          <w:p>
            <w:pPr>
              <w:spacing w:after="0"/>
              <w:rPr>
                <w:sz w:val="21"/>
                <w:szCs w:val="21"/>
                <w:color w:val="auto"/>
              </w:rPr>
            </w:pPr>
          </w:p>
        </w:tc>
        <w:tc>
          <w:tcPr>
            <w:tcW w:w="21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(3,835 )</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(4,107 )</w:t>
            </w:r>
          </w:p>
        </w:tc>
        <w:tc>
          <w:tcPr>
            <w:tcW w:w="100" w:type="dxa"/>
            <w:vAlign w:val="bottom"/>
          </w:tcPr>
          <w:p>
            <w:pPr>
              <w:spacing w:after="0"/>
              <w:rPr>
                <w:sz w:val="21"/>
                <w:szCs w:val="21"/>
                <w:color w:val="auto"/>
              </w:rPr>
            </w:pPr>
          </w:p>
        </w:tc>
      </w:tr>
      <w:tr>
        <w:trPr>
          <w:trHeight w:val="238"/>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Pr>
          <w:p>
            <w:pPr>
              <w:spacing w:after="0"/>
              <w:rPr>
                <w:sz w:val="20"/>
                <w:szCs w:val="20"/>
                <w:color w:val="auto"/>
              </w:rPr>
            </w:pP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(19,669 )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(14,007 )</w:t>
            </w:r>
          </w:p>
        </w:tc>
        <w:tc>
          <w:tcPr>
            <w:tcW w:w="100" w:type="dxa"/>
            <w:vAlign w:val="bottom"/>
          </w:tcPr>
          <w:p>
            <w:pPr>
              <w:spacing w:after="0"/>
              <w:rPr>
                <w:sz w:val="20"/>
                <w:szCs w:val="20"/>
                <w:color w:val="auto"/>
              </w:rPr>
            </w:pPr>
          </w:p>
        </w:tc>
      </w:tr>
      <w:tr>
        <w:trPr>
          <w:trHeight w:val="247"/>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Joint venture investments</w:t>
            </w:r>
          </w:p>
        </w:tc>
        <w:tc>
          <w:tcPr>
            <w:tcW w:w="280" w:type="dxa"/>
            <w:vAlign w:val="bottom"/>
            <w:shd w:val="clear" w:color="auto" w:fill="CCEEFF"/>
          </w:tcPr>
          <w:p>
            <w:pPr>
              <w:spacing w:after="0"/>
              <w:rPr>
                <w:sz w:val="21"/>
                <w:szCs w:val="21"/>
                <w:color w:val="auto"/>
              </w:rPr>
            </w:pPr>
          </w:p>
        </w:tc>
        <w:tc>
          <w:tcPr>
            <w:tcW w:w="21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(11,268 )</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Bitcoin holdings</w:t>
            </w:r>
          </w:p>
        </w:tc>
        <w:tc>
          <w:tcPr>
            <w:tcW w:w="280" w:type="dxa"/>
            <w:vAlign w:val="bottom"/>
          </w:tcPr>
          <w:p>
            <w:pPr>
              <w:spacing w:after="0"/>
              <w:rPr>
                <w:sz w:val="20"/>
                <w:szCs w:val="20"/>
                <w:color w:val="auto"/>
              </w:rPr>
            </w:pP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(434 )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21"/>
                <w:szCs w:val="21"/>
                <w:color w:val="auto"/>
              </w:rPr>
            </w:pPr>
          </w:p>
        </w:tc>
        <w:tc>
          <w:tcPr>
            <w:tcW w:w="21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(1,365 )</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1"/>
                <w:szCs w:val="21"/>
                <w:color w:val="auto"/>
              </w:rPr>
            </w:pPr>
          </w:p>
        </w:tc>
      </w:tr>
      <w:tr>
        <w:trPr>
          <w:trHeight w:val="20"/>
        </w:trPr>
        <w:tc>
          <w:tcPr>
            <w:tcW w:w="58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80" w:type="dxa"/>
            <w:vAlign w:val="bottom"/>
          </w:tcPr>
          <w:p>
            <w:pPr>
              <w:spacing w:after="0"/>
              <w:rPr>
                <w:sz w:val="20"/>
                <w:szCs w:val="20"/>
                <w:color w:val="auto"/>
              </w:rPr>
            </w:pP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(36,571 )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(18,321 )</w:t>
            </w:r>
          </w:p>
        </w:tc>
        <w:tc>
          <w:tcPr>
            <w:tcW w:w="100" w:type="dxa"/>
            <w:vAlign w:val="bottom"/>
          </w:tcPr>
          <w:p>
            <w:pPr>
              <w:spacing w:after="0"/>
              <w:rPr>
                <w:sz w:val="20"/>
                <w:szCs w:val="20"/>
                <w:color w:val="auto"/>
              </w:rPr>
            </w:pPr>
          </w:p>
        </w:tc>
      </w:tr>
      <w:tr>
        <w:trPr>
          <w:trHeight w:val="276"/>
        </w:trPr>
        <w:tc>
          <w:tcPr>
            <w:tcW w:w="58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-4340225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-4032250</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-4956810</wp:posOffset>
            </wp:positionV>
            <wp:extent cx="3005455"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4">
                      <a:extLst>
                        <a:ext uri="{28A0092B-C50C-407E-A947-70E740481C1C}"/>
                      </a:extLst>
                    </a:blip>
                    <a:srcRect/>
                    <a:stretch>
                      <a:fillRect/>
                    </a:stretch>
                  </pic:blipFill>
                  <pic:spPr bwMode="auto">
                    <a:xfrm>
                      <a:off x="0" y="0"/>
                      <a:ext cx="3005455" cy="15430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-4648835</wp:posOffset>
            </wp:positionV>
            <wp:extent cx="3005455"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5">
                      <a:extLst>
                        <a:ext uri="{28A0092B-C50C-407E-A947-70E740481C1C}"/>
                      </a:extLst>
                    </a:blip>
                    <a:srcRect/>
                    <a:stretch>
                      <a:fillRect/>
                    </a:stretch>
                  </pic:blipFill>
                  <pic:spPr bwMode="auto">
                    <a:xfrm>
                      <a:off x="0" y="0"/>
                      <a:ext cx="30054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-3715385</wp:posOffset>
            </wp:positionV>
            <wp:extent cx="7132320"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-350520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As required by ASC 740, management of the Company has evaluated the evidence bearing upon the realizability of its deferred tax assets. Based on the weight of available evidence, both positive and negative, management has determined that it is more likely than not that the Company will not realize the benefits of these assets. Accordingly, the Company recorded a valuation allowance of $8.5 million as of December 31, 2023. The valuation allowance decreased by $3.7 million during the year ended December 31, 2023, primarily as a result of the increase in NOL carryforwards generated in the current period.</w:t>
      </w:r>
    </w:p>
    <w:p>
      <w:pPr>
        <w:spacing w:after="0" w:line="141" w:lineRule="exact"/>
        <w:rPr>
          <w:sz w:val="20"/>
          <w:szCs w:val="20"/>
          <w:color w:val="auto"/>
        </w:rPr>
      </w:pPr>
    </w:p>
    <w:p>
      <w:pPr>
        <w:ind w:right="940"/>
        <w:spacing w:after="0" w:line="312" w:lineRule="auto"/>
        <w:rPr>
          <w:sz w:val="20"/>
          <w:szCs w:val="20"/>
          <w:color w:val="auto"/>
        </w:rPr>
      </w:pPr>
      <w:r>
        <w:rPr>
          <w:rFonts w:ascii="Times New Roman" w:cs="Times New Roman" w:eastAsia="Times New Roman" w:hAnsi="Times New Roman"/>
          <w:sz w:val="17"/>
          <w:szCs w:val="17"/>
          <w:color w:val="auto"/>
        </w:rPr>
        <w:t>As of December 31, 2023, the Company had federal, and state and local NOL carryforwards of approximately $124.1 million and $19.9 million, respectively. The federal NOL carryforwards do not expire, but the state and local NOL carryforwards expire if not utilized prior to 2042.</w:t>
      </w:r>
    </w:p>
    <w:p>
      <w:pPr>
        <w:spacing w:after="0" w:line="11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Utilization of the U.S. federal and state NOL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NOL carryforwards that can be utilized annually to offset future taxable income and tax liabilities, respectively. The Company has not completed a study to assess whether a change of ownership has occurred, or whether there have been multiple ownership changes since its formation, due to the significant cost and</w:t>
      </w:r>
    </w:p>
    <w:p>
      <w:pPr>
        <w:spacing w:after="0" w:line="2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40" w:right="23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complexity associated with such a study. Any limitation may result in expiration of a portion of the NOL carryforwards before utilization. Further, until a study is completed by the Company and any limitation is known, no amounts are being presented as an uncertain tax position.</w:t>
      </w:r>
    </w:p>
    <w:p>
      <w:pPr>
        <w:spacing w:after="0" w:line="13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At December 31, 2023 and December 31, 2022, the Company did not have any significant uncertain tax positions. The Company will recognize interest and penalties related to uncertain tax positions in income tax expense. The Company had no accrued interest or penalties related to uncertain tax positions in either period. The Company does not anticipate a material change to unrecognized tax benefits in the next twelve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occurred subsequent to December 31,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activity</w:t>
      </w:r>
    </w:p>
    <w:p>
      <w:pPr>
        <w:spacing w:after="0" w:line="18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On January 1, 2024, 1,748,926 of the Company's outstanding Service-Based RSUs awarded to employees and consultants vested and 737,513 of those shares were repurchased by the Company for tax withholdings owed by the employees. The repurchased shares were recognized in treasury stock on the consolidated balance sheet following the repurchase.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Bitfury Distribution</w:t>
      </w:r>
    </w:p>
    <w:p>
      <w:pPr>
        <w:spacing w:after="0" w:line="202"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color w:val="auto"/>
        </w:rPr>
        <w:t>On February 26, 2024, as part of its previously disclosed plan, Bitfury Top HoldCo announced the distribution of 107,304,200 shares of the Company’s common stock to Bitfury Group’s shareholders and affiliates. As a result of this transaction, Bitfury Group and its affiliates own 40% of the Company’s outstanding shares as of March 4, 2024. The Company is no longer a “controlled company” within the meaning of Nasdaq listing rules as no individual record holder will control over 50% of the Company’s voting power.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18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On August 26, 2021, Bitfury Top HoldCo and the Company entered into the Master Services and Supply Agreement. See Note 10,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for more information on the Master Services and Supply Agreement. The parties terminated the Master Services and Supply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9" w:name="page140"/>
    <w:bookmarkEnd w:id="139"/>
    <w:p>
      <w:pPr>
        <w:ind w:right="300" w:firstLine="8"/>
        <w:spacing w:after="0" w:line="286" w:lineRule="auto"/>
        <w:tabs>
          <w:tab w:leader="none" w:pos="31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TRINITY MINING GROUP,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Seller,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CIPHER BLACK PEARL LLC,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Buyer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CIPHER MINING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as parent of the Buyer</w:t>
      </w:r>
    </w:p>
    <w:p>
      <w:pPr>
        <w:spacing w:after="0" w:line="20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Dated as of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1456055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40" w:name="page141"/>
    <w:bookmarkEnd w:id="140"/>
    <w:p>
      <w:pPr>
        <w:ind w:left="-8" w:right="160" w:firstLine="8"/>
        <w:spacing w:after="0" w:line="286" w:lineRule="auto"/>
        <w:tabs>
          <w:tab w:leader="none" w:pos="30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14" w:lineRule="exact"/>
        <w:rPr>
          <w:sz w:val="20"/>
          <w:szCs w:val="20"/>
          <w:color w:val="auto"/>
        </w:rPr>
      </w:pPr>
    </w:p>
    <w:tbl>
      <w:tblPr>
        <w:tblLayout w:type="fixed"/>
        <w:tblInd w:w="12" w:type="dxa"/>
        <w:tblCellMar>
          <w:top w:w="0" w:type="dxa"/>
          <w:left w:w="0" w:type="dxa"/>
          <w:bottom w:w="0" w:type="dxa"/>
          <w:right w:w="0" w:type="dxa"/>
        </w:tblCellMar>
      </w:tblPr>
      <w:tr>
        <w:trPr>
          <w:trHeight w:val="282"/>
        </w:trPr>
        <w:tc>
          <w:tcPr>
            <w:tcW w:w="18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40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Page</w:t>
            </w:r>
          </w:p>
        </w:tc>
      </w:tr>
      <w:tr>
        <w:trPr>
          <w:trHeight w:val="340"/>
        </w:trPr>
        <w:tc>
          <w:tcPr>
            <w:tcW w:w="8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RULES OF CONSTRUCTION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1.1</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1.2</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Rules of Construction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78"/>
        </w:trPr>
        <w:tc>
          <w:tcPr>
            <w:tcW w:w="8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PURCHASE AND SALE; PURCHASE PRICE; CLOSING</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2.1</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Purchase and Sale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2.2</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Consideration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2.3</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Closing</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2.4</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Seller’s Closing Deliverables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2.5</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Buyer’s Closing Deliverables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82"/>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2.6</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Withholding</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78"/>
        </w:trPr>
        <w:tc>
          <w:tcPr>
            <w:tcW w:w="8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RELATING TO SELLER</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Organization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3.2</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3.3</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Conflict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3.4</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Compliance with Law</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3.5</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3.6</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Assumed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3.7</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Service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3.8</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Purchased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3.9</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3.10</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3.11</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Bankruptcy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3.12</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Indebtedness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3.13</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Books and Records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3.14</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3.15</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OFAC</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3.16</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Brokers’ Fees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3.17</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Accredited Investor; Investment Experience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3.18</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Sale of Purchased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3.19</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Disclaimer of Other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82"/>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3.20</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Understandings or Arrangements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8"/>
        </w:trPr>
        <w:tc>
          <w:tcPr>
            <w:tcW w:w="86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ARTICLE IV REPRESENTATIONS AND WARRANTIES RELATING TO BUYER AND CIFR</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4.1</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Organization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4.2</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4.3</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Conflict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4.4</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82"/>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4.5</w:t>
            </w:r>
          </w:p>
        </w:tc>
        <w:tc>
          <w:tcPr>
            <w:tcW w:w="6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OFAC</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pacing w:after="0" w:line="37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1304" w:right="479" w:bottom="1440" w:gutter="0" w:footer="0" w:header="0"/>
        </w:sectPr>
      </w:pPr>
    </w:p>
    <w:bookmarkStart w:id="141" w:name="page142"/>
    <w:bookmarkEnd w:id="141"/>
    <w:p>
      <w:pPr>
        <w:ind w:left="-8" w:right="160" w:firstLine="8"/>
        <w:spacing w:after="0" w:line="286" w:lineRule="auto"/>
        <w:tabs>
          <w:tab w:leader="none" w:pos="30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89" w:lineRule="exact"/>
        <w:rPr>
          <w:sz w:val="20"/>
          <w:szCs w:val="20"/>
          <w:color w:val="auto"/>
        </w:rPr>
      </w:pPr>
    </w:p>
    <w:tbl>
      <w:tblPr>
        <w:tblLayout w:type="fixed"/>
        <w:tblInd w:w="12" w:type="dxa"/>
        <w:tblCellMar>
          <w:top w:w="0" w:type="dxa"/>
          <w:left w:w="0" w:type="dxa"/>
          <w:bottom w:w="0" w:type="dxa"/>
          <w:right w:w="0" w:type="dxa"/>
        </w:tblCellMar>
      </w:tblP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4.6</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Broker’s Fees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4.7</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CIFR Stock</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4.8</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Independent Investigation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82"/>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4.9</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Disclaimer of Other 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78"/>
        </w:trPr>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COVENANTS AND ACKNOWLEDGEMENTS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65"/>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Conduct of Business (Pre-Closing)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5.2</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Access; Transition Assistance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5.3</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5.4</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Third Party Contracts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5.5</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Third-Party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5.6</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5.7</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Further Assurances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5.8</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Non-Solicitation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5.9</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Excluded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Section 5.10</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Efforts to Close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Section 5.11</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Non-Public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Section 5.12</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Securities Laws; Publicity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78"/>
        </w:trPr>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TAX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65"/>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Cooperation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6.2</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Transfer Taxes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6.3</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Straddle Tax Period Allocation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6.4</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Tax Treatment of Purchase and Sale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82"/>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6.5</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Bulk Sales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78"/>
        </w:trPr>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CONDITIONS TO OBLIGATIONS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65"/>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Conditions to the Obligations of Both Parties at Closing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7.2</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Conditions to the Obligations of Buyer and CIFR at Closing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7.3</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Conditions to the Obligations of Seller at the Closing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82"/>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7.4</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SURVIVAL; INDEMNIFICATION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65"/>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8.1</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Survival</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8.2</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Indemnification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82"/>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8.3</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Exclusive Remedy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78"/>
        </w:trPr>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65"/>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9.1</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82"/>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9.2</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Effect of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78"/>
        </w:trPr>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MISCELLANEOUS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65"/>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Section 10.1</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82"/>
        </w:trPr>
        <w:tc>
          <w:tcPr>
            <w:tcW w:w="172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Section 10.2</w:t>
            </w:r>
          </w:p>
        </w:tc>
        <w:tc>
          <w:tcPr>
            <w:tcW w:w="72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Assignment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pacing w:after="0" w:line="37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1304" w:right="479" w:bottom="1440" w:gutter="0" w:footer="0" w:header="0"/>
        </w:sectPr>
      </w:pPr>
    </w:p>
    <w:bookmarkStart w:id="142" w:name="page143"/>
    <w:bookmarkEnd w:id="142"/>
    <w:p>
      <w:pPr>
        <w:ind w:left="-8" w:right="160" w:firstLine="8"/>
        <w:spacing w:after="0" w:line="286" w:lineRule="auto"/>
        <w:tabs>
          <w:tab w:leader="none" w:pos="3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89" w:lineRule="exact"/>
        <w:rPr>
          <w:sz w:val="20"/>
          <w:szCs w:val="20"/>
          <w:color w:val="auto"/>
        </w:rPr>
      </w:pPr>
    </w:p>
    <w:tbl>
      <w:tblPr>
        <w:tblLayout w:type="fixed"/>
        <w:tblInd w:w="652" w:type="dxa"/>
        <w:tblCellMar>
          <w:top w:w="0" w:type="dxa"/>
          <w:left w:w="0" w:type="dxa"/>
          <w:bottom w:w="0" w:type="dxa"/>
          <w:right w:w="0" w:type="dxa"/>
        </w:tblCellMar>
      </w:tblP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Rights of Third Parties</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Expenses</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10.5</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Counterparts</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10.6</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Entire Agreement</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10.7</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10.8</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Severability</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10.9</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Disputes</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10.10</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Governing Law</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10.11</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Specific Performance and Other Remedies</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10.12</w:t>
            </w:r>
          </w:p>
        </w:tc>
        <w:tc>
          <w:tcPr>
            <w:tcW w:w="6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Disclosure Schedules</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pacing w:after="0" w:line="37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1304" w:right="479" w:bottom="1440" w:gutter="0" w:footer="0" w:header="0"/>
        </w:sectPr>
      </w:pPr>
    </w:p>
    <w:bookmarkStart w:id="143" w:name="page144"/>
    <w:bookmarkEnd w:id="143"/>
    <w:p>
      <w:pPr>
        <w:ind w:firstLine="8"/>
        <w:spacing w:after="0" w:line="286" w:lineRule="auto"/>
        <w:tabs>
          <w:tab w:leader="none" w:pos="31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00" w:lineRule="exact"/>
        <w:rPr>
          <w:sz w:val="20"/>
          <w:szCs w:val="20"/>
          <w:color w:val="auto"/>
        </w:rPr>
      </w:pP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0"/>
          <w:szCs w:val="20"/>
          <w:color w:val="auto"/>
        </w:rPr>
        <w:t>Assumed Contracts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ERCOT Approval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Form of Assignment and Assumption Agreement</w:t>
      </w:r>
    </w:p>
    <w:p>
      <w:pPr>
        <w:spacing w:after="0" w:line="20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0"/>
          <w:szCs w:val="20"/>
          <w:color w:val="auto"/>
        </w:rPr>
        <w:t>Form of Bill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1453515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0" w:right="639" w:bottom="1440" w:gutter="0" w:footer="0" w:header="0"/>
        </w:sectPr>
      </w:pPr>
    </w:p>
    <w:bookmarkStart w:id="144" w:name="page145"/>
    <w:bookmarkEnd w:id="144"/>
    <w:p>
      <w:pPr>
        <w:ind w:firstLine="62"/>
        <w:spacing w:after="0" w:line="286" w:lineRule="auto"/>
        <w:tabs>
          <w:tab w:leader="none" w:pos="36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Disclosure Schedules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Schedule 3.3</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Seller Approvals</w:t>
            </w: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3.5</w:t>
            </w:r>
          </w:p>
        </w:tc>
        <w:tc>
          <w:tcPr>
            <w:tcW w:w="4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Litigation</w:t>
            </w: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3.6(d) –</w:t>
            </w:r>
          </w:p>
        </w:tc>
        <w:tc>
          <w:tcPr>
            <w:tcW w:w="18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Assumed Contracts</w:t>
            </w: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3.9</w:t>
            </w:r>
          </w:p>
        </w:tc>
        <w:tc>
          <w:tcPr>
            <w:tcW w:w="4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Taxes</w:t>
            </w: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3.12 –</w:t>
            </w:r>
          </w:p>
        </w:tc>
        <w:tc>
          <w:tcPr>
            <w:tcW w:w="18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Indebtedness</w:t>
            </w: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3.14 –</w:t>
            </w:r>
          </w:p>
        </w:tc>
        <w:tc>
          <w:tcPr>
            <w:tcW w:w="18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Insurance</w:t>
            </w:r>
          </w:p>
        </w:tc>
      </w:tr>
      <w:tr>
        <w:trPr>
          <w:trHeight w:val="243"/>
        </w:trPr>
        <w:tc>
          <w:tcPr>
            <w:tcW w:w="1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3.16 –</w:t>
            </w:r>
          </w:p>
        </w:tc>
        <w:tc>
          <w:tcPr>
            <w:tcW w:w="18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Brokers’ Fees</w:t>
            </w: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4.3</w:t>
            </w:r>
          </w:p>
        </w:tc>
        <w:tc>
          <w:tcPr>
            <w:tcW w:w="4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Buyer Approvals</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Schedule 5.1</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6"/>
              </w:rPr>
              <w:t>Conduct of Business</w:t>
            </w:r>
          </w:p>
        </w:tc>
      </w:tr>
    </w:tbl>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7" w:right="579" w:bottom="1440" w:gutter="0" w:footer="0" w:header="0"/>
        </w:sectPr>
      </w:pPr>
    </w:p>
    <w:bookmarkStart w:id="145" w:name="page146"/>
    <w:bookmarkEnd w:id="145"/>
    <w:p>
      <w:pPr>
        <w:ind w:right="300" w:firstLine="8"/>
        <w:spacing w:after="0" w:line="286" w:lineRule="auto"/>
        <w:tabs>
          <w:tab w:leader="none" w:pos="31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PURCHASE AND SALE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November 6, 2023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by and among TRINITY MINING GROUP, INC., a Delaware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CIPHER BLACK PEARL LLC, a Delaware limited liability company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Cipher Mining Inc. (f/k/a Good Works Acquisition Corp.), a Delaware corporation (“</w:t>
      </w:r>
      <w:r>
        <w:rPr>
          <w:rFonts w:ascii="Times New Roman" w:cs="Times New Roman" w:eastAsia="Times New Roman" w:hAnsi="Times New Roman"/>
          <w:sz w:val="22"/>
          <w:szCs w:val="22"/>
          <w:u w:val="single" w:color="auto"/>
          <w:color w:val="auto"/>
        </w:rPr>
        <w:t>CIFR</w:t>
      </w:r>
      <w:r>
        <w:rPr>
          <w:rFonts w:ascii="Times New Roman" w:cs="Times New Roman" w:eastAsia="Times New Roman" w:hAnsi="Times New Roman"/>
          <w:sz w:val="22"/>
          <w:szCs w:val="22"/>
          <w:color w:val="auto"/>
        </w:rPr>
        <w:t>”). Seller, Buyer and CIFR may each be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WHEREAS, Seller or its Affiliate is a party to the following agreements, in each case as further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Assumed Contracts</w:t>
      </w:r>
      <w:r>
        <w:rPr>
          <w:rFonts w:ascii="Times New Roman" w:cs="Times New Roman" w:eastAsia="Times New Roman" w:hAnsi="Times New Roman"/>
          <w:sz w:val="22"/>
          <w:szCs w:val="22"/>
          <w:color w:val="auto"/>
        </w:rPr>
        <w:t>”): (a) a data center lease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related to those certain tracts or parcels of land containing approximately 50 acres of land located in ***, Texas (the “</w:t>
      </w:r>
      <w:r>
        <w:rPr>
          <w:rFonts w:ascii="Times New Roman" w:cs="Times New Roman" w:eastAsia="Times New Roman" w:hAnsi="Times New Roman"/>
          <w:sz w:val="22"/>
          <w:szCs w:val="22"/>
          <w:u w:val="single" w:color="auto"/>
          <w:color w:val="auto"/>
        </w:rPr>
        <w:t>Leased Property</w:t>
      </w:r>
      <w:r>
        <w:rPr>
          <w:rFonts w:ascii="Times New Roman" w:cs="Times New Roman" w:eastAsia="Times New Roman" w:hAnsi="Times New Roman"/>
          <w:sz w:val="22"/>
          <w:szCs w:val="22"/>
          <w:color w:val="auto"/>
        </w:rPr>
        <w:t>”) and (b) certain other agreements providing for the construction of, and provision of power services to, a high-performance computing facility and related infrastructure on the Leased Property;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Seller or its Affiliate has received from the Electric Reliability Council of Texas (“</w:t>
      </w:r>
      <w:r>
        <w:rPr>
          <w:rFonts w:ascii="Times New Roman" w:cs="Times New Roman" w:eastAsia="Times New Roman" w:hAnsi="Times New Roman"/>
          <w:sz w:val="22"/>
          <w:szCs w:val="22"/>
          <w:u w:val="single" w:color="auto"/>
          <w:color w:val="auto"/>
        </w:rPr>
        <w:t>ERCOT</w:t>
      </w:r>
      <w:r>
        <w:rPr>
          <w:rFonts w:ascii="Times New Roman" w:cs="Times New Roman" w:eastAsia="Times New Roman" w:hAnsi="Times New Roman"/>
          <w:sz w:val="22"/>
          <w:szCs w:val="22"/>
          <w:color w:val="auto"/>
        </w:rPr>
        <w:t>”) the Approval for Large Flexible Load Interconnection (the “</w:t>
      </w:r>
      <w:r>
        <w:rPr>
          <w:rFonts w:ascii="Times New Roman" w:cs="Times New Roman" w:eastAsia="Times New Roman" w:hAnsi="Times New Roman"/>
          <w:sz w:val="22"/>
          <w:szCs w:val="22"/>
          <w:u w:val="single" w:color="auto"/>
          <w:color w:val="auto"/>
        </w:rPr>
        <w:t>ERCOT Approval</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conditionally approving 300 MW of energy consumption at the Leased Property’s interconnection;</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Seller or its Affiliate owns certain books, records, reports, studies and governmental approvals related to the Leased Property, the Assumed Contracts and the ERCOT Approval (the “</w:t>
      </w:r>
      <w:r>
        <w:rPr>
          <w:rFonts w:ascii="Times New Roman" w:cs="Times New Roman" w:eastAsia="Times New Roman" w:hAnsi="Times New Roman"/>
          <w:sz w:val="22"/>
          <w:szCs w:val="22"/>
          <w:u w:val="single" w:color="auto"/>
          <w:color w:val="auto"/>
        </w:rPr>
        <w:t>Ancillary Property</w:t>
      </w:r>
      <w:r>
        <w:rPr>
          <w:rFonts w:ascii="Times New Roman" w:cs="Times New Roman" w:eastAsia="Times New Roman" w:hAnsi="Times New Roman"/>
          <w:sz w:val="22"/>
          <w:szCs w:val="22"/>
          <w:color w:val="auto"/>
        </w:rPr>
        <w:t>” and, collectively with the ERCOT Approval and the Assumed Contracts, the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and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subject to the terms and conditions hereof, Seller desires to sell to Buyer the Purchased Assets and Buyer desires to purchase the Purchased Assets from Seller.</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contained herein and other good and valuable consideration, the receipt and sufficiency of which are hereby acknowledged, the Parties agree as follows:</w:t>
      </w:r>
    </w:p>
    <w:p>
      <w:pPr>
        <w:spacing w:after="0" w:line="1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RULES OF CONSTRUCTION</w:t>
      </w:r>
    </w:p>
    <w:p>
      <w:pPr>
        <w:spacing w:after="0" w:line="18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herein, the following terms shall have the following meanings: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controls, is controlled by, or is under common control with, such specified Person through one or more intermediaries. For the purposes of this definition, “control” means, where used with respect to any Person, the possession, directly or indirectly, of the power to direct or cause the direction of the management and policies of such Person, whether through the ownership of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6" w:name="page147"/>
    <w:bookmarkEnd w:id="146"/>
    <w:p>
      <w:pPr>
        <w:ind w:right="240" w:firstLine="62"/>
        <w:spacing w:after="0" w:line="286" w:lineRule="auto"/>
        <w:tabs>
          <w:tab w:leader="none" w:pos="369"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by contract or otherwise, and the terms “controlling” and “controlled” have correlative meanings.</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30-Day VWAP</w:t>
      </w:r>
      <w:r>
        <w:rPr>
          <w:rFonts w:ascii="Times New Roman" w:cs="Times New Roman" w:eastAsia="Times New Roman" w:hAnsi="Times New Roman"/>
          <w:sz w:val="22"/>
          <w:szCs w:val="22"/>
          <w:color w:val="auto"/>
        </w:rPr>
        <w:t>” means the volume weighted average price for a CIFR Stock traded on the Nasdaq Global Select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(as reported by Bloomberg L.P. under the function “VWAP” or, if not reported therein, in another authoritative source mutually selected by Buyer and Seller), calculated to four decimal places and determined without regard to after-hours trading or any other trading outside of the regular trading session trading hours, for the thirty (30) trading days immediately preceding the Effective Date, and excluding any days where there is a VWAP Market Disruption Event.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provided such term in the preamble to this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Property</w:t>
      </w:r>
      <w:r>
        <w:rPr>
          <w:rFonts w:ascii="Times New Roman" w:cs="Times New Roman" w:eastAsia="Times New Roman" w:hAnsi="Times New Roman"/>
          <w:sz w:val="22"/>
          <w:szCs w:val="22"/>
          <w:color w:val="auto"/>
        </w:rPr>
        <w:t>” has the meaning provided such term in the recitals to this Agreement.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 xml:space="preserve">” means the Assignment and Assumption Agreement to be executed by Seller and Buyer at the Closing, substantially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Contracts</w:t>
      </w:r>
      <w:r>
        <w:rPr>
          <w:rFonts w:ascii="Times New Roman" w:cs="Times New Roman" w:eastAsia="Times New Roman" w:hAnsi="Times New Roman"/>
          <w:sz w:val="22"/>
          <w:szCs w:val="22"/>
          <w:color w:val="auto"/>
        </w:rPr>
        <w:t>” has the meaning provided such term in the recitals to this Agreement.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the Bill of Sale to be executed by Seller and Buyer at the Closing, substantially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means all books and records to the extent relating to the Leased Property and the Purchased Assets, including, where applicable: (a) records and filings made with any Governmental Authority regarding the Leased Property or Purchased Assets (if any) and (b) records relating to Taxes and the preparation of Tax Returns (excluding Tax Returns related to Income Taxes of Seller or its Affiliates).</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the city of New York, New York are required or authorized by Law to remain closed.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provided such term in the preamble to this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Document</w:t>
      </w:r>
      <w:r>
        <w:rPr>
          <w:rFonts w:ascii="Times New Roman" w:cs="Times New Roman" w:eastAsia="Times New Roman" w:hAnsi="Times New Roman"/>
          <w:sz w:val="22"/>
          <w:szCs w:val="22"/>
          <w:color w:val="auto"/>
        </w:rPr>
        <w:t>” means each Transaction Document to which Buyer or its Affiliate is a party.</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Fundamental Representations</w:t>
      </w:r>
      <w:r>
        <w:rPr>
          <w:rFonts w:ascii="Times New Roman" w:cs="Times New Roman" w:eastAsia="Times New Roman" w:hAnsi="Times New Roman"/>
          <w:sz w:val="22"/>
          <w:szCs w:val="22"/>
          <w:color w:val="auto"/>
        </w:rPr>
        <w:t xml:space="preserve">” means the representations and warranties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(Organization),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(Authorization; Enforceability),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(Broker’s Fees), and clause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(CIFR Stocks).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Related Parties</w:t>
      </w:r>
      <w:r>
        <w:rPr>
          <w:rFonts w:ascii="Times New Roman" w:cs="Times New Roman" w:eastAsia="Times New Roman" w:hAnsi="Times New Roman"/>
          <w:sz w:val="22"/>
          <w:szCs w:val="22"/>
          <w:color w:val="auto"/>
        </w:rPr>
        <w:t>” means Buyer and its Affiliates and its and their respective Representatives.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7" w:name="page148"/>
    <w:bookmarkEnd w:id="147"/>
    <w:p>
      <w:pPr>
        <w:ind w:right="240" w:firstLine="62"/>
        <w:spacing w:after="0" w:line="286" w:lineRule="auto"/>
        <w:tabs>
          <w:tab w:leader="none" w:pos="369"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CERCLA</w:t>
      </w:r>
      <w:r>
        <w:rPr>
          <w:rFonts w:ascii="Times New Roman" w:cs="Times New Roman" w:eastAsia="Times New Roman" w:hAnsi="Times New Roman"/>
          <w:sz w:val="20"/>
          <w:szCs w:val="20"/>
          <w:color w:val="auto"/>
        </w:rPr>
        <w:t xml:space="preserve">” means the Comprehensive Environmental Response, Compensation and Liability Act, 42 U.S.C. § 9601 </w:t>
      </w:r>
      <w:r>
        <w:rPr>
          <w:rFonts w:ascii="Times New Roman" w:cs="Times New Roman" w:eastAsia="Times New Roman" w:hAnsi="Times New Roman"/>
          <w:sz w:val="20"/>
          <w:szCs w:val="20"/>
          <w:u w:val="single" w:color="auto"/>
          <w:color w:val="auto"/>
        </w:rPr>
        <w:t>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seq</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CIFR</w:t>
      </w:r>
      <w:r>
        <w:rPr>
          <w:rFonts w:ascii="Times New Roman" w:cs="Times New Roman" w:eastAsia="Times New Roman" w:hAnsi="Times New Roman"/>
          <w:sz w:val="22"/>
          <w:szCs w:val="22"/>
          <w:color w:val="auto"/>
        </w:rPr>
        <w:t>” has the meaning provided such term in the preamble to this Agreement.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CIFR Stock</w:t>
      </w:r>
      <w:r>
        <w:rPr>
          <w:rFonts w:ascii="Times New Roman" w:cs="Times New Roman" w:eastAsia="Times New Roman" w:hAnsi="Times New Roman"/>
          <w:sz w:val="22"/>
          <w:szCs w:val="22"/>
          <w:color w:val="auto"/>
        </w:rPr>
        <w:t>” means fully paid, non-assessable shares of common stock, par value $0.001 per shares of CIFR listed on The Nasdaq Global Select Market under the symbol “CIFR”.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Non-Disclosure Agreement dated as of July 17, 2023, by and between Seller and Cipher Mining Inc.</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w:t>
      </w:r>
      <w:r>
        <w:rPr>
          <w:rFonts w:ascii="Times New Roman" w:cs="Times New Roman" w:eastAsia="Times New Roman" w:hAnsi="Times New Roman"/>
          <w:sz w:val="20"/>
          <w:szCs w:val="20"/>
          <w:color w:val="auto"/>
        </w:rPr>
        <w:t>” means any legally binding agreement, arrangement, commitment, lease, license or contract, whether written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oral.</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means the disclosure schedules attached hereto, dated as of the Effective Date and the Closing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10.9(a)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States.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DWAC</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provided such term in the preamble to this Agreement.</w:t>
      </w:r>
    </w:p>
    <w:p>
      <w:pPr>
        <w:spacing w:after="0" w:line="20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xml:space="preserve">” means any Law relating to pollution, the protection of public health, the environment, natural resources, the preservation and restoration of environmental quality, worker health and safety, wildlife or environmental sensitive areas, or historic or cultural resources including, without limitation, any applicable provisions of CERCLA, the Resource Conservation and Recovery Act, the Federal Water Pollution Control Act, 33 U.S.C. § 1251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Clean Air Act, 42 U.S.C.</w:t>
      </w:r>
    </w:p>
    <w:p>
      <w:pPr>
        <w:spacing w:after="0" w:line="2" w:lineRule="exact"/>
        <w:rPr>
          <w:sz w:val="20"/>
          <w:szCs w:val="20"/>
          <w:color w:val="auto"/>
        </w:rPr>
      </w:pPr>
    </w:p>
    <w:p>
      <w:pPr>
        <w:jc w:val="both"/>
        <w:ind w:firstLine="8"/>
        <w:spacing w:after="0" w:line="260" w:lineRule="auto"/>
        <w:tabs>
          <w:tab w:leader="none" w:pos="17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7401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Toxic Substances Control Act, 15 U.S.C. § 2601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Federal Insecticide, Fungicide, and Rodenticide Act, 7 U.S.C. § 136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Oil Pollution Act of 1990, 33 U.S.C. § 2701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Emergency Planning and Community Right-to-Know Act of 1986, 42 U.S.C. § 11001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Safe Drinking Water Act, 42 U.S.C. § 300f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Endangered Species Act, 16 U.S.C. § 1531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Solid Waste Disposal Act, 42 U.S.C. § 6901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Occupational Safety and Health Act of 1970, 29 U.S.C. § 651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and all applicable analogous state or local statutes, regulations, orders or ordinances.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8" w:name="page149"/>
    <w:bookmarkEnd w:id="148"/>
    <w:p>
      <w:pPr>
        <w:ind w:right="240" w:firstLine="62"/>
        <w:spacing w:after="0" w:line="286" w:lineRule="auto"/>
        <w:tabs>
          <w:tab w:leader="none" w:pos="369"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ERCOT</w:t>
      </w:r>
      <w:r>
        <w:rPr>
          <w:rFonts w:ascii="Times New Roman" w:cs="Times New Roman" w:eastAsia="Times New Roman" w:hAnsi="Times New Roman"/>
          <w:sz w:val="22"/>
          <w:szCs w:val="22"/>
          <w:color w:val="auto"/>
        </w:rPr>
        <w:t>” has the meaning provided such term in the recitals to this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ERCOT Approval</w:t>
      </w:r>
      <w:r>
        <w:rPr>
          <w:rFonts w:ascii="Times New Roman" w:cs="Times New Roman" w:eastAsia="Times New Roman" w:hAnsi="Times New Roman"/>
          <w:sz w:val="22"/>
          <w:szCs w:val="22"/>
          <w:color w:val="auto"/>
        </w:rPr>
        <w:t>” has the meaning provided such term in the recitals to this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Oncor FEA</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7.2(g)</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Geotechnical Study</w:t>
      </w:r>
      <w:r>
        <w:rPr>
          <w:rFonts w:ascii="Times New Roman" w:cs="Times New Roman" w:eastAsia="Times New Roman" w:hAnsi="Times New Roman"/>
          <w:sz w:val="22"/>
          <w:szCs w:val="22"/>
          <w:color w:val="auto"/>
        </w:rPr>
        <w:t>” means the study conducted by Buyer or its designees at the Leased Property to obtain information on physical properties of soil and determine the suitability of the Leased Property.</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foreign, federal, national, regional, state, municipal or local government, any political subdivision or any governmental, judicial, public or statutory instrumentality, tribunal, court, arbitral panel, agency, or other regulatory bureau, authority, body or entity having legal jurisdiction or authority over the matter or Person in question.</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waste, chemical, material or other substance that is listed, defined, designated or classified as hazardous, radioactive or toxic or as a pollutant or a contaminant under any Environmental Law including hazardous waste as defined by 42 U.S.C. § 6903(5), any hazardous substance as defined by 42 U.S.C. § 9601(14), any pollutant or contaminant as defined by 42 U.S.C. § 9601(33), petroleum (including crude oil or any fraction thereof), petroleum product, asbestos or asbestos containing material, urea formaldehyde insulation, radon or polychlorinated biphenyls that is regulated or for which Liability can be imposed under any applicable Environmental Laws.</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w:t>
      </w:r>
      <w:r>
        <w:rPr>
          <w:rFonts w:ascii="Times New Roman" w:cs="Times New Roman" w:eastAsia="Times New Roman" w:hAnsi="Times New Roman"/>
          <w:sz w:val="22"/>
          <w:szCs w:val="22"/>
          <w:color w:val="auto"/>
        </w:rPr>
        <w:t>” (and, with the correlative meaning, “</w:t>
      </w:r>
      <w:r>
        <w:rPr>
          <w:rFonts w:ascii="Times New Roman" w:cs="Times New Roman" w:eastAsia="Times New Roman" w:hAnsi="Times New Roman"/>
          <w:sz w:val="22"/>
          <w:szCs w:val="22"/>
          <w:u w:val="single" w:color="auto"/>
          <w:color w:val="auto"/>
        </w:rPr>
        <w:t>Income Taxes</w:t>
      </w:r>
      <w:r>
        <w:rPr>
          <w:rFonts w:ascii="Times New Roman" w:cs="Times New Roman" w:eastAsia="Times New Roman" w:hAnsi="Times New Roman"/>
          <w:sz w:val="22"/>
          <w:szCs w:val="22"/>
          <w:color w:val="auto"/>
        </w:rPr>
        <w:t>”) shall mean any Tax that is based on, or computed with respect to, net income or earnings, gross income or earnings, capital or, net worth (and any franchise Tax or other Tax in connection with doing business imposed in lieu thereof) and any related penalties, interest and additions to Tax.</w:t>
      </w:r>
    </w:p>
    <w:p>
      <w:pPr>
        <w:spacing w:after="0" w:line="17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 any indebtedness for borrowed money, (b) any indebtedness evidenced by any note, bond, debenture, mortgage or other debt instrument or debt security, (c) amounts owing as deferred purchase price for the purchase of property or services other than accounts payable incurred in the ordinary course of business, (d) liabilities under any interest rate protection agreement, interest rate future agreement, interest rate option agreement, interest rate swap agreement or other similar agreement designed to protect Seller against fluctuations in interest rates or other currency fluctuations, (e) all contingent reimbursement obligations with respect to letters of credit, except for letters of credit released on or prior to Closing, (f) any obligations under capitalized leases, conditional sales contracts and other similar title retention instruments whether short term or long term, (g) any obligations of the types referred to in clauses (a) – (f) secured by a Lien on the Purchased Assets and/or any off-balance sheet financings; and (h) all guarantees of obligations of a type referred to in clauses (a) – (g).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9" w:name="page150"/>
    <w:bookmarkEnd w:id="149"/>
    <w:p>
      <w:pPr>
        <w:ind w:right="240" w:firstLine="62"/>
        <w:spacing w:after="0" w:line="286" w:lineRule="auto"/>
        <w:tabs>
          <w:tab w:leader="none" w:pos="36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the actual knowledge, after reasonable inquiry of Seller’s relevant employees and review of the documentation and materials in control of Seller, of such fact, matter or circumstance, of Parker Handlin, Austin Davis, Corey Leedy, Clark Thompson and Chris Johnson.</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applicable law (including common law), statute, treaty, rule, regulation, ordinance, code, order, judgment or decree of a Governmental Authority, as amended.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has the meaning provided such term in the recitals to this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Amendment</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Property</w:t>
      </w:r>
      <w:r>
        <w:rPr>
          <w:rFonts w:ascii="Times New Roman" w:cs="Times New Roman" w:eastAsia="Times New Roman" w:hAnsi="Times New Roman"/>
          <w:sz w:val="22"/>
          <w:szCs w:val="22"/>
          <w:color w:val="auto"/>
        </w:rPr>
        <w:t>” has the meaning provided such term in the recitals to this Agreement.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means any liability, obligation, expense, claim, loss, damage, Indebtedness, principal, interest, penalty, guaranty or endorsement of or by any Person, absolute or contingent, known or unknown, accrued or unaccrued, due or to become due, liquidated or unliquidated.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charge, lien (whether arising by operation of Contract, Law or otherwise), pledge, option, encumbrance, mortgage, deed of trust, hypothecation or security interest.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all actual Liabilities, losses, payments, damages, fines, penalties, judgments, settlements, awards, costs and expenses (including reasonable fees and expenses of counsel, court or arbitration fees, and other costs and expenses of investigation or defense).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Made Available</w:t>
      </w:r>
      <w:r>
        <w:rPr>
          <w:rFonts w:ascii="Times New Roman" w:cs="Times New Roman" w:eastAsia="Times New Roman" w:hAnsi="Times New Roman"/>
          <w:sz w:val="22"/>
          <w:szCs w:val="22"/>
          <w:color w:val="auto"/>
        </w:rPr>
        <w:t>” means made available to Buyer at least three (3) Business Days prior to the Effective Date or the Closing Date, as applicable.</w:t>
      </w:r>
    </w:p>
    <w:p>
      <w:pPr>
        <w:spacing w:after="0" w:line="15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xml:space="preserve">” means, (a) any event, circumstance or condition materially impairing Seller’s authority, right or ability to consummate the transactions contemplated by this Agreement; or, (b) any change in, or effect on, Seller or the Purchased Assets that is materially adverse to the ownership or use or operation of the Purchased Assets (as compared to the ownership or use of the Purchased Assets on the Effective Date),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“Material Adverse Effect” shall not include any change, effect, event, circumstance, occurrence, or state of facts, directly or indirectly, arising out of or attributable to: (i) general economic or political conditions; (ii) conditions generally affecting the industries in which a business operates; (iii) any changes in financial, banking, or securities markets in general, including any disruption thereof and any decline in the price of any security or any market index or any change in prevailing interest rates; (iv) acts of war (whether or not declared), armed hostilities, or terrorism, or the escalation or worsening thereof; (v) any changes in applicable Laws or accounting rules (including GAAP) or the enforcement, implementation, or interpretation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0" w:name="page151"/>
    <w:bookmarkEnd w:id="150"/>
    <w:p>
      <w:pPr>
        <w:ind w:right="240" w:firstLine="62"/>
        <w:spacing w:after="0" w:line="286" w:lineRule="auto"/>
        <w:tabs>
          <w:tab w:leader="none" w:pos="369"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thereof; (vi) any natural or man-made disaster or acts of God; or (vii) any epidemics, pandemics, disease outbreaks, or other public health emergencies.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Global Select Market.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Oncor</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5.4(a)(ii)</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Oncor FEA</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5.4(a)(ii)</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any charter, certificate of incorporation, certificate of formation, certificate of limited partnership, articles of association, bylaws, operating agreement, partnership agreement, limited liability company agreement or similar formation or governing documents and instruments.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Overall Cap</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8.2(e)(i)</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have the meanings provided such terms in the preamble to this Agreement.</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partnership, limited liability company, incorporated or unincorporated association, joint venture, joint stock company, Governmental Authority or other entity of any kind.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Straddle Period</w:t>
      </w:r>
      <w:r>
        <w:rPr>
          <w:rFonts w:ascii="Times New Roman" w:cs="Times New Roman" w:eastAsia="Times New Roman" w:hAnsi="Times New Roman"/>
          <w:sz w:val="22"/>
          <w:szCs w:val="22"/>
          <w:color w:val="auto"/>
        </w:rPr>
        <w:t>” shall mean the portion of a Straddle Period beginning immediately after the Closing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Straddle Period</w:t>
      </w:r>
      <w:r>
        <w:rPr>
          <w:rFonts w:ascii="Times New Roman" w:cs="Times New Roman" w:eastAsia="Times New Roman" w:hAnsi="Times New Roman"/>
          <w:sz w:val="22"/>
          <w:szCs w:val="22"/>
          <w:color w:val="auto"/>
        </w:rPr>
        <w:t>” shall mean the portion of a Straddle Period beginning before the Closing and ending on or as of the Closing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 taxable period ending on or before the Closing Date.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5.4(a)(i)</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 Contracts</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5.4(a)(i)</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action, suit, litigation, hearing, arbitration, prosecution, contest, inquiry, inquest, audit, examination, investigation, or other proceeding (including any civil, criminal, administrative, investigative, or appellate proceeding and any informal proceeding) by or before any Governmental Authority or any arbitrator or arbitration panel.</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prospectus filed for the Shelf Registration Statement, including all information, documents and exhibits filed with or incorporated by reference into such prospectus.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1" w:name="page152"/>
    <w:bookmarkEnd w:id="151"/>
    <w:p>
      <w:pPr>
        <w:ind w:right="240" w:firstLine="62"/>
        <w:spacing w:after="0" w:line="286" w:lineRule="auto"/>
        <w:tabs>
          <w:tab w:leader="none" w:pos="36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 Supplement</w:t>
      </w:r>
      <w:r>
        <w:rPr>
          <w:rFonts w:ascii="Times New Roman" w:cs="Times New Roman" w:eastAsia="Times New Roman" w:hAnsi="Times New Roman"/>
          <w:sz w:val="22"/>
          <w:szCs w:val="22"/>
          <w:color w:val="auto"/>
        </w:rPr>
        <w:t>” means the supplement to the Prospectus complying with Rule 424(b) of the Securities Act that is or will be filed with the SEC, including all information, documents and exhibits filed with or incorporated by reference into such supplement to the Prospectus.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provided to such term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has the meaning provided such term in the recitals to this Agreement.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pumping, pouring, emitting, emptying, escape, injection, deposit, disposal, discharge, dispersal, dumping, leaching or migration of Hazardous Materials in the outdoor environment, including the movement of Hazardous Materials through or in the air, soil, surface water, or ground water.</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as to any Person, its managers, officers, directors, stockholders, members, partners (including limited partners and general partners), employees, counsel, accountants, financial advisors, consultants and other representatives of such Person and such Person’s Affiliates, and their respective successors and assigns.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provided such term in the preamble to this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Approvals</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Document</w:t>
      </w:r>
      <w:r>
        <w:rPr>
          <w:rFonts w:ascii="Times New Roman" w:cs="Times New Roman" w:eastAsia="Times New Roman" w:hAnsi="Times New Roman"/>
          <w:sz w:val="22"/>
          <w:szCs w:val="22"/>
          <w:color w:val="auto"/>
        </w:rPr>
        <w:t>” means each Transaction Document to which Seller or its Affiliate is a party.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FEA</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7.2(g)</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FEA Collateral</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7.2(g)</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the representations and warranties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(Organization),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(Authorization; Enforceability),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(No Conflict),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(Ownership of Assets),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(Bankruptcy) and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(Broker’s Fees).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Related Parties</w:t>
      </w:r>
      <w:r>
        <w:rPr>
          <w:rFonts w:ascii="Times New Roman" w:cs="Times New Roman" w:eastAsia="Times New Roman" w:hAnsi="Times New Roman"/>
          <w:sz w:val="22"/>
          <w:szCs w:val="22"/>
          <w:color w:val="auto"/>
        </w:rPr>
        <w:t>” means Seller and its Affiliates and its and their respective Representatives.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Contracts</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means the effective shelf registration statement of CIFR on Form S-3, as amended (No. 333-267537), including all information, documents and exhibits filed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2" w:name="page153"/>
    <w:bookmarkEnd w:id="152"/>
    <w:p>
      <w:pPr>
        <w:ind w:right="240" w:firstLine="62"/>
        <w:spacing w:after="0" w:line="286" w:lineRule="auto"/>
        <w:tabs>
          <w:tab w:leader="none" w:pos="369"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or incorporated by reference into such registration statement, providing for the offering, issuance and sale by CIFR from time to time of up to $500.0 million under the Securities Act in the aggregate of the CIFR common stock, preferred stock, warrants and units.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Straddle Tax Period</w:t>
      </w:r>
      <w:r>
        <w:rPr>
          <w:rFonts w:ascii="Times New Roman" w:cs="Times New Roman" w:eastAsia="Times New Roman" w:hAnsi="Times New Roman"/>
          <w:sz w:val="20"/>
          <w:szCs w:val="20"/>
          <w:color w:val="auto"/>
        </w:rPr>
        <w:t>” means a taxable period beginning on or before the Closing Date and ending after the Closing Date.</w:t>
      </w:r>
    </w:p>
    <w:p>
      <w:pPr>
        <w:spacing w:after="0" w:line="22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(i) any and all federal, state, local or foreign taxes, fees, levies, duties, tariffs, imposts and other charges of any kind (whether or not imposed on Seller or on any of its Affiliates), imposed by any Governmental Authority, including taxes or other charges on, measured by, or with respect to income, franchise, windfall or other profits, gross receipts, property, sales, use, capital stock, payroll, employment, social security, workers’ compensation, unemployment compensation or net worth; taxes or other charges in the nature of excise, withholding, ad valorem, stamp, transfer, escheat, unclaimed property, value-added or gains taxes; license, registration and documentation fees; and customs duties, tariffs and similar charges; (ii) any Liability for the payment of any amounts of the type described in clause (i) as a result of being a member of, or a successor member of, an affiliated, combined, consolidated or unitary group for any taxable period; (iii) any Liability for the payment of any amounts of the type described in clause (i) as a result of being a Person required by applicable Law to withhold or collect taxes imposed on another Person; (iv) any Liability for the payment of amounts of the type described in clause (i), (ii) or (iii) as a result of being a transferee of, or a successor in interest to, any Person (whether pursuant to a merger, conversion, liquidation or otherwise) or as a result of an express or implied obligation to indemnify any Person; and (v) any and all interest, penalties, additions to tax and additional amounts imposed in connection with or with respect to any amounts described in clause (i), (ii), (iii) or (iv), whether disputed or not.</w:t>
      </w:r>
    </w:p>
    <w:p>
      <w:pPr>
        <w:spacing w:after="0" w:line="19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Authority</w:t>
      </w:r>
      <w:r>
        <w:rPr>
          <w:rFonts w:ascii="Times New Roman" w:cs="Times New Roman" w:eastAsia="Times New Roman" w:hAnsi="Times New Roman"/>
          <w:sz w:val="22"/>
          <w:szCs w:val="22"/>
          <w:color w:val="auto"/>
        </w:rPr>
        <w:t>” means any Governmental Authority having jurisdiction over the assessment, determination, collection or imposition of any Tax.</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Proceeding</w:t>
      </w:r>
      <w:r>
        <w:rPr>
          <w:rFonts w:ascii="Times New Roman" w:cs="Times New Roman" w:eastAsia="Times New Roman" w:hAnsi="Times New Roman"/>
          <w:sz w:val="22"/>
          <w:szCs w:val="22"/>
          <w:color w:val="auto"/>
        </w:rPr>
        <w:t xml:space="preserve">” has the meaning provided such term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claim for refund, report, statement, form, declaration, information returns or other documentation (including any additional or supporting material, schedules, attachments, statements and any amendments or supplements) filed, supplied or maintained, or required to be filed, supplied or maintained, with respect to or in connection with the calculation, determination, assessment or collection of any Taxes.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(a) Seller, (b) Buyer or (c) any Affiliate of Seller or Buyer.</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the Assignment and Assumption Agreement, the Bill of Sale and all other documents, instruments, certificates and agreements delivered or required to be delivered pursuant to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3" w:name="page154"/>
    <w:bookmarkEnd w:id="153"/>
    <w:p>
      <w:pPr>
        <w:ind w:right="240" w:firstLine="62"/>
        <w:spacing w:after="0" w:line="286" w:lineRule="auto"/>
        <w:tabs>
          <w:tab w:leader="none" w:pos="369"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w:t>
      </w:r>
      <w:r>
        <w:rPr>
          <w:rFonts w:ascii="Times New Roman" w:cs="Times New Roman" w:eastAsia="Times New Roman" w:hAnsi="Times New Roman"/>
          <w:sz w:val="22"/>
          <w:szCs w:val="22"/>
          <w:color w:val="auto"/>
        </w:rPr>
        <w:t>” means any stamp duty, sales, use, registration, or excise Tax, real estate transfer Taxes, conveyance fees, recording charges, or Taxes, fees, or charges of a similar nature imposed by any Taxing Authority upon Buyer, Seller or the Purchased Assets, in each case by reason of the Closing on the purchase and sale of the Purchased Assets, or any Tax that becomes a Lien on the Purchased Assets in connection with the transactions contemplated by this Agreement, and including any interest, penalties, or additions to Tax that become payable with respect to such Tax. For the avoidance of doubt, the term “Transfer Tax” shall not include any Income Tax or withholding Tax.</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regulations promulgated by the United States Treasury Department under the Code.</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 Market Disruption Event</w:t>
      </w:r>
      <w:r>
        <w:rPr>
          <w:rFonts w:ascii="Times New Roman" w:cs="Times New Roman" w:eastAsia="Times New Roman" w:hAnsi="Times New Roman"/>
          <w:sz w:val="22"/>
          <w:szCs w:val="22"/>
          <w:color w:val="auto"/>
        </w:rPr>
        <w:t>” means, with respect to any date, (a) the failure by the principal U.S. national or regional securities exchange on which the CIFR Stock is then listed, or, if the CIFR Stock is not then listed on a U.S. national or regional securities exchange, the principal other market on which the CIFR Stock are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CIFR Stock or in any options contracts or futures contracts relating to the CIFR Stock, and such suspension or limitation occurs or exists at any time before 1:00 p.m., New York City time, on such date.</w:t>
      </w:r>
    </w:p>
    <w:p>
      <w:pPr>
        <w:spacing w:after="0" w:line="18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0"/>
          <w:szCs w:val="20"/>
          <w:u w:val="single" w:color="auto"/>
          <w:color w:val="auto"/>
        </w:rPr>
        <w:t>Rules of Construction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7" w:lineRule="auto"/>
        <w:tabs>
          <w:tab w:leader="none" w:pos="1981"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article, section, schedule and exhibit references used in this Agreement are to articles, sections, schedules and exhibits of or to this Agreement unless otherwise specified. The schedules and exhibits attached to this Agreement constitute a part of this Agreement and are incorporated herein for all purposes. All references to “schedules” or “Schedules” herein shall be deemed to be references to the Disclosure Schedules (or portion thereof, if applicable) unless otherwise specified.</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4" w:lineRule="auto"/>
        <w:tabs>
          <w:tab w:leader="none" w:pos="1954"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term is defined as one part of speech (such as a noun), it shall have a corresponding meaning when used as another part of speech (such as a verb). Terms defined in the singular have the corresponding meanings in the plural, and vice versa. Unless the context of this Agreement clearly requires otherwise, words importing the masculine gender shall include the feminine and neutral genders and vice versa. The words “hereof,” “hereto,” “hereby,” “herein,” “hereunder” and words of similar import, when used in this Agreement, shall refer to this Agreement as a whole and not to any particular section or article in which such words appear. As used in this Agreement, the words “include” and “including,” and variations thereof, shall not be deemed to be terms of limitation, but rather shall be deemed to be followed by the words “without limitation”. The use of the word “or” to connect two or more phrases shall be construed as inclusive of all such phrases (e.g., “A or B” means “A or B, or both”).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4" w:name="page155"/>
    <w:bookmarkEnd w:id="154"/>
    <w:p>
      <w:pPr>
        <w:ind w:right="240" w:firstLine="62"/>
        <w:spacing w:after="0" w:line="286" w:lineRule="auto"/>
        <w:tabs>
          <w:tab w:leader="none" w:pos="36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ind w:left="760" w:firstLine="745"/>
        <w:spacing w:after="0" w:line="258" w:lineRule="auto"/>
        <w:tabs>
          <w:tab w:leader="none" w:pos="1967"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shall be construed without regard to any presumption or rule requiring construction or interpretation against the drafting Party or any Party causing any instrument to be drafted.</w:t>
      </w:r>
    </w:p>
    <w:p>
      <w:pPr>
        <w:spacing w:after="0" w:line="157" w:lineRule="exact"/>
        <w:rPr>
          <w:rFonts w:ascii="Times New Roman" w:cs="Times New Roman" w:eastAsia="Times New Roman" w:hAnsi="Times New Roman"/>
          <w:sz w:val="22"/>
          <w:szCs w:val="22"/>
          <w:color w:val="010000"/>
        </w:rPr>
      </w:pPr>
    </w:p>
    <w:p>
      <w:pPr>
        <w:ind w:left="760" w:firstLine="745"/>
        <w:spacing w:after="0" w:line="258" w:lineRule="auto"/>
        <w:tabs>
          <w:tab w:leader="none" w:pos="1940"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captions and headings in this Agreement are for convenience only and shall not be considered a part of or affect the construction or interpretation of any provision of this Agreement.</w:t>
      </w:r>
    </w:p>
    <w:p>
      <w:pPr>
        <w:spacing w:after="0" w:line="157" w:lineRule="exact"/>
        <w:rPr>
          <w:rFonts w:ascii="Times New Roman" w:cs="Times New Roman" w:eastAsia="Times New Roman" w:hAnsi="Times New Roman"/>
          <w:sz w:val="22"/>
          <w:szCs w:val="22"/>
          <w:color w:val="010000"/>
        </w:rPr>
      </w:pPr>
    </w:p>
    <w:p>
      <w:pPr>
        <w:ind w:left="760" w:firstLine="745"/>
        <w:spacing w:after="0" w:line="258" w:lineRule="auto"/>
        <w:tabs>
          <w:tab w:leader="none" w:pos="1940"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all references to currency herein shall be to, and all payments required hereunder shall be paid in, Dollars.</w:t>
      </w:r>
    </w:p>
    <w:p>
      <w:pPr>
        <w:spacing w:after="0" w:line="157" w:lineRule="exact"/>
        <w:rPr>
          <w:rFonts w:ascii="Times New Roman" w:cs="Times New Roman" w:eastAsia="Times New Roman" w:hAnsi="Times New Roman"/>
          <w:sz w:val="22"/>
          <w:szCs w:val="22"/>
          <w:color w:val="010000"/>
        </w:rPr>
      </w:pPr>
    </w:p>
    <w:p>
      <w:pPr>
        <w:ind w:left="1960" w:hanging="455"/>
        <w:spacing w:after="0"/>
        <w:tabs>
          <w:tab w:leader="none" w:pos="1960"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accounting terms used herein and not expressly defined herein shall have the meanings given to them</w:t>
      </w:r>
    </w:p>
    <w:p>
      <w:pPr>
        <w:spacing w:after="0" w:line="13" w:lineRule="exact"/>
        <w:rPr>
          <w:rFonts w:ascii="Times New Roman" w:cs="Times New Roman" w:eastAsia="Times New Roman" w:hAnsi="Times New Roman"/>
          <w:sz w:val="22"/>
          <w:szCs w:val="22"/>
          <w:color w:val="010000"/>
        </w:rPr>
      </w:pPr>
    </w:p>
    <w:p>
      <w:pPr>
        <w:ind w:left="7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under GAAP.</w:t>
      </w:r>
    </w:p>
    <w:p>
      <w:pPr>
        <w:spacing w:after="0" w:line="181"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40"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event hereunder requiring the payment of cash or cash equivalents on a day that is not a Business Day shall be deferred until the next Business Day. Whenever this Agreement refers to a number of days, such number shall refer to calendar days unless Business Days are specified.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PURCHASE PRICE; CLOSING</w:t>
      </w:r>
    </w:p>
    <w:p>
      <w:pPr>
        <w:spacing w:after="0" w:line="18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 At the Closing, upon the terms and subject to the conditions set forth in this Agreement, Buyer agrees to purchase and acquire from Seller, and Seller agrees to sell, convey, assign, transfer and deliver to Buyer, all of Seller’s right, title and interest in and to the Purchased Assets free and clear of all Liens.</w:t>
      </w:r>
    </w:p>
    <w:p>
      <w:pPr>
        <w:spacing w:after="0" w:line="172"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to be paid by Buyer to Seller for the Purchased Assets hereunder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shall be an amount equal to seven million Dollars ($7,000,000). The Purchase Price will be paid by delivery of whole shares of CIFR Stock. The amount of CIFR Stock to be delivered under this Agreement shall be calculated by dividing the Purchase Price by the 30-Day VWAP of CIFR Stock, rounding such product down to the nearest whole number of CIFR Stock, and issued as provided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The CIFR Stock to be issued to Seller under this Agreement will be issued pursuant to the Shelf Registration Statement.</w:t>
      </w:r>
    </w:p>
    <w:p>
      <w:pPr>
        <w:spacing w:after="0" w:line="200" w:lineRule="exact"/>
        <w:rPr>
          <w:sz w:val="20"/>
          <w:szCs w:val="20"/>
          <w:color w:val="auto"/>
        </w:rPr>
      </w:pPr>
    </w:p>
    <w:p>
      <w:pPr>
        <w:spacing w:after="0" w:line="222"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The closing of the transactions described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at the offices of Winstead PC, 300 Throckmorton Street, Suite 1700, Fort Worth, TX 76102 (or remotely via the electronic exchange of documents and signatures), commencing at 10:00 a.m. Pacific Standard Time on the day that is three (3) Business Days after the date on which the last of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satisfied or waived (other than those conditions that by their nature cannot be satisfied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5" w:name="page156"/>
    <w:bookmarkEnd w:id="155"/>
    <w:p>
      <w:pPr>
        <w:ind w:right="240" w:firstLine="62"/>
        <w:spacing w:after="0" w:line="286" w:lineRule="auto"/>
        <w:tabs>
          <w:tab w:leader="none" w:pos="36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until the Closing, but subject to the satisfaction or waiver of such conditions) or at such other time and place as shall be agreed by Buyer and Seller (such date,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Closing shall be deemed to have been consummated at 12:01 a.m. Pacific Standard Time on the Closing Date.</w:t>
      </w:r>
    </w:p>
    <w:p>
      <w:pPr>
        <w:spacing w:after="0" w:line="172" w:lineRule="exact"/>
        <w:rPr>
          <w:sz w:val="20"/>
          <w:szCs w:val="20"/>
          <w:color w:val="auto"/>
        </w:rPr>
      </w:pPr>
    </w:p>
    <w:p>
      <w:pPr>
        <w:ind w:left="1500"/>
        <w:spacing w:after="0"/>
        <w:tabs>
          <w:tab w:leader="none" w:pos="282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2"/>
          <w:szCs w:val="22"/>
          <w:u w:val="single" w:color="auto"/>
          <w:color w:val="auto"/>
        </w:rPr>
        <w:t>Seller’s Closing Deliverables</w:t>
      </w:r>
      <w:r>
        <w:rPr>
          <w:rFonts w:ascii="Times New Roman" w:cs="Times New Roman" w:eastAsia="Times New Roman" w:hAnsi="Times New Roman"/>
          <w:sz w:val="22"/>
          <w:szCs w:val="22"/>
          <w:color w:val="auto"/>
        </w:rPr>
        <w:t>.  At the Closing, Seller shall deliver, or cause to be delivered,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the following:</w:t>
      </w:r>
    </w:p>
    <w:p>
      <w:pPr>
        <w:spacing w:after="0" w:line="181" w:lineRule="exact"/>
        <w:rPr>
          <w:sz w:val="20"/>
          <w:szCs w:val="20"/>
          <w:color w:val="auto"/>
        </w:rPr>
      </w:pPr>
    </w:p>
    <w:p>
      <w:pPr>
        <w:ind w:left="1940" w:hanging="435"/>
        <w:spacing w:after="0"/>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Assignment and Assumption Agreement, duly executed by Seller for transfer of the Assumed Contracts</w:t>
      </w:r>
    </w:p>
    <w:p>
      <w:pPr>
        <w:spacing w:after="0" w:line="36" w:lineRule="exact"/>
        <w:rPr>
          <w:rFonts w:ascii="Times New Roman" w:cs="Times New Roman" w:eastAsia="Times New Roman" w:hAnsi="Times New Roman"/>
          <w:sz w:val="20"/>
          <w:szCs w:val="20"/>
          <w:color w:val="010000"/>
        </w:rPr>
      </w:pPr>
    </w:p>
    <w:p>
      <w:pPr>
        <w:ind w:left="7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to Buyer;</w:t>
      </w:r>
    </w:p>
    <w:p>
      <w:pPr>
        <w:spacing w:after="0" w:line="181" w:lineRule="exact"/>
        <w:rPr>
          <w:rFonts w:ascii="Times New Roman" w:cs="Times New Roman" w:eastAsia="Times New Roman" w:hAnsi="Times New Roman"/>
          <w:sz w:val="20"/>
          <w:szCs w:val="20"/>
          <w:color w:val="010000"/>
        </w:rPr>
      </w:pPr>
    </w:p>
    <w:p>
      <w:pPr>
        <w:ind w:left="760" w:firstLine="745"/>
        <w:spacing w:after="0" w:line="258" w:lineRule="auto"/>
        <w:tabs>
          <w:tab w:leader="none" w:pos="1954"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Bill of Sale, duly executed as necessary by Seller for the transfer of the Ancillary Property and the ERCOT Approval to Buyer or its designee;</w:t>
      </w:r>
    </w:p>
    <w:p>
      <w:pPr>
        <w:spacing w:after="0" w:line="122" w:lineRule="exact"/>
        <w:rPr>
          <w:rFonts w:ascii="Times New Roman" w:cs="Times New Roman" w:eastAsia="Times New Roman" w:hAnsi="Times New Roman"/>
          <w:sz w:val="22"/>
          <w:szCs w:val="22"/>
          <w:color w:val="010000"/>
        </w:rPr>
      </w:pPr>
    </w:p>
    <w:p>
      <w:pPr>
        <w:ind w:left="1940" w:hanging="435"/>
        <w:spacing w:after="0" w:line="253" w:lineRule="exact"/>
        <w:tabs>
          <w:tab w:leader="none" w:pos="194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duly executed and valid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w:t>
      </w:r>
    </w:p>
    <w:p>
      <w:pPr>
        <w:spacing w:after="0" w:line="253" w:lineRule="exact"/>
        <w:rPr>
          <w:rFonts w:ascii="Times New Roman" w:cs="Times New Roman" w:eastAsia="Times New Roman" w:hAnsi="Times New Roman"/>
          <w:sz w:val="22"/>
          <w:szCs w:val="22"/>
          <w:color w:val="010000"/>
        </w:rPr>
      </w:pPr>
    </w:p>
    <w:p>
      <w:pPr>
        <w:jc w:val="both"/>
        <w:ind w:left="760" w:firstLine="745"/>
        <w:spacing w:after="0" w:line="262" w:lineRule="auto"/>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the secretary or other authorized officer of Seller, dated as of the Closing Date, certifying as to (i) the resolutions of the members of Seller, as attached thereto, authorizing the execution, delivery and performance of this Agreement and each applicable Seller Document and the consummation by Seller of the transactions contemplated hereby and thereby, (ii) the incumbency and signature of the authorized representatives of Seller, attached thereto, executing this Agreement and the applicable Seller Documents to be executed by Seller on the Closing Date as contemplated herein and (iii) a good standing certificate issued by the Secretary of State of the State of Delaware with respect to Seller, dated as of a recent date prior to the Closing Date, certifying that Seller is in good standing;</w:t>
      </w:r>
    </w:p>
    <w:p>
      <w:pPr>
        <w:spacing w:after="0" w:line="157" w:lineRule="exact"/>
        <w:rPr>
          <w:rFonts w:ascii="Times New Roman" w:cs="Times New Roman" w:eastAsia="Times New Roman" w:hAnsi="Times New Roman"/>
          <w:sz w:val="20"/>
          <w:szCs w:val="20"/>
          <w:color w:val="010000"/>
        </w:rPr>
      </w:pPr>
    </w:p>
    <w:p>
      <w:pPr>
        <w:ind w:left="760" w:firstLine="745"/>
        <w:spacing w:after="0" w:line="258" w:lineRule="auto"/>
        <w:tabs>
          <w:tab w:leader="none" w:pos="194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certificate of an authorized officer of Seller, dated as of the Closing Date, certifying as to Seller satisfying the conditions specified in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54"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evidence that any consents, approvals, authorizations or filings with or notices set forth on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xml:space="preserve"> necessary to permit Buyer and Seller to perform their obligations under this Agreement and to consummate the transactions contemplated hereunder have been obtained; and</w:t>
      </w:r>
    </w:p>
    <w:p>
      <w:pPr>
        <w:spacing w:after="0" w:line="172"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other documents reasonably necessary to consummate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-1043940</wp:posOffset>
            </wp:positionV>
            <wp:extent cx="27368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2">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08" w:lineRule="exact"/>
        <w:rPr>
          <w:sz w:val="20"/>
          <w:szCs w:val="20"/>
          <w:color w:val="auto"/>
        </w:rPr>
      </w:pPr>
    </w:p>
    <w:p>
      <w:pPr>
        <w:ind w:left="1500"/>
        <w:spacing w:after="0"/>
        <w:tabs>
          <w:tab w:leader="none" w:pos="280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2"/>
          <w:szCs w:val="22"/>
          <w:u w:val="single" w:color="auto"/>
          <w:color w:val="auto"/>
        </w:rPr>
        <w:t>Buyer’s Closing Deliverables</w:t>
      </w:r>
      <w:r>
        <w:rPr>
          <w:rFonts w:ascii="Times New Roman" w:cs="Times New Roman" w:eastAsia="Times New Roman" w:hAnsi="Times New Roman"/>
          <w:sz w:val="22"/>
          <w:szCs w:val="22"/>
          <w:color w:val="auto"/>
        </w:rPr>
        <w:t>.  At the Closing, Buyer shall deliver, or cause to be delivered,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the following:</w:t>
      </w:r>
    </w:p>
    <w:p>
      <w:pPr>
        <w:spacing w:after="0" w:line="181" w:lineRule="exact"/>
        <w:rPr>
          <w:sz w:val="20"/>
          <w:szCs w:val="20"/>
          <w:color w:val="auto"/>
        </w:rPr>
      </w:pPr>
    </w:p>
    <w:p>
      <w:pPr>
        <w:ind w:left="1940" w:hanging="435"/>
        <w:spacing w:after="0"/>
        <w:tabs>
          <w:tab w:leader="none" w:pos="1940" w:val="left"/>
        </w:tabs>
        <w:numPr>
          <w:ilvl w:val="1"/>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Evidence reasonably satisfactory to Seller that CIFR has issued instructions to Continental Stock Transfer</w:t>
      </w:r>
    </w:p>
    <w:p>
      <w:pPr>
        <w:spacing w:after="0" w:line="36" w:lineRule="exact"/>
        <w:rPr>
          <w:rFonts w:ascii="Times New Roman" w:cs="Times New Roman" w:eastAsia="Times New Roman" w:hAnsi="Times New Roman"/>
          <w:sz w:val="20"/>
          <w:szCs w:val="20"/>
          <w:color w:val="010000"/>
        </w:rPr>
      </w:pPr>
    </w:p>
    <w:p>
      <w:pPr>
        <w:jc w:val="both"/>
        <w:ind w:left="760" w:hanging="3"/>
        <w:spacing w:after="0" w:line="235" w:lineRule="auto"/>
        <w:tabs>
          <w:tab w:leader="none" w:pos="10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Trust Company (as transfer agent for CIFR Stock) to deliver via The Depository Trust Company Deposit or Withdrawal at Custodian system (“DWAC”) as soon as practicable that number of shares of CIFR Stock determined as provided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 the name of Seller to such securities account of Seller or its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6" w:name="page157"/>
    <w:bookmarkEnd w:id="156"/>
    <w:p>
      <w:pPr>
        <w:ind w:right="240" w:firstLine="62"/>
        <w:spacing w:after="0" w:line="286" w:lineRule="auto"/>
        <w:tabs>
          <w:tab w:leader="none" w:pos="369"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Affiliate as Seller shall have notified Buyer, in writing, at least two (2) Business Days prior to the Closing Date, and all such shares of CIFR Stock shall be issued free of any restrictive legends or notations;</w:t>
      </w:r>
    </w:p>
    <w:p>
      <w:pPr>
        <w:spacing w:after="0" w:line="157" w:lineRule="exact"/>
        <w:rPr>
          <w:sz w:val="20"/>
          <w:szCs w:val="20"/>
          <w:color w:val="auto"/>
        </w:rPr>
      </w:pPr>
    </w:p>
    <w:p>
      <w:pPr>
        <w:ind w:left="1940" w:hanging="435"/>
        <w:spacing w:after="0"/>
        <w:tabs>
          <w:tab w:leader="none" w:pos="1940"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Assignment and Assumption Agreement, duly executed by Buyer;</w:t>
      </w:r>
    </w:p>
    <w:p>
      <w:pPr>
        <w:spacing w:after="0" w:line="205"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Bill of Sale, duly executed by Buyer or its designee;</w:t>
      </w:r>
    </w:p>
    <w:p>
      <w:pPr>
        <w:spacing w:after="0" w:line="205" w:lineRule="exact"/>
        <w:rPr>
          <w:rFonts w:ascii="Times New Roman" w:cs="Times New Roman" w:eastAsia="Times New Roman" w:hAnsi="Times New Roman"/>
          <w:sz w:val="22"/>
          <w:szCs w:val="22"/>
          <w:color w:val="010000"/>
        </w:rPr>
      </w:pPr>
    </w:p>
    <w:p>
      <w:pPr>
        <w:jc w:val="both"/>
        <w:ind w:left="760" w:firstLine="745"/>
        <w:spacing w:after="0" w:line="262" w:lineRule="auto"/>
        <w:tabs>
          <w:tab w:leader="none" w:pos="1940"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the secretary or other authorized officer of Buyer, dated as of the Closing Date, certifying as to (i) the resolutions of the members of Buyer, as attached thereto, authorizing the execution, delivery and performance of this Agreement and each applicable Buyer Document and the consummation by Buyer of the transactions contemplated hereby and thereby, (ii) the incumbency and signature of the authorized representatives of Buyer, attached thereto, executing this Agreement and the applicable Buyer Documents to be executed by Buyer on the Closing Date as contemplated herein and (iii) a good standing certificate issued by the Secretary of State of the State of Delaware with respect to Buyer, dated as of a recent date prior to the Closing Date, certifying that Buyer is in good standing;</w:t>
      </w:r>
    </w:p>
    <w:p>
      <w:pPr>
        <w:spacing w:after="0" w:line="157" w:lineRule="exact"/>
        <w:rPr>
          <w:rFonts w:ascii="Times New Roman" w:cs="Times New Roman" w:eastAsia="Times New Roman" w:hAnsi="Times New Roman"/>
          <w:sz w:val="20"/>
          <w:szCs w:val="20"/>
          <w:color w:val="010000"/>
        </w:rPr>
      </w:pPr>
    </w:p>
    <w:p>
      <w:pPr>
        <w:ind w:left="760" w:right="20" w:firstLine="745"/>
        <w:spacing w:after="0" w:line="258" w:lineRule="auto"/>
        <w:tabs>
          <w:tab w:leader="none" w:pos="1981"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certificate of an authorized officer of Buyer, dated as of the Closing Date, certifying as to Buyer satisfying the conditions specified in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duly executed Internal Revenue Service Form W-9s of Buyer; and</w:t>
      </w:r>
    </w:p>
    <w:p>
      <w:pPr>
        <w:spacing w:after="0" w:line="205"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other documents reasonably necessary to consummate the transaction contemplated by this Agreement.</w:t>
      </w:r>
    </w:p>
    <w:p>
      <w:pPr>
        <w:spacing w:after="0" w:line="228"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Notwithstanding any other provision of this Agreement, Buyer shall be entitled to deduct and withhold from any amounts payable pursuant to this Agreement, including from the Purchase Price, such amounts, if any, as it is required to deduct and withhold pursuant to applicable Law. To the extent that amounts so withheld are paid over to the proper Tax Authority, such withheld amounts shall be treated for all purposes of this Agreement as having been paid to the Person in respect of whom such deduction and withholding was made. Buyer shall provide Seller with notice of any such obligation to deduct or withhold not less than five (5) days prior to any such deduction and withholding and agrees to reasonably cooperate with Seller, at the expense of Seller, in obtaining any reduction of or relief from such deduction or withholding to the extent available under applicable Law.</w:t>
      </w:r>
    </w:p>
    <w:p>
      <w:pPr>
        <w:spacing w:after="0" w:line="1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REPRESENTATIONS AND WARRANTIES RELATING TO SELLER</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Seller hereby represents and warrants to Buyer as of the Effective Date and as of the Closing Date (except where such representation or warranty is made as of another specific date) as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7" w:name="page158"/>
    <w:bookmarkEnd w:id="157"/>
    <w:p>
      <w:pPr>
        <w:ind w:right="240" w:firstLine="62"/>
        <w:spacing w:after="0" w:line="286" w:lineRule="auto"/>
        <w:tabs>
          <w:tab w:leader="none" w:pos="36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Seller is a corporation, duly organized, validly existing and in good standing under the Laws of its State of formation.</w:t>
      </w:r>
    </w:p>
    <w:p>
      <w:pPr>
        <w:spacing w:after="0" w:line="157" w:lineRule="exact"/>
        <w:rPr>
          <w:sz w:val="20"/>
          <w:szCs w:val="20"/>
          <w:color w:val="auto"/>
        </w:rPr>
      </w:pPr>
    </w:p>
    <w:p>
      <w:pPr>
        <w:jc w:val="both"/>
        <w:ind w:firstLine="1498"/>
        <w:spacing w:after="0" w:line="232"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xml:space="preserve">. Seller has the requisite corporate power and authority to conduct its business, to own the Purchased Assets and to own, lease and operate its other properties, as presently conducted, owned or leased, and is duly qualified to do business in each jurisdiction in which the nature of its business or the location of its assets requires it to be so qualified. Seller has the requisite corporate power and authority to execute and deliver this Agreement and each Seller Document, to consummate the transactions contemplated hereby and thereby and to perform its obligations hereunder and thereunder. The execution, delivery and performance of this Agreement and the other Seller Documents and the consummation of the transactions contemplated hereby and thereby have been duly and validly authorized and approved by all requisite corporate action on the part of Seller, and no other authorization on the part of Seller (apart from the required approvals listed in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xml:space="preserve"> that are provided for in this Agreement) is necessary to authorize this Agreement or the other Seller Documents. This Agreement and each of the other Seller Documents have been, or in the case of Seller Documents delivered on the Closing Date, will be as of the Closing Date, duly and validly executed and delivered by Seller and constitutes, or in the case of Seller Documents delivered on the Closing Date, will constitute as of the Closing Date, its valid and binding obligation, enforceable against it in accordance with its terms, subject to applicable bankruptcy, insolvency, moratorium or other similar Laws relating to or affecting creditors’ rights generally or general principles of equity.</w:t>
      </w:r>
    </w:p>
    <w:p>
      <w:pPr>
        <w:spacing w:after="0" w:line="190"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xml:space="preserve">. The execution, delivery and performance of this Agreement and the other Seller Documents by Seller and the consummation of the transactions contemplated hereby and thereby by Seller, assuming all required filings, consents, approvals, authorizations and notices required to be made, given or obtained by Seller that are set forth on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Seller Approvals</w:t>
      </w:r>
      <w:r>
        <w:rPr>
          <w:rFonts w:ascii="Times New Roman" w:cs="Times New Roman" w:eastAsia="Times New Roman" w:hAnsi="Times New Roman"/>
          <w:sz w:val="22"/>
          <w:szCs w:val="22"/>
          <w:color w:val="auto"/>
        </w:rPr>
        <w:t>”) have been so made, given or obtained, do not and will not:</w:t>
      </w:r>
    </w:p>
    <w:p>
      <w:pPr>
        <w:spacing w:after="0" w:line="179" w:lineRule="exact"/>
        <w:rPr>
          <w:sz w:val="20"/>
          <w:szCs w:val="20"/>
          <w:color w:val="auto"/>
        </w:rPr>
      </w:pPr>
    </w:p>
    <w:p>
      <w:pPr>
        <w:ind w:left="1940" w:hanging="435"/>
        <w:spacing w:after="0"/>
        <w:tabs>
          <w:tab w:leader="none" w:pos="1940"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conflict with or result in a violation of any provision of the Organizational Documents of Seller;</w:t>
      </w:r>
    </w:p>
    <w:p>
      <w:pPr>
        <w:spacing w:after="0" w:line="205"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54"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violate any Law applicable to Seller or require any filing with, consent, approval or authorization of, or notice to, any Governmental Authority, except for any post-consummation filings required by any applicable Governmental Authority;</w:t>
      </w:r>
    </w:p>
    <w:p>
      <w:pPr>
        <w:spacing w:after="0" w:line="172" w:lineRule="exact"/>
        <w:rPr>
          <w:rFonts w:ascii="Times New Roman" w:cs="Times New Roman" w:eastAsia="Times New Roman" w:hAnsi="Times New Roman"/>
          <w:sz w:val="22"/>
          <w:szCs w:val="22"/>
          <w:color w:val="010000"/>
        </w:rPr>
      </w:pPr>
    </w:p>
    <w:p>
      <w:pPr>
        <w:jc w:val="both"/>
        <w:ind w:left="760" w:firstLine="745"/>
        <w:spacing w:after="0" w:line="239" w:lineRule="auto"/>
        <w:tabs>
          <w:tab w:leader="none" w:pos="1954"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require any consent under, constitute (with or without notice or lapse of time or both) a material default under, result in any material breach or violation of, or give any Person any rights of termination, acceleration or cancellation of, any Contract to which Seller is a party or any of its respective assets, properties or businesses is bound; or</w:t>
      </w:r>
    </w:p>
    <w:p>
      <w:pPr>
        <w:spacing w:after="0" w:line="178"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result (with or without notice or lapse of time or both) in the creation of any Lien on the Purchased Assets.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8" w:name="page159"/>
    <w:bookmarkEnd w:id="158"/>
    <w:p>
      <w:pPr>
        <w:ind w:right="240" w:firstLine="62"/>
        <w:spacing w:after="0" w:line="286" w:lineRule="auto"/>
        <w:tabs>
          <w:tab w:leader="none" w:pos="369"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Seller has not received notice of any material violation of any Law or municipal ordinance, order, or requirement noted or issued against the Leased Property or Purchased Assets by any Governmental Authority having jurisdiction over the Leased Property or Purchased Assets, that has not been cured, corrected, or waived as of the Effective Date.</w:t>
      </w:r>
    </w:p>
    <w:p>
      <w:pPr>
        <w:spacing w:after="0" w:line="179"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3.5</w:t>
      </w:r>
      <w:r>
        <w:rPr>
          <w:rFonts w:ascii="Times New Roman" w:cs="Times New Roman" w:eastAsia="Times New Roman" w:hAnsi="Times New Roman"/>
          <w:sz w:val="22"/>
          <w:szCs w:val="22"/>
          <w:color w:val="auto"/>
        </w:rPr>
        <w:t>, there is no Proceeding pending or, to the Knowledge of Seller, threatened, that seeks to prevent the consummation of the transactions contemplated hereby or that would, individually or in the aggregate, reasonably be expected to have a Material Adverse Effect on the ability of Seller to perform its obligations hereunder or to consummate the transactions contemplated hereby.</w:t>
      </w:r>
    </w:p>
    <w:p>
      <w:pPr>
        <w:spacing w:after="0" w:line="179"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0"/>
          <w:szCs w:val="20"/>
          <w:u w:val="single" w:color="auto"/>
          <w:color w:val="auto"/>
        </w:rPr>
        <w:t>Assumed Contracts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760" w:firstLine="745"/>
        <w:spacing w:after="0" w:line="258" w:lineRule="auto"/>
        <w:tabs>
          <w:tab w:leader="none" w:pos="1967"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Made Available to Buyer true and complete copies of all Assumed Contracts, including any amendments, supplements, waivers and change orders thereto.</w:t>
      </w:r>
    </w:p>
    <w:p>
      <w:pPr>
        <w:spacing w:after="0" w:line="157" w:lineRule="exact"/>
        <w:rPr>
          <w:rFonts w:ascii="Times New Roman" w:cs="Times New Roman" w:eastAsia="Times New Roman" w:hAnsi="Times New Roman"/>
          <w:sz w:val="22"/>
          <w:szCs w:val="22"/>
          <w:color w:val="010000"/>
        </w:rPr>
      </w:pPr>
    </w:p>
    <w:p>
      <w:pPr>
        <w:ind w:left="760" w:firstLine="745"/>
        <w:spacing w:after="0" w:line="258" w:lineRule="auto"/>
        <w:tabs>
          <w:tab w:leader="none" w:pos="1967"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Assumed Contract is a valid and binding agreement of Seller and enforceable against Seller in accordance with its terms and, to Seller’s Knowledge, each other party thereto.</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5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is not in breach or default under any Assumed Contract, except where any such breach or default would not, individually or in the aggregate, reasonably be expected to have a Material Adverse Effect. To Seller’s Knowledge, no Third Party is in breach or default under any Assumed Contract to which such Person is a party, except where such breach or default would not, individually or in the aggregate, reasonably be expected to have a Material Adverse Effect.</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62" w:lineRule="auto"/>
        <w:tabs>
          <w:tab w:leader="none" w:pos="1940"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3.6(d)</w:t>
      </w:r>
      <w:r>
        <w:rPr>
          <w:rFonts w:ascii="Times New Roman" w:cs="Times New Roman" w:eastAsia="Times New Roman" w:hAnsi="Times New Roman"/>
          <w:sz w:val="20"/>
          <w:szCs w:val="20"/>
          <w:color w:val="auto"/>
        </w:rPr>
        <w:t>, (i) no event, act, circumstance or condition exists (including a force majeure event), which, with notice or the lapse of time or both, would reasonably be expected to result in a right of any Person to terminate, amend, modify, accelerate, suspend or revoke any Assumed Contract or constitute a material breach of any Assumed Contract, except where the exercise of any such right or material breach of such Assumed Contract would not reasonably be expected to have a Material Adverse Effect, (ii) no Person has exercised or threatened to exercise in writing any right of termination, cancellation or non-renewal and (iii) there are no outstanding claims, and there are no past due monetary obligations of Seller, under any Assumed Contract that remains unpaid.</w:t>
      </w:r>
    </w:p>
    <w:p>
      <w:pPr>
        <w:spacing w:after="0" w:line="157" w:lineRule="exact"/>
        <w:rPr>
          <w:rFonts w:ascii="Times New Roman" w:cs="Times New Roman" w:eastAsia="Times New Roman" w:hAnsi="Times New Roman"/>
          <w:sz w:val="20"/>
          <w:szCs w:val="20"/>
          <w:color w:val="010000"/>
        </w:rPr>
      </w:pPr>
    </w:p>
    <w:p>
      <w:pPr>
        <w:jc w:val="both"/>
        <w:ind w:left="760" w:firstLine="745"/>
        <w:spacing w:after="0" w:line="244" w:lineRule="auto"/>
        <w:tabs>
          <w:tab w:leader="none" w:pos="195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no consents, approvals, authorizations or notices are required to be made, given or obtained by Seller to assign the Assumed Contracts to Buyer, and the assignment of the Assumed Contracts to Buyer by Seller does not constitute a breach thereunder.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9" w:name="page160"/>
    <w:bookmarkEnd w:id="159"/>
    <w:p>
      <w:pPr>
        <w:ind w:right="240" w:firstLine="62"/>
        <w:spacing w:after="0" w:line="286" w:lineRule="auto"/>
        <w:tabs>
          <w:tab w:leader="none" w:pos="369"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Service Contracts</w:t>
      </w:r>
      <w:r>
        <w:rPr>
          <w:rFonts w:ascii="Times New Roman" w:cs="Times New Roman" w:eastAsia="Times New Roman" w:hAnsi="Times New Roman"/>
          <w:sz w:val="22"/>
          <w:szCs w:val="22"/>
          <w:color w:val="auto"/>
        </w:rPr>
        <w:t>. Seller has not entered into any service, maintenance, supply, leasing, brokerage, and listing and/or other contracts relating to the Leased Property (along with all amendments and modifications thereof, the "</w:t>
      </w:r>
      <w:r>
        <w:rPr>
          <w:rFonts w:ascii="Times New Roman" w:cs="Times New Roman" w:eastAsia="Times New Roman" w:hAnsi="Times New Roman"/>
          <w:sz w:val="22"/>
          <w:szCs w:val="22"/>
          <w:u w:val="single" w:color="auto"/>
          <w:color w:val="auto"/>
        </w:rPr>
        <w:t>Service Contracts</w:t>
      </w:r>
      <w:r>
        <w:rPr>
          <w:rFonts w:ascii="Times New Roman" w:cs="Times New Roman" w:eastAsia="Times New Roman" w:hAnsi="Times New Roman"/>
          <w:sz w:val="22"/>
          <w:szCs w:val="22"/>
          <w:color w:val="auto"/>
        </w:rPr>
        <w:t>") which shall be binding upon Buyer after the Closing, other than the Assumed Contracts. Any Service Contracts can and, at Buyer’s option, shall be terminated by Seller on or before the Closing Date. Seller has performed all its obligations under each of the Service Contracts and no fact or circumstance has occurred which, by itself or with the passage of time or the giving of notice or both, would constitute a default by any party under any of the Service Contracts. Seller has Made Available to Buyer true, correct, and complete copies of all Service Contracts.</w:t>
      </w:r>
    </w:p>
    <w:p>
      <w:pPr>
        <w:spacing w:after="0" w:line="181"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Ownership of Purchased Assets</w:t>
      </w:r>
      <w:r>
        <w:rPr>
          <w:rFonts w:ascii="Times New Roman" w:cs="Times New Roman" w:eastAsia="Times New Roman" w:hAnsi="Times New Roman"/>
          <w:sz w:val="22"/>
          <w:szCs w:val="22"/>
          <w:color w:val="auto"/>
        </w:rPr>
        <w:t>. As of the Effective Date and as of the Closing Date, Seller holds of record and owns beneficially, and holds good and valid title to, the Purchased Assets, free and clear of all Liens.</w:t>
      </w:r>
    </w:p>
    <w:p>
      <w:pPr>
        <w:spacing w:after="0" w:line="157"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u w:val="single" w:color="auto"/>
          <w:color w:val="auto"/>
        </w:rPr>
        <w:t xml:space="preserve"> Schedule 3.9</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44" w:lineRule="auto"/>
        <w:tabs>
          <w:tab w:leader="none" w:pos="1967"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timely filed all income and other material Tax Returns required to have been filed by or on behalf of Seller with respect to the Leased Property and Purchased Assets and all such Tax Returns are accurate and complete in all material respects.</w:t>
      </w:r>
    </w:p>
    <w:p>
      <w:pPr>
        <w:spacing w:after="0" w:line="172" w:lineRule="exact"/>
        <w:rPr>
          <w:rFonts w:ascii="Times New Roman" w:cs="Times New Roman" w:eastAsia="Times New Roman" w:hAnsi="Times New Roman"/>
          <w:sz w:val="22"/>
          <w:szCs w:val="22"/>
          <w:color w:val="010000"/>
        </w:rPr>
      </w:pPr>
    </w:p>
    <w:p>
      <w:pPr>
        <w:ind w:left="760" w:firstLine="745"/>
        <w:spacing w:after="0" w:line="258" w:lineRule="auto"/>
        <w:tabs>
          <w:tab w:leader="none" w:pos="1954"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timely and fully paid all Taxes due with respect to the Leased Property and Purchased Assets, whether or not shown as due on a Tax Return.</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67"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withheld and timely paid to the appropriate Governmental Authority all Taxes (including all sales and use Taxes) required to have been withheld and paid in connection with any amounts paid or owing to any employee, independent contractor, creditor, member, vendor, supplier or other third party. Seller has retained all required Tax exemption certificates and other records in respect of payments that are subject to withholding Taxes or exempt from such Taxes.</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9" w:lineRule="auto"/>
        <w:tabs>
          <w:tab w:leader="none" w:pos="1967"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extension or waiver of the limitation period applicable to any Tax Return required to be filed with respect to the Leased Property or any Purchased Asset, or applicable to the payment of any Tax by, or assessment of any Tax against or with respect to, the Leased Property or any Purchased Asset, has been granted, and no such extension or waiver has been requested by or on behalf of Seller.</w:t>
      </w:r>
    </w:p>
    <w:p>
      <w:pPr>
        <w:spacing w:after="0" w:line="178" w:lineRule="exact"/>
        <w:rPr>
          <w:rFonts w:ascii="Times New Roman" w:cs="Times New Roman" w:eastAsia="Times New Roman" w:hAnsi="Times New Roman"/>
          <w:sz w:val="22"/>
          <w:szCs w:val="22"/>
          <w:color w:val="010000"/>
        </w:rPr>
      </w:pPr>
    </w:p>
    <w:p>
      <w:pPr>
        <w:ind w:left="760" w:firstLine="745"/>
        <w:spacing w:after="0" w:line="258" w:lineRule="auto"/>
        <w:tabs>
          <w:tab w:leader="none" w:pos="1940"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Liens for Taxes on the Leased Property or any Purchased Assets, other than for Taxes not yet due and payable as of the Closing Date.</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67"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transactions contemplated by this Agreement will not (i) have an adverse effect on the continuing validity and effectiveness of any Tax exemption, Tax holiday, Tax credit, Tax incentive or similar arrangement or benefit for which the Leased Property or any of the Purchased Assets is currently eligible, or (ii) result in additional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0" w:name="page161"/>
    <w:bookmarkEnd w:id="160"/>
    <w:p>
      <w:pPr>
        <w:ind w:right="240" w:firstLine="62"/>
        <w:spacing w:after="0" w:line="286" w:lineRule="auto"/>
        <w:tabs>
          <w:tab w:leader="none" w:pos="369"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Taxes being assessed or imposed on the Leased Property or any Purchased Assets beyond those that would have applied had such transactions not occurred.</w:t>
      </w:r>
    </w:p>
    <w:p>
      <w:pPr>
        <w:spacing w:after="0" w:line="157" w:lineRule="exact"/>
        <w:rPr>
          <w:sz w:val="20"/>
          <w:szCs w:val="20"/>
          <w:color w:val="auto"/>
        </w:rPr>
      </w:pPr>
    </w:p>
    <w:p>
      <w:pPr>
        <w:jc w:val="both"/>
        <w:ind w:left="760" w:firstLine="745"/>
        <w:spacing w:after="0" w:line="244" w:lineRule="auto"/>
        <w:tabs>
          <w:tab w:leader="none" w:pos="1954"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not received written notice from a Governmental Authority in a jurisdiction where Seller has never filed Tax Returns that the Leased Property or any Purchased Assets, or Seller as a result of its ownership of the Purchased Assets or its lease of the Leased Property, is or may be subject to taxation by that jurisdiction.</w:t>
      </w:r>
    </w:p>
    <w:p>
      <w:pPr>
        <w:spacing w:after="0" w:line="172" w:lineRule="exact"/>
        <w:rPr>
          <w:rFonts w:ascii="Times New Roman" w:cs="Times New Roman" w:eastAsia="Times New Roman" w:hAnsi="Times New Roman"/>
          <w:sz w:val="22"/>
          <w:szCs w:val="22"/>
          <w:color w:val="010000"/>
        </w:rPr>
      </w:pPr>
    </w:p>
    <w:p>
      <w:pPr>
        <w:jc w:val="both"/>
        <w:ind w:left="760" w:firstLine="745"/>
        <w:spacing w:after="0" w:line="261" w:lineRule="auto"/>
        <w:tabs>
          <w:tab w:leader="none" w:pos="1954" w:val="left"/>
        </w:tabs>
        <w:numPr>
          <w:ilvl w:val="1"/>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Tax audits, examinations or administrative or judicial Tax proceedings are proposed or threatened, in writing, or are pending or being conducted with respect to Seller, the Leased Property or the Purchased Assets that could result in a Lien for Taxes on the Leased Property or the Purchased Assets. Seller has not received within the last three</w:t>
      </w:r>
    </w:p>
    <w:p>
      <w:pPr>
        <w:spacing w:after="0" w:line="1" w:lineRule="exact"/>
        <w:rPr>
          <w:rFonts w:ascii="Times New Roman" w:cs="Times New Roman" w:eastAsia="Times New Roman" w:hAnsi="Times New Roman"/>
          <w:sz w:val="20"/>
          <w:szCs w:val="20"/>
          <w:color w:val="010000"/>
        </w:rPr>
      </w:pPr>
    </w:p>
    <w:p>
      <w:pPr>
        <w:jc w:val="both"/>
        <w:ind w:left="760" w:hanging="3"/>
        <w:spacing w:after="0" w:line="233" w:lineRule="auto"/>
        <w:tabs>
          <w:tab w:leader="none" w:pos="109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from any Governmental Authority any (i) notice indicating an intent to open an audit, examination or other review, (ii) request for information related to Tax matters, or (iii) notice of deficiency or proposed adjustment for any amount of Tax proposed, asserted, or assessed by such Governmental Authority against the Leased Property, the Purchased Assets or Seller, if they could result in a Lien for Taxes on the Leased Property or the Purchased Assets.</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Tax ruling has been requested of or received from any Governmental Authority with respect to any Tax matter relating to the Leased Property or the Purchased Assets.</w:t>
      </w:r>
    </w:p>
    <w:p>
      <w:pPr>
        <w:spacing w:after="0" w:line="157" w:lineRule="exact"/>
        <w:rPr>
          <w:rFonts w:ascii="Times New Roman" w:cs="Times New Roman" w:eastAsia="Times New Roman" w:hAnsi="Times New Roman"/>
          <w:sz w:val="22"/>
          <w:szCs w:val="22"/>
          <w:color w:val="010000"/>
        </w:rPr>
      </w:pPr>
    </w:p>
    <w:p>
      <w:pPr>
        <w:ind w:left="760" w:firstLine="745"/>
        <w:spacing w:after="0" w:line="258" w:lineRule="auto"/>
        <w:tabs>
          <w:tab w:leader="none" w:pos="1954"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complied and is now in compliance with all applicable Laws in respect of Taxes, to the extent such laws pertain to the Leased Property or the Purchased Assets.</w:t>
      </w:r>
    </w:p>
    <w:p>
      <w:pPr>
        <w:spacing w:after="0" w:line="157"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is not a “foreign person” as that term is used in Treasury Regulations Section 1.445-2.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-904875</wp:posOffset>
            </wp:positionV>
            <wp:extent cx="27368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7" w:lineRule="auto"/>
        <w:tabs>
          <w:tab w:leader="none" w:pos="1981"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Seller’s Knowledge, Seller is currently in compliance in all material respects with all applicable Environmental Laws. Seller has not received, with respect to the business currently conducted by Seller, from any Person, any: (i) notice of noncompliance with or Liability or claim under Environmental Laws; or (ii) written request for information pursuant to Environmental Law, which, in each case, either remains pending or unresolved, or is the source of ongoing obligations or requirements as of the Closing Date.</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9" w:lineRule="auto"/>
        <w:tabs>
          <w:tab w:leader="none" w:pos="194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be material to Seller, Seller has not disposed of or released any Hazardous Substance at the Leased Property in violation of applicable Environmental Laws or in quantities or concentrations that require investigation or remediation by Seller under applicable Environmental Laws that has not been fully resolved without ongoing liability and, to Seller’s Knowledge, no other Person has released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1" w:name="page162"/>
    <w:bookmarkEnd w:id="161"/>
    <w:p>
      <w:pPr>
        <w:ind w:right="240" w:firstLine="62"/>
        <w:spacing w:after="0" w:line="286" w:lineRule="auto"/>
        <w:tabs>
          <w:tab w:leader="none" w:pos="36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Hazardous Substances at, to or from the Leased Property in concentrations or amounts that require investigation or remediation.</w:t>
      </w:r>
    </w:p>
    <w:p>
      <w:pPr>
        <w:spacing w:after="0" w:line="157" w:lineRule="exact"/>
        <w:rPr>
          <w:sz w:val="20"/>
          <w:szCs w:val="20"/>
          <w:color w:val="auto"/>
        </w:rPr>
      </w:pPr>
    </w:p>
    <w:p>
      <w:pPr>
        <w:ind w:left="760" w:firstLine="745"/>
        <w:spacing w:after="0" w:line="258" w:lineRule="auto"/>
        <w:tabs>
          <w:tab w:leader="none" w:pos="1940"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Seller’s Knowledge, the Leased Property is not listed on, and has not been proposed for listing on, the National Priorities List or otherwise under CERCLA or any similar state list.</w:t>
      </w:r>
    </w:p>
    <w:p>
      <w:pPr>
        <w:spacing w:after="0" w:line="157" w:lineRule="exact"/>
        <w:rPr>
          <w:rFonts w:ascii="Times New Roman" w:cs="Times New Roman" w:eastAsia="Times New Roman" w:hAnsi="Times New Roman"/>
          <w:sz w:val="22"/>
          <w:szCs w:val="22"/>
          <w:color w:val="010000"/>
        </w:rPr>
      </w:pPr>
    </w:p>
    <w:p>
      <w:pPr>
        <w:ind w:left="760" w:firstLine="745"/>
        <w:spacing w:after="0" w:line="258" w:lineRule="auto"/>
        <w:tabs>
          <w:tab w:leader="none" w:pos="1967"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Seller’s Knowledge, none of the Leased Property or the Purchased Assets is encumbered by a lien arising or imposed under Environmental Laws.</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9" w:lineRule="auto"/>
        <w:tabs>
          <w:tab w:leader="none" w:pos="1967"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provided or otherwise Made Available to Buyer any and all material environmental reports, studies, audits, correspondence and records with respect to the Leased Property that are in their possession or reasonable control and are related to compliance with Environmental Laws, permits required under Environmental Laws, Claims or notices pursuant to Environmental Laws or the Release or existence of Hazardous Substances.</w:t>
      </w:r>
    </w:p>
    <w:p>
      <w:pPr>
        <w:spacing w:after="0" w:line="179"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Seller has not filed any voluntary petition in bankruptcy or been adjudicated as bankrupt or insolvent, filed any petition or answer seeking any reorganization, liquidation, dissolution or similar relief under any federal bankruptcy act, insolvency, or other debtor relief law, or sought or consented to or acquiesced in the appointment of any trustee, receiver, conservator or liquidator of all or any substantial part of its respective properties, nor has any such proceeding been commenced by any other Person against Seller. No court of competent jurisdiction has entered an order, judgment or decree approving a petition filed against Seller seeking any reorganization, arrangement, composition, readjustment, liquidation, dissolution or similar relief under any federal bankruptcy act, insolvency or other debtor relief Law, and no other liquidator has been appointed for Seller or of all or any substantial part of its properties.</w:t>
      </w:r>
    </w:p>
    <w:p>
      <w:pPr>
        <w:spacing w:after="0" w:line="184"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Except as disclosed in Schedule 3.12, there is no outstanding Indebtedness on the Purchased Assets.</w:t>
      </w:r>
    </w:p>
    <w:p>
      <w:pPr>
        <w:spacing w:after="0" w:line="157"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Seller has provided access to Buyer to true, complete and accurate copies of the material Books and Records relating to the Purchased Assets.</w:t>
      </w:r>
    </w:p>
    <w:p>
      <w:pPr>
        <w:spacing w:after="0" w:line="157"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3.14</w:t>
      </w:r>
      <w:r>
        <w:rPr>
          <w:rFonts w:ascii="Times New Roman" w:cs="Times New Roman" w:eastAsia="Times New Roman" w:hAnsi="Times New Roman"/>
          <w:sz w:val="22"/>
          <w:szCs w:val="22"/>
          <w:color w:val="auto"/>
        </w:rPr>
        <w:t xml:space="preserve"> sets forth a list of all of the policies of insurance carried as of the Effective Date by or on behalf of Seller that directly insures the Leased Property or the Purchased Assets (the “</w:t>
      </w: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All premiums due and payable under the Policies as of the Effective Date, and as of the Closing Date, have been or will be paid in a timely manner, and the holders of such policies are otherwise in compliance with the terms and conditions of each of the Policies. Any occurrence that may give rise to a claim under the Policies has been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2" w:name="page163"/>
    <w:bookmarkEnd w:id="162"/>
    <w:p>
      <w:pPr>
        <w:ind w:right="240" w:firstLine="62"/>
        <w:spacing w:after="0" w:line="286" w:lineRule="auto"/>
        <w:tabs>
          <w:tab w:leader="none" w:pos="369"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reported to the appropriate insurance carrier. Seller has maintained and maintains all insurance then required under the Assumed Contracts.</w:t>
      </w:r>
    </w:p>
    <w:p>
      <w:pPr>
        <w:spacing w:after="0" w:line="157"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Seller is not, and shall not become, a person or entity with whom United States persons or entities are restricted or prohibited from doing business under regulations of the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and is not and shall not engage in any dealings or transactions or be otherwise associated with such persons or entities.</w:t>
      </w:r>
    </w:p>
    <w:p>
      <w:pPr>
        <w:spacing w:after="0" w:line="179"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3.16</w:t>
      </w:r>
      <w:r>
        <w:rPr>
          <w:rFonts w:ascii="Times New Roman" w:cs="Times New Roman" w:eastAsia="Times New Roman" w:hAnsi="Times New Roman"/>
          <w:sz w:val="22"/>
          <w:szCs w:val="22"/>
          <w:color w:val="auto"/>
        </w:rPr>
        <w:t>, no broker, finder, investment banker or other Person is entitled to any brokerage fee, finders’ fee or other commission in connection with the transactions contemplated by this Agreement or any of the Transaction Documents based upon arrangements made by or on behalf of Seller or any of its Affiliates.</w:t>
      </w:r>
    </w:p>
    <w:p>
      <w:pPr>
        <w:spacing w:after="0" w:line="179" w:lineRule="exact"/>
        <w:rPr>
          <w:sz w:val="20"/>
          <w:szCs w:val="20"/>
          <w:color w:val="auto"/>
        </w:rPr>
      </w:pPr>
    </w:p>
    <w:p>
      <w:pPr>
        <w:jc w:val="both"/>
        <w:ind w:right="20" w:firstLine="1498"/>
        <w:spacing w:after="0" w:line="271"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Accredited Investor; Investment Experience</w:t>
      </w:r>
      <w:r>
        <w:rPr>
          <w:rFonts w:ascii="Times New Roman" w:cs="Times New Roman" w:eastAsia="Times New Roman" w:hAnsi="Times New Roman"/>
          <w:sz w:val="20"/>
          <w:szCs w:val="20"/>
          <w:color w:val="auto"/>
        </w:rPr>
        <w:t>. Seller is an “accredited investor” within the meaning of Rule 501(a) under the Securities Act. Seller has such knowledge and experience in financial and business matters and is capable of evaluating the merits and risks of acquiring the CIFR Stock. Seller acknowledges that it is not relying upon any Person, other than Seller and its officers and directors, in making its decision to acquire CIFR Stock pursuant to this Agreement.</w:t>
      </w:r>
    </w:p>
    <w:p>
      <w:pPr>
        <w:spacing w:after="0" w:line="148"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Sale of Purchased Assets</w:t>
      </w:r>
      <w:r>
        <w:rPr>
          <w:rFonts w:ascii="Times New Roman" w:cs="Times New Roman" w:eastAsia="Times New Roman" w:hAnsi="Times New Roman"/>
          <w:sz w:val="22"/>
          <w:szCs w:val="22"/>
          <w:color w:val="auto"/>
        </w:rPr>
        <w:t>. The sale of Purchased Assets under this Agreement does not meet the definition of “transfer of assets” under Rule 145(a)(3) under the Securities Act and would not amount to the sale of all or substantially all assets of Seller.</w:t>
      </w:r>
    </w:p>
    <w:p>
      <w:pPr>
        <w:spacing w:after="0" w:line="172"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Disclaimer of Other Representations and Warranties</w:t>
      </w:r>
      <w:r>
        <w:rPr>
          <w:rFonts w:ascii="Times New Roman" w:cs="Times New Roman" w:eastAsia="Times New Roman" w:hAnsi="Times New Roman"/>
          <w:sz w:val="22"/>
          <w:szCs w:val="22"/>
          <w:color w:val="auto"/>
        </w:rPr>
        <w:t xml:space="preserve">. Neither Seller nor any of its Representatives have made, nor shall they be deemed to have made, any representations or warranties, express or implied, of any nature whatsoever relating to Seller, the Purchased Assets or in connection with the transactions contemplated hereby, including any representation or warranty as to the accuracy or completeness of any information regarding the Purchased Assets furnished or made available to Buyer, CIFR, and their respective representatives, or as to the future revenue, profitability or success of the operation of the Purchased Assets, or any representation or warranty arising from statute or otherwise in law, in each case other than those representations and warranties expressly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Seller acknowledges that neither Buyer nor CIFR is making, and Seller has not relied on, any representations or warranties, express or implied, of any nature whatsoever relating to Buyer, CIFR or CIFR Stock or in connection with the transactions contemplated hereby, other than those representations and warranties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3.20 </w:t>
      </w:r>
      <w:r>
        <w:rPr>
          <w:rFonts w:ascii="Times New Roman" w:cs="Times New Roman" w:eastAsia="Times New Roman" w:hAnsi="Times New Roman"/>
          <w:sz w:val="22"/>
          <w:szCs w:val="22"/>
          <w:u w:val="single" w:color="auto"/>
          <w:color w:val="auto"/>
        </w:rPr>
        <w:t>Understandings or Arrangements</w:t>
      </w:r>
      <w:r>
        <w:rPr>
          <w:rFonts w:ascii="Times New Roman" w:cs="Times New Roman" w:eastAsia="Times New Roman" w:hAnsi="Times New Roman"/>
          <w:sz w:val="22"/>
          <w:szCs w:val="22"/>
          <w:color w:val="auto"/>
        </w:rPr>
        <w:t>. Seller is acquiring the CIFR Stock as principal for its own account and has no direct or indirect arrangement or understandings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3" w:name="page164"/>
    <w:bookmarkEnd w:id="163"/>
    <w:p>
      <w:pPr>
        <w:ind w:right="240" w:firstLine="62"/>
        <w:spacing w:after="0" w:line="286" w:lineRule="auto"/>
        <w:tabs>
          <w:tab w:leader="none" w:pos="36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any other persons to distribute or regarding the distribution of CIFR Stock (this representation and warranty not limiting such Seller’s right to sell the CIFR Stock in compliance with applicable federal and state securities laws). Seller is acquiring the CIFR Stock hereunder in the ordinary course of its business.</w:t>
      </w:r>
    </w:p>
    <w:p>
      <w:pPr>
        <w:spacing w:after="0" w:line="16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REPRESENTATIONS AND WARRANTIES RELATING TO BUYER AND CIFR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Buyer and CIFR, jointly and severally, hereby represent and warrant to Seller as of the Effective Date and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(except where such representation or warranty is made as of another specific date) as follows:</w:t>
      </w:r>
    </w:p>
    <w:p>
      <w:pPr>
        <w:spacing w:after="0" w:line="181"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Each of Buyer and CIFR is a limited liability company or corporation, respectively, duly organized, validly existing and in good standing under the Laws of the State of Delaware and has the requisite corporate or limited liability company power and authority to own, lease and operate its respective assets and to conduct its respective business as now being conducted. Each of Buyer and CIFR is duly qualified or licensed to do business and is in good standing in each jurisdiction in which the ownership or operation of its respective assets or the character of its respective activities is such as to require Buyer or CIFR, as applicable, to be qualified or licensed, except where the failure to be so qualified or licensed would not reasonably be expected to have a material adverse effect on Buyer’s or CIFR’s ability to perform its respective obligations hereunder or to consummate the transactions contemplated hereby.</w:t>
      </w:r>
    </w:p>
    <w:p>
      <w:pPr>
        <w:spacing w:after="0" w:line="184" w:lineRule="exact"/>
        <w:rPr>
          <w:sz w:val="20"/>
          <w:szCs w:val="20"/>
          <w:color w:val="auto"/>
        </w:rPr>
      </w:pPr>
    </w:p>
    <w:p>
      <w:pPr>
        <w:jc w:val="both"/>
        <w:ind w:firstLine="1498"/>
        <w:spacing w:after="0" w:line="233"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Each of Buyer and CIFR have the requisite corporate or limited liability company power and authority to execute and deliver this Agreement and each Buyer Document to which such Person is a party, to consummate the transactions contemplated hereby and to perform its respective obligations hereunder and thereunder. The execution, delivery and performance of this Agreement and the other Buyer Documents and the consummation of the transactions contemplated hereby and thereby have been duly and validly authorized and approved by all requisite action on the part of each of Buyer and CIFR, and no other authorization on the part of Buyer or CIFR is necessary to authorize this Agreement or the other Buyer Documents. This Agreement and each of the other Buyer Documents has been, or in the case of Buyer Documents delivered on the Closing Date, will be as of the applicable Closing Date, duly and validly executed and delivered by Buyer and CIFR, as applicable, and constitutes, or in the case of Buyer Documents delivered on the Closing Date, will constitute as of the Closing Date, such Person’s valid and binding obligation, enforceable against it in accordance with its terms, subject to applicable bankruptcy, insolvency, moratorium or other similar Laws relating to or affecting creditors’ rights generally or general principles of equity.</w:t>
      </w:r>
    </w:p>
    <w:p>
      <w:pPr>
        <w:spacing w:after="0" w:line="181" w:lineRule="exact"/>
        <w:rPr>
          <w:sz w:val="20"/>
          <w:szCs w:val="20"/>
          <w:color w:val="auto"/>
        </w:rPr>
      </w:pPr>
    </w:p>
    <w:p>
      <w:pPr>
        <w:jc w:val="both"/>
        <w:ind w:firstLine="1498"/>
        <w:spacing w:after="0" w:line="280"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The execution, delivery and performance of this Agreement and the other Buyer Documents by Buyer or Affiliates of Buyer, as applicable, and the consummation of the transactions contemplated hereby or thereby by Buyer and CIFR, as applicable, assuming all required filings, consents, approvals, authorizations and notices set forth</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4" w:name="page165"/>
    <w:bookmarkEnd w:id="164"/>
    <w:p>
      <w:pPr>
        <w:ind w:right="240" w:firstLine="62"/>
        <w:spacing w:after="0" w:line="286" w:lineRule="auto"/>
        <w:tabs>
          <w:tab w:leader="none" w:pos="36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on </w:t>
      </w:r>
      <w:r>
        <w:rPr>
          <w:rFonts w:ascii="Times New Roman" w:cs="Times New Roman" w:eastAsia="Times New Roman" w:hAnsi="Times New Roman"/>
          <w:sz w:val="22"/>
          <w:szCs w:val="22"/>
          <w:u w:val="single" w:color="auto"/>
          <w:color w:val="auto"/>
        </w:rPr>
        <w:t>Schedule 4.3</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Buyer Approvals</w:t>
      </w:r>
      <w:r>
        <w:rPr>
          <w:rFonts w:ascii="Times New Roman" w:cs="Times New Roman" w:eastAsia="Times New Roman" w:hAnsi="Times New Roman"/>
          <w:sz w:val="22"/>
          <w:szCs w:val="22"/>
          <w:color w:val="auto"/>
        </w:rPr>
        <w:t>”) required to be made, given or obtained by it have been so made, given or obtained, do not and will not:</w:t>
      </w:r>
    </w:p>
    <w:p>
      <w:pPr>
        <w:spacing w:after="0" w:line="157" w:lineRule="exact"/>
        <w:rPr>
          <w:sz w:val="20"/>
          <w:szCs w:val="20"/>
          <w:color w:val="auto"/>
        </w:rPr>
      </w:pPr>
    </w:p>
    <w:p>
      <w:pPr>
        <w:ind w:left="1940" w:hanging="435"/>
        <w:spacing w:after="0"/>
        <w:tabs>
          <w:tab w:leader="none" w:pos="1940"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conflict with or result in a violation of any provision of the Organizational Documents of Buyer or CIFR;</w:t>
      </w:r>
    </w:p>
    <w:p>
      <w:pPr>
        <w:spacing w:after="0" w:line="205"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40"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violate any Law applicable to Buyer or CIFR or require any filing with, consent, approval or authorization of, or notice to, any Governmental Authority, except as required for the registration under the Securities Act of the CIFR Stock required to be delivered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or</w:t>
      </w:r>
    </w:p>
    <w:p>
      <w:pPr>
        <w:spacing w:after="0" w:line="172"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40"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require any consent under, constitute (with or without notice or lapse of time or both) a default under, result in any breach or violation of, or give any Person any rights of termination, acceleration or cancellation of, any Contract to which Buyer, CIFR or any of their respective assets, properties or businesses is bound.</w:t>
      </w:r>
    </w:p>
    <w:p>
      <w:pPr>
        <w:spacing w:after="0" w:line="172"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No petition or notice has been presented, no order has been made and no resolution has been passed for the bankruptcy, liquidation, winding-up or dissolution of Buyer or CIFR. No receiver, trustee, custodian or similar fiduciary has been appointed over the whole or any part of Buyer’s or CIFR’s assets or the income of Buyer or CIFR. Neither Buyer nor CIFR has no plan or intention of, nor has received any notice that any other Person has any plan or intention of, filing, making or obtaining any such petition, notice, order or resolution or of seeking the appointment of a receiver, trustee, custodian or similar fiduciary.</w:t>
      </w:r>
    </w:p>
    <w:p>
      <w:pPr>
        <w:spacing w:after="0" w:line="179"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Neither Buyer nor CIFR is, and neither shall become, a person or entity with whom United States persons or entities are restricted or prohibited from doing business under regulations of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and each of Buyer and CIFR is not and shall not engage in any dealings or transactions or be otherwise associated with such persons or entities.</w:t>
      </w:r>
    </w:p>
    <w:p>
      <w:pPr>
        <w:spacing w:after="0" w:line="17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No broker, finder, investment banker or other Person is entitled to any brokerage fee, finders’ fee or other commission in connection with the transactions contemplated by this Agreement or any of the Buyer Documents based upon arrangements made by or on behalf of Buyer or any of its Affiliates.</w:t>
      </w:r>
    </w:p>
    <w:p>
      <w:pPr>
        <w:spacing w:after="0" w:line="172"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0"/>
          <w:szCs w:val="20"/>
          <w:u w:val="single" w:color="auto"/>
          <w:color w:val="auto"/>
        </w:rPr>
        <w:t>CIFR Stock</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9" w:lineRule="auto"/>
        <w:tabs>
          <w:tab w:leader="none" w:pos="1954"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CIFR Stock, when issued, sold and delivered in accordance with the terms and for the consideration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will be validly issued, fully paid and nonassessable and will be issued in compliance with all applicable federal and state securities laws and with all applicable listing and corporate governance rules and regulations of Nasdaq.</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5" w:name="page166"/>
    <w:bookmarkEnd w:id="165"/>
    <w:p>
      <w:pPr>
        <w:ind w:right="240" w:firstLine="62"/>
        <w:spacing w:after="0" w:line="286" w:lineRule="auto"/>
        <w:tabs>
          <w:tab w:leader="none" w:pos="369"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jc w:val="both"/>
        <w:ind w:left="760" w:firstLine="745"/>
        <w:spacing w:after="0" w:line="234" w:lineRule="auto"/>
        <w:tabs>
          <w:tab w:leader="none" w:pos="1940"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consent, approval, authorization or order of, or registration or filing with any Governmental Authority is required for the issuance or sale of CIFR Stock under this Agreement, except such as may be required under the Securities Act, the Exchange Act, the rules of the Financial Industry Regulatory Authority (“FINRA”) or state securities or blue sky laws. CIFR has prepared and filed the Shelf Registration Statement registering the CIFR Stock in conformity with the requirements of the Securities Act, which became effective on October 6, 2022, including the Prospectus, and such amendments and supplements thereto as may have been required to the date of this Agreement. CIFR was at the time of the filing of the Shelf Registration Statement eligible to use Form S-3. To CIFR’s knowledge and based on the representations and warranties of Seller, the offer, sale and issuance of the CIFR Stock may be registered on the Shelf Registration Statement under the Securities Act and the rules promulgated thereunder.</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54"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Shelf Registration Statement is effective under the Securities Act and no stop order suspending the effectiveness of the Shelf Registration Statement or any part thereof shall have been issued and no proceeding for that purpose shall have been initiated or threatened by the SEC; no order preventing or suspending the use of the Prospectus or Prospectus Supplement shall have been issued and no proceeding for that purpose shall have been initiated or threatened by the SEC; and trading in CIFR Stock shall not have been suspended by the SEC or Nasdaq.</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4" w:lineRule="auto"/>
        <w:tabs>
          <w:tab w:leader="none" w:pos="1940"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time the Shelf Registration Statement and any amendments thereto became effective, at the date of this Agreement and at the Closing Date, the Self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9" w:lineRule="auto"/>
        <w:tabs>
          <w:tab w:leader="none" w:pos="1967"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CIFR nor the Buyer is in violation of any applicable requirements set forth in the rules of the Securities Exchange Act of 1934, as amended (the “Exchange Act”) or the Sarbanes-Oxley Act of 2002 (the “Sarbanes-Oxley Act”); except, for any breaches, violations or defaults which, singularly or in the aggregate, would not have a Material Adverse Effect.</w:t>
      </w:r>
    </w:p>
    <w:p>
      <w:pPr>
        <w:spacing w:after="0" w:line="178" w:lineRule="exact"/>
        <w:rPr>
          <w:rFonts w:ascii="Times New Roman" w:cs="Times New Roman" w:eastAsia="Times New Roman" w:hAnsi="Times New Roman"/>
          <w:sz w:val="22"/>
          <w:szCs w:val="22"/>
          <w:color w:val="010000"/>
        </w:rPr>
      </w:pPr>
    </w:p>
    <w:p>
      <w:pPr>
        <w:jc w:val="both"/>
        <w:ind w:left="760" w:firstLine="745"/>
        <w:spacing w:after="0" w:line="239" w:lineRule="auto"/>
        <w:tabs>
          <w:tab w:leader="none" w:pos="1940"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CIFR has filed all reports, schedules, forms, statements and other documents required to be filed by CIFR under the Securities Act and the Exchange Act, including pursuant to Section 13(a) or 15(d) thereof, for the two years preceding the date hereof (or such shorter period as CIFR was required by law or regulation to file such material) (the foregoing materials, including the exhibits thereto and documents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6" w:name="page167"/>
    <w:bookmarkEnd w:id="166"/>
    <w:p>
      <w:pPr>
        <w:ind w:right="240" w:firstLine="62"/>
        <w:spacing w:after="0" w:line="286" w:lineRule="auto"/>
        <w:tabs>
          <w:tab w:leader="none" w:pos="369"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incorporated by reference therein, together with the Prospectus and the Prospectus Supplement, being collectively referred to herein as the “SEC Reports”)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1" w:lineRule="exact"/>
        <w:rPr>
          <w:sz w:val="20"/>
          <w:szCs w:val="20"/>
          <w:color w:val="auto"/>
        </w:rPr>
      </w:pPr>
    </w:p>
    <w:p>
      <w:pPr>
        <w:jc w:val="both"/>
        <w:ind w:left="760" w:firstLine="745"/>
        <w:spacing w:after="0" w:line="234" w:lineRule="auto"/>
        <w:tabs>
          <w:tab w:leader="none" w:pos="194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financial statements of CIFR set forth or incorporated by reference in the Shelf Registration Statement, the Prospectus and the Prospectus Supplement comply in all material respects with the requirements of the Securities Act and the Exchange Act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CIFR and its consolidated subsidiaries as of and for the dates thereof and the results of operations and cash flows for the periods then ended, subject, in the case of unaudited statements, to normal, immaterial, year-end audit adjustments.</w:t>
      </w:r>
    </w:p>
    <w:p>
      <w:pPr>
        <w:spacing w:after="0" w:line="184" w:lineRule="exact"/>
        <w:rPr>
          <w:rFonts w:ascii="Times New Roman" w:cs="Times New Roman" w:eastAsia="Times New Roman" w:hAnsi="Times New Roman"/>
          <w:sz w:val="22"/>
          <w:szCs w:val="22"/>
          <w:color w:val="010000"/>
        </w:rPr>
      </w:pPr>
    </w:p>
    <w:p>
      <w:pPr>
        <w:jc w:val="both"/>
        <w:ind w:left="760" w:firstLine="745"/>
        <w:spacing w:after="0" w:line="236" w:lineRule="auto"/>
        <w:tabs>
          <w:tab w:leader="none" w:pos="198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CIFR’s knowledge, Marcum LLP (the “</w:t>
      </w:r>
      <w:r>
        <w:rPr>
          <w:rFonts w:ascii="Times New Roman" w:cs="Times New Roman" w:eastAsia="Times New Roman" w:hAnsi="Times New Roman"/>
          <w:sz w:val="22"/>
          <w:szCs w:val="22"/>
          <w:u w:val="single" w:color="auto"/>
          <w:color w:val="auto"/>
        </w:rPr>
        <w:t>Auditor</w:t>
      </w:r>
      <w:r>
        <w:rPr>
          <w:rFonts w:ascii="Times New Roman" w:cs="Times New Roman" w:eastAsia="Times New Roman" w:hAnsi="Times New Roman"/>
          <w:sz w:val="22"/>
          <w:szCs w:val="22"/>
          <w:color w:val="auto"/>
        </w:rPr>
        <w:t>”) whose report on the consolidated financial statements of CIFR is filed with the SEC as part of Buyer’s most recent Annual Report on Form 10-K filed with the SEC and incorporated by reference into the Shelf Registration Statement are and, during the periods covered by their report, were an independent public accounting firm within the meaning of the Securities Act and the Public Company Accounting Oversight Board (United States) and is not in violation of the auditor independence requirements of the Sarbanes-Oxley Act with respect to CIFR.</w:t>
      </w:r>
    </w:p>
    <w:p>
      <w:pPr>
        <w:spacing w:after="0" w:line="179" w:lineRule="exact"/>
        <w:rPr>
          <w:rFonts w:ascii="Times New Roman" w:cs="Times New Roman" w:eastAsia="Times New Roman" w:hAnsi="Times New Roman"/>
          <w:sz w:val="22"/>
          <w:szCs w:val="22"/>
          <w:color w:val="010000"/>
        </w:rPr>
      </w:pPr>
    </w:p>
    <w:p>
      <w:pPr>
        <w:jc w:val="both"/>
        <w:ind w:left="760" w:firstLine="745"/>
        <w:spacing w:after="0" w:line="258" w:lineRule="auto"/>
        <w:tabs>
          <w:tab w:leader="none" w:pos="194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set forth in the SEC Reports, subsequent to the respective dates as of which information is given in the Prospectus and the Prospectus Supplement, there has been no event, occurrence or development that has had or that could reasonably be expected to result in a Material Adverse Effect on the assets, Liabilities, financial condition, business operations, affairs of CIFR or its subsidiaries. Except for the issuance of the CIFR Stock contemplated by this Agreement and the information disclosed by CIFR to the Seller and its Representatives under, and subject to the terms and conditions of, the Confidentiality Agreement including CIFR’s unaudited financial information for the quarter ending September 30, 2023, which shall be disclosed as part of CIFR’s quarterly report on Form 10-Q, no event, liability, fact, circumstance, occurrence or development has occurred or exists or is reasonably expected to occur or exist with respect to CIFR or its subsidiaries or their respective businesses, prospects, properties, operations, assets or financial condition that would be required to be disclosed by CIFR under applicable securities laws at the time this representation is made that has not been publicly disclosed at least one trading day prior to the date that this representation is made.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7" w:name="page168"/>
    <w:bookmarkEnd w:id="167"/>
    <w:p>
      <w:pPr>
        <w:ind w:right="240" w:firstLine="62"/>
        <w:spacing w:after="0" w:line="286" w:lineRule="auto"/>
        <w:tabs>
          <w:tab w:leader="none" w:pos="369"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jc w:val="both"/>
        <w:ind w:left="760" w:firstLine="745"/>
        <w:spacing w:after="0" w:line="239" w:lineRule="auto"/>
        <w:tabs>
          <w:tab w:leader="none" w:pos="1981"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knowledge of the CIFR, none of the SEC Reports are the subject of ongoing SEC review or outstanding SEC comment. There are no internal investigations, SEC inquiries or investigations or other governmental inquiries or investigations pending or, to the knowledge of the CIFR, threatened, in each case regarding any accounting practices of CIFR.</w:t>
      </w:r>
    </w:p>
    <w:p>
      <w:pPr>
        <w:spacing w:after="0" w:line="178"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CIFR is a former shell company (as defined in Rule 405 under the Securities Act).</w:t>
      </w:r>
    </w:p>
    <w:p>
      <w:pPr>
        <w:spacing w:after="0" w:line="205" w:lineRule="exact"/>
        <w:rPr>
          <w:rFonts w:ascii="Times New Roman" w:cs="Times New Roman" w:eastAsia="Times New Roman" w:hAnsi="Times New Roman"/>
          <w:sz w:val="22"/>
          <w:szCs w:val="22"/>
          <w:color w:val="010000"/>
        </w:rPr>
      </w:pPr>
    </w:p>
    <w:p>
      <w:pPr>
        <w:ind w:left="760" w:firstLine="745"/>
        <w:spacing w:after="0" w:line="258" w:lineRule="auto"/>
        <w:tabs>
          <w:tab w:leader="none" w:pos="1954"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CIFR is in compliance in all material respects with the applicable listing and corporate governance rules and regulations of Nasdaq.</w:t>
      </w:r>
    </w:p>
    <w:p>
      <w:pPr>
        <w:spacing w:after="0" w:line="157"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Independent Investigation</w:t>
      </w:r>
      <w:r>
        <w:rPr>
          <w:rFonts w:ascii="Times New Roman" w:cs="Times New Roman" w:eastAsia="Times New Roman" w:hAnsi="Times New Roman"/>
          <w:sz w:val="22"/>
          <w:szCs w:val="22"/>
          <w:color w:val="auto"/>
        </w:rPr>
        <w:t>. Each of Buyer and CIFR has conducted its own independent investigation, review and analysis of the Purchased Assets, and, without limiting in any way the rights and obligations set forth in ARTICLE V of this Agreement, acknowledges that it has been provided adequate access to the personnel, properties, assets, premises, books and records, and other documents and data of Seller for such purpose. Each of Buyer and CIFR acknowledges and agrees that: (a) in making its decision to enter into this Agreement and to consummate the transactions contemplated hereby, such Person has relied solely upon its own investigation and the express representations and warranties of Seller set forth in ARTICLE III of this Agreement; and (b) neither Seller nor any other Person has made any representation or warranty as to Seller, the Purchased Assets or this Agreement, except as expressly set forth in ARTICLE III of this Agreement.</w:t>
      </w:r>
    </w:p>
    <w:p>
      <w:pPr>
        <w:spacing w:after="0" w:line="184"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Disclaimer of Other Representations and Warranties</w:t>
      </w:r>
      <w:r>
        <w:rPr>
          <w:rFonts w:ascii="Times New Roman" w:cs="Times New Roman" w:eastAsia="Times New Roman" w:hAnsi="Times New Roman"/>
          <w:sz w:val="22"/>
          <w:szCs w:val="22"/>
          <w:color w:val="auto"/>
        </w:rPr>
        <w:t xml:space="preserve">. Neither Buyer nor any of its Representatives has made, nor shall they be deemed to have made, any representations or warranties, express or implied, of any nature whatsoever relating to Buyer or in connection with the transactions contemplated hereby, other than those representations and warranties expressly set forth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 AND ACKNOWLEDGEMENTS</w:t>
      </w:r>
    </w:p>
    <w:p>
      <w:pPr>
        <w:spacing w:after="0" w:line="181"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Conduct of Business (Pre-Closing)</w:t>
      </w:r>
      <w:r>
        <w:rPr>
          <w:rFonts w:ascii="Times New Roman" w:cs="Times New Roman" w:eastAsia="Times New Roman" w:hAnsi="Times New Roman"/>
          <w:sz w:val="22"/>
          <w:szCs w:val="22"/>
          <w:color w:val="auto"/>
        </w:rPr>
        <w:t xml:space="preserve">. During the period from the Effective Date and continuing until the earlier of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or the Closing (the “</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except as required or expressly permitted by this Agreement or as set forth on </w:t>
      </w: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Seller shall cause the Leased Property and the Purchased Assets to be maintained in substantially the same manner as prior to the date of this Agreement pursuant to Seller's normal course of business, and shall maintain in full force and effect and comply in all material respects with all Assumed Contracts and applicable Laws. Seller shall not cause or make any new improvements, alterations, or demolition to the Leased Property. During the Interim Period, Seller shall provide Buyer with any written notice or report delivered to or received from any Third Party in connection with or otherwise relating to the Leased Property or the Purchased Assets. Notwithstanding the first sentence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during the Interim Period, except (a) as is necessary to comply with requirements of this Agreement or under 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8" w:name="page169"/>
    <w:bookmarkEnd w:id="168"/>
    <w:p>
      <w:pPr>
        <w:ind w:right="240" w:firstLine="62"/>
        <w:spacing w:after="0" w:line="286" w:lineRule="auto"/>
        <w:tabs>
          <w:tab w:leader="none" w:pos="369"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Contracts binding on the Leased Property or the Purchased Assets, (b) as required in case of any emergency, and/or (c) as set forth on </w:t>
      </w: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without the prior written consent of Buyer, Seller shall not:</w:t>
      </w:r>
    </w:p>
    <w:p>
      <w:pPr>
        <w:spacing w:after="0" w:line="157" w:lineRule="exact"/>
        <w:rPr>
          <w:sz w:val="20"/>
          <w:szCs w:val="20"/>
          <w:color w:val="auto"/>
        </w:rPr>
      </w:pPr>
    </w:p>
    <w:p>
      <w:pPr>
        <w:jc w:val="both"/>
        <w:ind w:left="760" w:firstLine="745"/>
        <w:spacing w:after="0" w:line="236" w:lineRule="auto"/>
        <w:tabs>
          <w:tab w:leader="none" w:pos="1940"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material change to its accounting methods, policies or practices, except as required or permitted by GAAP, or change its fiscal year, or make or change any Tax election, file any amended Tax Return, settle or compromise any Tax liability, agree to an extension or waiver of the statute of limitations with respect to the assessment, reassessment or determination of Taxes, waive any right to a Tax refund or credit, incur any Liability for Tax outside of the ordinary course of its business, or enter into any closing agreement with respect to any Tax, in each case related to the Leased Property or the Purchased Assets;</w:t>
      </w:r>
    </w:p>
    <w:p>
      <w:pPr>
        <w:spacing w:after="0" w:line="179" w:lineRule="exact"/>
        <w:rPr>
          <w:rFonts w:ascii="Times New Roman" w:cs="Times New Roman" w:eastAsia="Times New Roman" w:hAnsi="Times New Roman"/>
          <w:sz w:val="22"/>
          <w:szCs w:val="22"/>
          <w:color w:val="010000"/>
        </w:rPr>
      </w:pPr>
    </w:p>
    <w:p>
      <w:pPr>
        <w:ind w:left="760" w:firstLine="745"/>
        <w:spacing w:after="0" w:line="258" w:lineRule="auto"/>
        <w:tabs>
          <w:tab w:leader="none" w:pos="1954"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in the ordinary course of business, sell, assign, transfer, lease or otherwise dispose of or encumber or incur Indebtedness on its interests in the Leased Property or the Purchased Assets;</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67"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or modify in any material respect or terminate any Assumed Contract, enter into any material Contract, enter into any Contract with an Affiliate of Seller, or make any other material commitment with respect to the Leased Property or the Purchased Assets;</w:t>
      </w:r>
    </w:p>
    <w:p>
      <w:pPr>
        <w:spacing w:after="0" w:line="172" w:lineRule="exact"/>
        <w:rPr>
          <w:rFonts w:ascii="Times New Roman" w:cs="Times New Roman" w:eastAsia="Times New Roman" w:hAnsi="Times New Roman"/>
          <w:sz w:val="22"/>
          <w:szCs w:val="22"/>
          <w:color w:val="010000"/>
        </w:rPr>
      </w:pPr>
    </w:p>
    <w:p>
      <w:pPr>
        <w:ind w:left="760" w:firstLine="745"/>
        <w:spacing w:after="0" w:line="258" w:lineRule="auto"/>
        <w:tabs>
          <w:tab w:leader="none" w:pos="1967"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new Service Contract which is not terminable on thirty (30) days’ prior notice without Buyer’s prior written consent, which may be withheld in Buyer’s sole discretion; or</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71" w:lineRule="auto"/>
        <w:tabs>
          <w:tab w:leader="none" w:pos="1940"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commence, compromise or settle any Proceeding related to the Leased Property or the Purchased Assets or waive any material right with respect thereto, except for settlements that do not (i) impose any financial obligations on the Leased Property or the Purchased Assets, (ii) involve any finding or admission of any violation of Law or admission of any wrongdoing or (iii) result in any Liens being imposed upon the Leased Property or the Purchased Assets.</w:t>
      </w:r>
    </w:p>
    <w:p>
      <w:pPr>
        <w:spacing w:after="0" w:line="14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0"/>
          <w:szCs w:val="20"/>
          <w:u w:val="single" w:color="auto"/>
          <w:color w:val="auto"/>
        </w:rPr>
        <w:t>Access; Transition Assistance</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4" w:lineRule="auto"/>
        <w:tabs>
          <w:tab w:leader="none" w:pos="1967"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 xml:space="preserve">. Prior to the Closing Date, or if earlier, until the date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upon reasonable notice, Seller shall afford (and shall cause its Affiliates to afford) to Buyer and its authorized Representatives reasonable access, during normal business hours, to the Leased Property, the Books and Records of Seller with respect to the Leased Property and the Purchased Assets, and to the appropriate officers and employees of Seller and its Affiliates, in each case, as reasonably requested by Buyer;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access or furnishing of information shall be conducted at Buyer’s expense, under the supervision of Seller’s personnel and in such a manner as not to interfere with the normal operations of Seller’s business. Notwithstanding anything to the contrary in this Agreement, Seller shall not be required to disclose 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9" w:name="page170"/>
    <w:bookmarkEnd w:id="169"/>
    <w:p>
      <w:pPr>
        <w:ind w:right="240" w:firstLine="62"/>
        <w:spacing w:after="0" w:line="286" w:lineRule="auto"/>
        <w:tabs>
          <w:tab w:leader="none" w:pos="36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information to Buyer if such disclosure would (i) jeopardize any attorney-client or other legal privilege or (ii) contravene any applicable Laws, or binding agreement entered into prior to the date hereof. Upon Seller’s request, Buyer and its Representatives shall execute reasonable waivers and releases prior to accessing the Leased Property.</w:t>
      </w:r>
    </w:p>
    <w:p>
      <w:pPr>
        <w:spacing w:after="0" w:line="172" w:lineRule="exact"/>
        <w:rPr>
          <w:sz w:val="20"/>
          <w:szCs w:val="20"/>
          <w:color w:val="auto"/>
        </w:rPr>
      </w:pPr>
    </w:p>
    <w:p>
      <w:pPr>
        <w:jc w:val="both"/>
        <w:ind w:left="760" w:firstLine="745"/>
        <w:spacing w:after="0" w:line="244" w:lineRule="auto"/>
        <w:tabs>
          <w:tab w:leader="none" w:pos="1994"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the Interim Period, the Parties shall, and shall cause each of their respective employees to, provide reasonable assistance with respect to the other Party for the transition of ownership of the Purchased Assets to Buyer or Buyer’s designee.</w:t>
      </w:r>
    </w:p>
    <w:p>
      <w:pPr>
        <w:spacing w:after="0" w:line="172"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0"/>
          <w:szCs w:val="20"/>
          <w:u w:val="single" w:color="auto"/>
          <w:color w:val="auto"/>
        </w:rPr>
        <w:t>Confidentiality</w:t>
      </w:r>
    </w:p>
    <w:p>
      <w:pPr>
        <w:spacing w:after="0" w:line="205" w:lineRule="exact"/>
        <w:rPr>
          <w:sz w:val="20"/>
          <w:szCs w:val="20"/>
          <w:color w:val="auto"/>
        </w:rPr>
      </w:pPr>
    </w:p>
    <w:p>
      <w:pPr>
        <w:jc w:val="both"/>
        <w:ind w:left="760" w:firstLine="745"/>
        <w:spacing w:after="0" w:line="233" w:lineRule="auto"/>
        <w:tabs>
          <w:tab w:leader="none" w:pos="1940"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Related Parties shall at all times maintain the confidentiality of Confidential Information, and no Seller Related Party shall disclose any such information to any Person, nor shall any Seller Related Party use Confidential Information for any purpose except for the benefit of Buyer.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shall mean the following: (i) trade secrets of Seller related to the Leased Property or Purchased Assets, including data, know-how, formulae, compositions, processes, designs, sketches, photographs, graphs, drawings, samples and any other information, however documented, that is a trade secret under Law; (ii) confidential or proprietary information of Seller related to the Leased Property or Purchased Assets, however documented; (iii) notes, analyses, compilations, studies, summaries, and other material prepared by or for any Seller Related Party containing or based, in whole or in part, on any information included in the foregoing; and (iv) the terms of this Agreement and any other agreement, certificate, instrument, and document contemplated hereby. The restrictions contained in this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shall apply regardless of whether such Confidential Information (A) is in written, graphic, recorded, photographic, or any machine readable form or is orally conveyed to, or memorized by, any Seller Related Party, or (B) has been labeled, marked, or otherwise identified as confidential or proprietary.</w:t>
      </w:r>
    </w:p>
    <w:p>
      <w:pPr>
        <w:spacing w:after="0" w:line="178" w:lineRule="exact"/>
        <w:rPr>
          <w:rFonts w:ascii="Times New Roman" w:cs="Times New Roman" w:eastAsia="Times New Roman" w:hAnsi="Times New Roman"/>
          <w:sz w:val="22"/>
          <w:szCs w:val="22"/>
          <w:color w:val="010000"/>
        </w:rPr>
      </w:pPr>
    </w:p>
    <w:p>
      <w:pPr>
        <w:jc w:val="both"/>
        <w:ind w:left="760" w:firstLine="745"/>
        <w:spacing w:after="0" w:line="233" w:lineRule="auto"/>
        <w:tabs>
          <w:tab w:leader="none" w:pos="1954"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Seller Related Party’s duty of confidentiality with regard to the Confidential Information shall not extend to: (i) any Confidential Information that, at the time of disclosure, had been previously published and was generally available and part of the public domain; (ii) any Confidential Information that is published and becomes generally available and part of the public domain after disclosure, unless such publication is a breach of this Agreement by a Seller Related Party; and (iii) any Confidential Information that is obtained by a Seller Related Party from a Third Party who: (A) is lawfully in possession of that Confidential Information, (B) is not in violation of any contractual, legal, or fiduciary obligation to any Seller Related Party, Buyer or their respective Affiliates with respect to the Confidential Information and (C) does not prohibit a Seller Related Party from disclosing the Confidential Information to other Persons. Further, the Seller Related Parties may disclose Confidential Information to the extent such disclosure is reasonably necessary (x) for the purpose of exercising or enforcing any rights of such Seller Related Party under this Agreement and (y) for Tax reporting purposes.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0" w:name="page171"/>
    <w:bookmarkEnd w:id="170"/>
    <w:p>
      <w:pPr>
        <w:ind w:right="240" w:firstLine="62"/>
        <w:spacing w:after="0" w:line="286" w:lineRule="auto"/>
        <w:tabs>
          <w:tab w:leader="none" w:pos="369"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jc w:val="both"/>
        <w:ind w:left="760" w:firstLine="745"/>
        <w:spacing w:after="0" w:line="233" w:lineRule="auto"/>
        <w:tabs>
          <w:tab w:leader="none" w:pos="1940" w:val="left"/>
        </w:tabs>
        <w:numPr>
          <w:ilvl w:val="1"/>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 Seller Related Party is requested or required (by oral questions, interrogatories, requests for information or documents, subpoena, or other process or legal obligation) to disclose any Confidential Information (including the terms of this Agreement), such Seller Related Party agrees to: (i) give prompt written notice to Buyer of such request or subpoena (if legally permitted) in order to allow Buyer an opportunity to seek an appropriate protective order or to waive compliance with the provisions of this Agreement and (ii) cooperate with Buyer and with counsel for Buyer (at Buyer’s expense) in responding to such request or subpoena as provided below. If Buyer fails to obtain a protective order and does not waive its rights to confidential treatment under this Agreement, such Seller Related Party may disclose only that portion of any Confidential Information which its counsel reasonably advises in writing that such Seller Party is compelled to disclose pursuant to Law. Each Seller Related Party further agrees that in no event will such Seller Related Party oppose action to obtain an appropriate protective order or other reliable promises that confidential treatment will be accorded to the Confidential Information.</w:t>
      </w:r>
    </w:p>
    <w:p>
      <w:pPr>
        <w:spacing w:after="0" w:line="184"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0"/>
          <w:szCs w:val="20"/>
          <w:u w:val="single" w:color="auto"/>
          <w:color w:val="auto"/>
        </w:rPr>
        <w:t>Third Party Contracts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760" w:firstLine="745"/>
        <w:spacing w:after="0" w:line="258" w:lineRule="auto"/>
        <w:tabs>
          <w:tab w:leader="none" w:pos="1981"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Priority and Oncor Contracts</w:t>
      </w:r>
      <w:r>
        <w:rPr>
          <w:rFonts w:ascii="Times New Roman" w:cs="Times New Roman" w:eastAsia="Times New Roman" w:hAnsi="Times New Roman"/>
          <w:sz w:val="22"/>
          <w:szCs w:val="22"/>
          <w:color w:val="auto"/>
        </w:rPr>
        <w:t>. Prior to the Closing, in connection with the purchase and sale of the Purchased Assets contemplated by this Agreement, Buyer and CIFR shall use all commercially reasonable efforts to:</w:t>
      </w:r>
    </w:p>
    <w:p>
      <w:pPr>
        <w:spacing w:after="0" w:line="157" w:lineRule="exact"/>
        <w:rPr>
          <w:rFonts w:ascii="Times New Roman" w:cs="Times New Roman" w:eastAsia="Times New Roman" w:hAnsi="Times New Roman"/>
          <w:sz w:val="22"/>
          <w:szCs w:val="22"/>
          <w:color w:val="010000"/>
        </w:rPr>
      </w:pPr>
    </w:p>
    <w:p>
      <w:pPr>
        <w:jc w:val="both"/>
        <w:ind w:left="1500" w:firstLine="754"/>
        <w:spacing w:after="0" w:line="239" w:lineRule="auto"/>
        <w:tabs>
          <w:tab w:leader="none" w:pos="2734"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negotiate in good faith with Priority Power Management, LLC (“</w:t>
      </w:r>
      <w:r>
        <w:rPr>
          <w:rFonts w:ascii="Times New Roman" w:cs="Times New Roman" w:eastAsia="Times New Roman" w:hAnsi="Times New Roman"/>
          <w:sz w:val="22"/>
          <w:szCs w:val="22"/>
          <w:u w:val="single" w:color="auto"/>
          <w:color w:val="auto"/>
        </w:rPr>
        <w:t>Priority</w:t>
      </w:r>
      <w:r>
        <w:rPr>
          <w:rFonts w:ascii="Times New Roman" w:cs="Times New Roman" w:eastAsia="Times New Roman" w:hAnsi="Times New Roman"/>
          <w:sz w:val="22"/>
          <w:szCs w:val="22"/>
          <w:color w:val="auto"/>
        </w:rPr>
        <w:t>”) to secure final, executable versions of (i) an Engineering, Procurement, and Construction Management Agreement and (ii) a Master Energy Management Services Agreement (collectively, the “</w:t>
      </w:r>
      <w:r>
        <w:rPr>
          <w:rFonts w:ascii="Times New Roman" w:cs="Times New Roman" w:eastAsia="Times New Roman" w:hAnsi="Times New Roman"/>
          <w:sz w:val="22"/>
          <w:szCs w:val="22"/>
          <w:u w:val="single" w:color="auto"/>
          <w:color w:val="auto"/>
        </w:rPr>
        <w:t>Priority Contracts</w:t>
      </w:r>
      <w:r>
        <w:rPr>
          <w:rFonts w:ascii="Times New Roman" w:cs="Times New Roman" w:eastAsia="Times New Roman" w:hAnsi="Times New Roman"/>
          <w:sz w:val="22"/>
          <w:szCs w:val="22"/>
          <w:color w:val="auto"/>
        </w:rPr>
        <w:t>”), in each case to be entered into between Buyer and Priority simultaneously with the Closing; and</w:t>
      </w:r>
    </w:p>
    <w:p>
      <w:pPr>
        <w:spacing w:after="0" w:line="178" w:lineRule="exact"/>
        <w:rPr>
          <w:rFonts w:ascii="Times New Roman" w:cs="Times New Roman" w:eastAsia="Times New Roman" w:hAnsi="Times New Roman"/>
          <w:sz w:val="22"/>
          <w:szCs w:val="22"/>
          <w:color w:val="010000"/>
        </w:rPr>
      </w:pPr>
    </w:p>
    <w:p>
      <w:pPr>
        <w:jc w:val="both"/>
        <w:ind w:left="1500" w:firstLine="754"/>
        <w:spacing w:after="0" w:line="237" w:lineRule="auto"/>
        <w:tabs>
          <w:tab w:leader="none" w:pos="2694"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negotiate in good faith with Oncor Electric Delivery Company LLC (“</w:t>
      </w:r>
      <w:r>
        <w:rPr>
          <w:rFonts w:ascii="Times New Roman" w:cs="Times New Roman" w:eastAsia="Times New Roman" w:hAnsi="Times New Roman"/>
          <w:sz w:val="22"/>
          <w:szCs w:val="22"/>
          <w:u w:val="single" w:color="auto"/>
          <w:color w:val="auto"/>
        </w:rPr>
        <w:t>Oncor</w:t>
      </w:r>
      <w:r>
        <w:rPr>
          <w:rFonts w:ascii="Times New Roman" w:cs="Times New Roman" w:eastAsia="Times New Roman" w:hAnsi="Times New Roman"/>
          <w:sz w:val="22"/>
          <w:szCs w:val="22"/>
          <w:color w:val="auto"/>
        </w:rPr>
        <w:t>”) to secure a final, executable version of a Facility Extension Agreement (the “</w:t>
      </w:r>
      <w:r>
        <w:rPr>
          <w:rFonts w:ascii="Times New Roman" w:cs="Times New Roman" w:eastAsia="Times New Roman" w:hAnsi="Times New Roman"/>
          <w:sz w:val="22"/>
          <w:szCs w:val="22"/>
          <w:u w:val="single" w:color="auto"/>
          <w:color w:val="auto"/>
        </w:rPr>
        <w:t>Oncor FEA</w:t>
      </w:r>
      <w:r>
        <w:rPr>
          <w:rFonts w:ascii="Times New Roman" w:cs="Times New Roman" w:eastAsia="Times New Roman" w:hAnsi="Times New Roman"/>
          <w:sz w:val="22"/>
          <w:szCs w:val="22"/>
          <w:color w:val="auto"/>
        </w:rPr>
        <w:t>”) to be entered into between Buyer and Oncor simultaneously with the Closing which (A) provides for a minimum of 154 MW of energy generation at the Leased Property and (B) does not require Buyer to pledge collateral in excess of (1) $4,000,000 for 154 MW of energy generation or (2) $7,000,000 for 300 MW of energy generation.</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6" w:lineRule="auto"/>
        <w:tabs>
          <w:tab w:leader="none" w:pos="1954"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Seller’s Cooperation</w:t>
      </w:r>
      <w:r>
        <w:rPr>
          <w:rFonts w:ascii="Times New Roman" w:cs="Times New Roman" w:eastAsia="Times New Roman" w:hAnsi="Times New Roman"/>
          <w:sz w:val="22"/>
          <w:szCs w:val="22"/>
          <w:color w:val="auto"/>
        </w:rPr>
        <w:t>. At Buyer’s reasonable request, Seller shall use all commercially reasonable efforts necessary to cooperate with and assist Buyer in negotiating and finalizing the Priority Contracts and the Oncor FEA, including by providing or delivering any documentation, personnel or other information reasonably requested by Buyer. For the avoidance of doubt, Seller shall remain responsible for any obligations or liabilities arising, and be entitled to payment of any amounts owing to it with respect to services performed, under any Contract between Seller and Priority or Seller and Oncor, as applicable, whether before or after the Closing.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1" w:name="page172"/>
    <w:bookmarkEnd w:id="171"/>
    <w:p>
      <w:pPr>
        <w:ind w:right="240" w:firstLine="62"/>
        <w:spacing w:after="0" w:line="286" w:lineRule="auto"/>
        <w:tabs>
          <w:tab w:leader="none" w:pos="369"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left="760" w:firstLine="745"/>
        <w:spacing w:after="0" w:line="239" w:lineRule="auto"/>
        <w:tabs>
          <w:tab w:leader="none" w:pos="1940"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Lease Amendment</w:t>
      </w:r>
      <w:r>
        <w:rPr>
          <w:rFonts w:ascii="Times New Roman" w:cs="Times New Roman" w:eastAsia="Times New Roman" w:hAnsi="Times New Roman"/>
          <w:sz w:val="22"/>
          <w:szCs w:val="22"/>
          <w:color w:val="auto"/>
        </w:rPr>
        <w:t>. Prior to the Closing, each of Buyer, CIFR and Seller shall use commercially reasonable efforts to negotiate in good faith with *** to negotiate and secure a final, executable amendment to the Lease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containing all amendments reasonably required by Buyer following Buyer’s diligence of the Leased Property and the Geotechnical Study.</w:t>
      </w:r>
    </w:p>
    <w:p>
      <w:pPr>
        <w:spacing w:after="0" w:line="179" w:lineRule="exact"/>
        <w:rPr>
          <w:sz w:val="20"/>
          <w:szCs w:val="20"/>
          <w:color w:val="auto"/>
        </w:rPr>
      </w:pPr>
    </w:p>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Third-Party Approvals</w:t>
      </w:r>
      <w:r>
        <w:rPr>
          <w:rFonts w:ascii="Times New Roman" w:cs="Times New Roman" w:eastAsia="Times New Roman" w:hAnsi="Times New Roman"/>
          <w:sz w:val="22"/>
          <w:szCs w:val="22"/>
          <w:color w:val="auto"/>
        </w:rPr>
        <w:t>. From the Effective Date through the Closing Date, each of Buyer, CIFR and Seller shall, and shall each cause their respective Affiliates to, use commercially reasonable efforts to obtain all of the Buyer Approvals and the Seller Approvals required to be obtained as of the Closing Date, and maintain such approvals in full force and effect once obtained. Each Party shall cooperate with the reasonable requests of any other Party in seeking to obtain as promptly as practicable all such Buyer Approvals or Seller Approvals. None of Seller, Buyer or CIFR shall take, or cause to be taken, any action that it is aware or should reasonably be aware would have the effect of delaying, impairing or impeding the receipt of any such Buyer Approvals or Seller Approvals.</w:t>
      </w:r>
    </w:p>
    <w:p>
      <w:pPr>
        <w:spacing w:after="0" w:line="18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Until the Closing Date, Seller shall maintain and shall cause its Affiliates to, maintain or cause to be maintained in full force and effect the insurance policies described on </w:t>
      </w:r>
      <w:r>
        <w:rPr>
          <w:rFonts w:ascii="Times New Roman" w:cs="Times New Roman" w:eastAsia="Times New Roman" w:hAnsi="Times New Roman"/>
          <w:sz w:val="22"/>
          <w:szCs w:val="22"/>
          <w:u w:val="single" w:color="auto"/>
          <w:color w:val="auto"/>
        </w:rPr>
        <w:t>Schedule 3.14</w:t>
      </w:r>
      <w:r>
        <w:rPr>
          <w:rFonts w:ascii="Times New Roman" w:cs="Times New Roman" w:eastAsia="Times New Roman" w:hAnsi="Times New Roman"/>
          <w:sz w:val="22"/>
          <w:szCs w:val="22"/>
          <w:color w:val="auto"/>
        </w:rPr>
        <w:t xml:space="preserve"> and any insurance policies then required under the Assumed Contracts.</w:t>
      </w:r>
    </w:p>
    <w:p>
      <w:pPr>
        <w:spacing w:after="0" w:line="172"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Subject to the terms and conditions of this Agreement, at any time or from time to time after the Closing Date, at the request of Buyer or Seller, and without further consideration, the other Party shall execute and deliver to the requesting Party such other instruments of sale, transfer, conveyance, assignment and confirmation and provide such materials and information and take such other actions and execute and deliver such other documents as the requesting Party may reasonably request in order to consummate and to make effective the transactions contemplated by this Agreement.</w:t>
      </w:r>
    </w:p>
    <w:p>
      <w:pPr>
        <w:spacing w:after="0" w:line="179"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xml:space="preserve">. From the Effective Date through the earlier of the Closing Date and the date of termination of this Agreement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Seller shall not, and shall not authorize or permit any of its Representatives to, directly or indirectly, solicit or initiate, or take any action to facilitate, encourage or respond to any inquiries or the making of any proposal or offer from a Third Party relating to, or engage in any discussions or negotiations relating to, any transaction or transactions that would prevent the transactions contemplated by this Agreement or performance of Seller’s obligations hereunder.</w:t>
      </w:r>
    </w:p>
    <w:p>
      <w:pPr>
        <w:spacing w:after="0" w:line="179"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Notwithstanding any other provision of this Agreement to the contrary, the Parties acknowledge and agree that (a) any assets or properties of Seller that are not Purchased Assets under this Agreement are expressly excluded from the sale and purchase contemplated hereunder, (b) such properties and assets, and all Liabilities related thereto, shall remain the properties, assets and Liabilities of Seller from and after the Closing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2" w:name="page173"/>
    <w:bookmarkEnd w:id="172"/>
    <w:p>
      <w:pPr>
        <w:ind w:right="240" w:firstLine="62"/>
        <w:spacing w:after="0" w:line="286" w:lineRule="auto"/>
        <w:tabs>
          <w:tab w:leader="none" w:pos="369"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CIFR shall assume and neither shall have any obligations with respect to any such Liabilities.</w:t>
      </w:r>
    </w:p>
    <w:p>
      <w:pPr>
        <w:spacing w:after="0" w:line="205" w:lineRule="exact"/>
        <w:rPr>
          <w:sz w:val="20"/>
          <w:szCs w:val="20"/>
          <w:color w:val="auto"/>
        </w:rPr>
      </w:pPr>
    </w:p>
    <w:p>
      <w:pPr>
        <w:jc w:val="both"/>
        <w:ind w:firstLine="1498"/>
        <w:spacing w:after="0" w:line="233"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Efforts to Close</w:t>
      </w:r>
      <w:r>
        <w:rPr>
          <w:rFonts w:ascii="Times New Roman" w:cs="Times New Roman" w:eastAsia="Times New Roman" w:hAnsi="Times New Roman"/>
          <w:sz w:val="22"/>
          <w:szCs w:val="22"/>
          <w:color w:val="auto"/>
        </w:rPr>
        <w:t xml:space="preserve">. Subject to the terms and conditions of this Agreement, each of the Parties agrees to use its reasonable best efforts (unless, with respect to any action, another standard of performance is expressly provided for herein) to take, or cause to be taken, all action, and to do, or cause to be done, all things necessary, proper and advisable under applicable Law, to consummate as promptly as practicable the transactions contemplated by this Agreement in accordance with its terms. Each Party agrees that it (a) will not take or omit to take any action inconsistent with the provisions or intent of this Agreement or for the purpose of delaying or preventing the satisfaction of the conditions to the Closing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or otherwise delaying or preventing the Closing and (b) will use commercially reasonable efforts to satisfy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as applicable, and consummate the transactions contemplated by this Agreement. Notwithstanding anything in this Agreement to the contrary, none of Seller, Buyer, CIFR or their respective Affiliates shall be required to (i) pay any consideration or offer or grant any financial accommodation to induce a waiver or obtain an approval or consent from any Person or (ii) to agree to modify any terms of any Contract to induce any such waiver or obtain any such approval or consent.</w:t>
      </w:r>
    </w:p>
    <w:p>
      <w:pPr>
        <w:spacing w:after="0" w:line="181"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xml:space="preserve">. Except with respect to the material terms and conditions of the transactions contemplated by this Agreement, which shall be disclosed pursuant to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and CIFR’s preliminary, unaudited financial information for the quarter ending September 30, 2023, which shall be disclosed as part of CIFR’s quarterly report on Form 10-Q to be filed with the SEC, Seller acknowledges that neither the Buyer, nor CIFR, nor any other Person acting on their behalf has provided to Seller or its agents or counsel with any information that it believes constitutes or might constitute material, non-public information relating to the CIFR Stock. Seller further acknowledges that, in connection with this Agreement, neither Buyer, not CIFR, nor any other Person acting on its behalf will provide Seller or its agents or counsel with any information that constitutes, or the Buyer or CIFR may reasonably believe constitutes, material non-public information, unless prior thereto Seller shall have consented to the receipt of such information and agreed with the Buyer or CIFR to keep such information confidential.</w:t>
      </w:r>
    </w:p>
    <w:p>
      <w:pPr>
        <w:spacing w:after="0" w:line="176"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Securities Laws; Publicity</w:t>
      </w:r>
      <w:r>
        <w:rPr>
          <w:rFonts w:ascii="Times New Roman" w:cs="Times New Roman" w:eastAsia="Times New Roman" w:hAnsi="Times New Roman"/>
          <w:sz w:val="22"/>
          <w:szCs w:val="22"/>
          <w:color w:val="auto"/>
        </w:rPr>
        <w:t>. The Parties acknowledge that, upon the Effective Date, Buyer or CIFR shall issue a press release disclosing the material terms of the Agreement and/or disclose the material terms of the Agreement as part of CIFR’s periodic or annual report or a current report on Form 8-K filed with the SEC, as applicable, including the Agreement as exhibit thereto, within the time required by the Securities Exchange Act of 1934, as amended. Seller further acknowledges that Buyer or CIFR, without the prior consent of Seller, may make any other filings with respect to the matters contemplated by this Agreement as may be required by federal securities laws, any rules of the Commission, any regulatory agency or Nasdaq. CIFR, if required by the rules and regulations of the SEC, shall timely file (a) the Prospectus Supplement with the SEC pursuant to Rule 424(b) and (b) an opinion of counsel as to the legality of the CIFR Stock being issued pursuant to Item 601(b)(5) of Regulation S-K. Buyer and CIFR, on the one hand, and Seller, on the other, shall consult with each other in issuing any other press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3" w:name="page174"/>
    <w:bookmarkEnd w:id="173"/>
    <w:p>
      <w:pPr>
        <w:ind w:right="240" w:firstLine="62"/>
        <w:spacing w:after="0" w:line="286" w:lineRule="auto"/>
        <w:tabs>
          <w:tab w:leader="none" w:pos="369"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releases with respect to the transactions contemplated hereby. Seller shall not issue any press release nor otherwise make any such public statement without the prior consent of the Buyer, which consent shall not unreasonably be withheld or delayed, except if such disclosure is required by Law, in which case Seller shall promptly provide the Buyer with prior notice of such public statement or communication.</w:t>
      </w:r>
    </w:p>
    <w:p>
      <w:pPr>
        <w:spacing w:after="0" w:line="179" w:lineRule="exact"/>
        <w:rPr>
          <w:sz w:val="20"/>
          <w:szCs w:val="20"/>
          <w:color w:val="auto"/>
        </w:rPr>
      </w:pPr>
    </w:p>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Seller FEA</w:t>
      </w:r>
      <w:r>
        <w:rPr>
          <w:rFonts w:ascii="Times New Roman" w:cs="Times New Roman" w:eastAsia="Times New Roman" w:hAnsi="Times New Roman"/>
          <w:sz w:val="22"/>
          <w:szCs w:val="22"/>
          <w:color w:val="auto"/>
        </w:rPr>
        <w:t xml:space="preserve">. In the event that (a) the condition precedent set forth in </w:t>
      </w:r>
      <w:r>
        <w:rPr>
          <w:rFonts w:ascii="Times New Roman" w:cs="Times New Roman" w:eastAsia="Times New Roman" w:hAnsi="Times New Roman"/>
          <w:sz w:val="22"/>
          <w:szCs w:val="22"/>
          <w:u w:val="single" w:color="auto"/>
          <w:color w:val="auto"/>
        </w:rPr>
        <w:t>Section 7.2(g)</w:t>
      </w:r>
      <w:r>
        <w:rPr>
          <w:rFonts w:ascii="Times New Roman" w:cs="Times New Roman" w:eastAsia="Times New Roman" w:hAnsi="Times New Roman"/>
          <w:sz w:val="22"/>
          <w:szCs w:val="22"/>
          <w:color w:val="auto"/>
        </w:rPr>
        <w:t xml:space="preserve"> is satisfied solely by the delivery and satisfaction of each requirement set forth in </w:t>
      </w:r>
      <w:r>
        <w:rPr>
          <w:rFonts w:ascii="Times New Roman" w:cs="Times New Roman" w:eastAsia="Times New Roman" w:hAnsi="Times New Roman"/>
          <w:sz w:val="22"/>
          <w:szCs w:val="22"/>
          <w:u w:val="single" w:color="auto"/>
          <w:color w:val="auto"/>
        </w:rPr>
        <w:t>Section 7.2(g)(ii)(B)</w:t>
      </w:r>
      <w:r>
        <w:rPr>
          <w:rFonts w:ascii="Times New Roman" w:cs="Times New Roman" w:eastAsia="Times New Roman" w:hAnsi="Times New Roman"/>
          <w:sz w:val="22"/>
          <w:szCs w:val="22"/>
          <w:color w:val="auto"/>
        </w:rPr>
        <w:t xml:space="preserve">, (b) the Closing actually occurs as provided in this Agreement and (c) the Parties have received Oncor’s written consent to and approval of the assignment or other transfer of the Seller FEA and the Seller FEA Collateral to Buyer, then Buyer shall take all reasonable steps necessary to replace, assume or reimburse Seller for the Seller FEA Collateral as promptly as reasonably practicable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amount of Seller FEA Collateral that Buyer is obligated to replace, assume or reimburse pursuant to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exceed seven million Dollars ($7,000,000).</w:t>
      </w:r>
    </w:p>
    <w:p>
      <w:pPr>
        <w:spacing w:after="0" w:line="1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181" w:lineRule="exact"/>
        <w:rPr>
          <w:sz w:val="20"/>
          <w:szCs w:val="20"/>
          <w:color w:val="auto"/>
        </w:rPr>
      </w:pPr>
    </w:p>
    <w:p>
      <w:pPr>
        <w:jc w:val="both"/>
        <w:ind w:firstLine="1498"/>
        <w:spacing w:after="0" w:line="233"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Buyer and Seller shall cooperate fully as and to the extent reasonably requested by the other, in connection with the preparation and filing of Tax Returns and any audit, litigation or other proceeding (each, a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with respect to Taxes. Such cooperation shall include access to, the retention and (upon the other Party’s request) the provision of records and information that are reasonably relevant to any such Tax Return or Tax Proceeding, and the making available of employees on a mutually convenient basis to provide additional information and explanation of any material provided hereunder. The Parties shall retain all books and records with respect to Tax matters pertinent to the Purchased Assets relating to any taxable period beginning before the Closing Date until the expiration of the applicable statute of limitations for such taxable periods, and to abide by all record retention agreements entered into with any Tax Authority. Each Party, upon request, agrees to use commercially reasonable efforts to obtain any certificate or other document from any Tax Authority or any other Person as may be necessary to mitigate, reduce or eliminate any Tax that could be imposed with respect to the transactions contemplated by this Agreement.</w:t>
      </w:r>
    </w:p>
    <w:p>
      <w:pPr>
        <w:spacing w:after="0" w:line="184" w:lineRule="exact"/>
        <w:rPr>
          <w:sz w:val="20"/>
          <w:szCs w:val="20"/>
          <w:color w:val="auto"/>
        </w:rPr>
      </w:pPr>
    </w:p>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All state and local transfer, sales, use, stamp, registration or other similar Taxes, if any, resulting from the transactions contemplated by this Agreement and the Transaction Documents shall be borne and paid fifty percent (50%) by Buyer and fifty percent (50%) by Seller when due. The Parties shall cooperate in minimizing any such taxes and in preparing and filing all necessary documentation and Tax Returns with respect to such taxes. Buyer or Seller, as applicable, shall, at its own expense, timely file any Tax Return or other document with respect to such Taxes or fees (and the other party shall reasonably cooperate with respect thereto as necessary), and each of Buyer, on the one hand, and Seller, on the other hand,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4" w:name="page175"/>
    <w:bookmarkEnd w:id="174"/>
    <w:p>
      <w:pPr>
        <w:ind w:right="240" w:firstLine="62"/>
        <w:spacing w:after="0" w:line="286" w:lineRule="auto"/>
        <w:tabs>
          <w:tab w:leader="none" w:pos="369"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shall reimburse the other for any portion of such Taxes paid in excess of the portion of such Taxes such party or parties are responsible for pursuant to the foregoing.</w:t>
      </w:r>
    </w:p>
    <w:p>
      <w:pPr>
        <w:spacing w:after="0" w:line="157"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Straddle Tax Period Allocation</w:t>
      </w:r>
      <w:r>
        <w:rPr>
          <w:rFonts w:ascii="Times New Roman" w:cs="Times New Roman" w:eastAsia="Times New Roman" w:hAnsi="Times New Roman"/>
          <w:sz w:val="22"/>
          <w:szCs w:val="22"/>
          <w:color w:val="auto"/>
        </w:rPr>
        <w:t>. For purposes of this Agreement, where it is necessary to apportion between Seller, on the one hand, and Buyer, on the other hand, Taxes relating to the ownership of the Purchased Assets or the lease of the Leased Property in respect of a Straddle Tax Period, such liability shall be apportioned between the Pre-Closing Straddle Period and the Post-Closing Straddle Period on the following basis:</w:t>
      </w:r>
    </w:p>
    <w:p>
      <w:pPr>
        <w:spacing w:after="0" w:line="179" w:lineRule="exact"/>
        <w:rPr>
          <w:sz w:val="20"/>
          <w:szCs w:val="20"/>
          <w:color w:val="auto"/>
        </w:rPr>
      </w:pPr>
    </w:p>
    <w:p>
      <w:pPr>
        <w:jc w:val="both"/>
        <w:ind w:left="760" w:firstLine="745"/>
        <w:spacing w:after="0" w:line="237" w:lineRule="auto"/>
        <w:tabs>
          <w:tab w:leader="none" w:pos="1940"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Taxes that are either (i) based upon or related to income, wages or receipts or (ii) imposed in connection with any sale or other transfer or assignment of property (real or personal, tangible or intangible) (other than Transfer Taxes which are subject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the portion of such Taxes allocable to the Pre-Closing Straddle Period shall equal the amount of such Taxes that would be payable if the taxable year ended as of (and included) the Closing Date; and</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54"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real and personal property Taxes (and any other Taxes imposed in respect of property on a periodic basis), the portion of such Taxes allocable to the Pre-Closing Straddle Period shall be the total annual Tax attributable to such assets for such Straddle Tax Period, multiplied by a fraction, the numerator of which is the number of calendar days in the period beginning with the commencement of such Straddle Tax Period and ending on and including the Closing Date, and the denominator being the total number of days in the Straddle Tax Period.</w:t>
      </w:r>
    </w:p>
    <w:p>
      <w:pPr>
        <w:spacing w:after="0" w:line="180"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Tax Treatment of Purchase and Sale</w:t>
      </w:r>
      <w:r>
        <w:rPr>
          <w:rFonts w:ascii="Times New Roman" w:cs="Times New Roman" w:eastAsia="Times New Roman" w:hAnsi="Times New Roman"/>
          <w:sz w:val="22"/>
          <w:szCs w:val="22"/>
          <w:color w:val="auto"/>
        </w:rPr>
        <w:t xml:space="preserve">. The Parties agree that for purposes of Income Tax reporting, the Purchased Assets do not include any goodwill or going concern value. Buyer and Seller shall prepare and file, and shall cause their respective Affiliates to prepare and file, all Tax Returns in a manner consistent with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except as otherwise required by applicable Law.</w:t>
      </w:r>
    </w:p>
    <w:p>
      <w:pPr>
        <w:spacing w:after="0" w:line="17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Bulk Sales Laws</w:t>
      </w:r>
      <w:r>
        <w:rPr>
          <w:rFonts w:ascii="Times New Roman" w:cs="Times New Roman" w:eastAsia="Times New Roman" w:hAnsi="Times New Roman"/>
          <w:sz w:val="22"/>
          <w:szCs w:val="22"/>
          <w:color w:val="auto"/>
        </w:rPr>
        <w:t>. The parties hereby waive compliance with the provisions of any bulk sales, bulk transfer or similar Laws of any jurisdiction that may otherwise be applicable with respect to the sale of any or all of the Purchased Assets to Buyer.</w:t>
      </w:r>
    </w:p>
    <w:p>
      <w:pPr>
        <w:spacing w:after="0" w:line="16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CONDITIONS TO OBLIGATIONS</w:t>
      </w:r>
    </w:p>
    <w:p>
      <w:pPr>
        <w:spacing w:after="0" w:line="18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Conditions to the Obligations of Both Parties at Closing</w:t>
      </w:r>
      <w:r>
        <w:rPr>
          <w:rFonts w:ascii="Times New Roman" w:cs="Times New Roman" w:eastAsia="Times New Roman" w:hAnsi="Times New Roman"/>
          <w:sz w:val="22"/>
          <w:szCs w:val="22"/>
          <w:color w:val="auto"/>
        </w:rPr>
        <w:t>. The obligations of the Parties to consummate the transactions contemplated by this Agreement and the Transaction Documents are subject to the satisfaction of the following conditions, any one or more of which may be waived in writing by the Parties:</w:t>
      </w:r>
    </w:p>
    <w:p>
      <w:pPr>
        <w:spacing w:after="0" w:line="172" w:lineRule="exact"/>
        <w:rPr>
          <w:sz w:val="20"/>
          <w:szCs w:val="20"/>
          <w:color w:val="auto"/>
        </w:rPr>
      </w:pPr>
    </w:p>
    <w:p>
      <w:pPr>
        <w:jc w:val="both"/>
        <w:ind w:left="760" w:firstLine="745"/>
        <w:spacing w:after="0" w:line="244" w:lineRule="auto"/>
        <w:tabs>
          <w:tab w:leader="none" w:pos="1981"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be in force any Law restraining or prohibiting the consummation of the transactions contemplated by, and as provided in, this Agreement and the applicable Transaction Documents, and no action or proceeding shall have been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5" w:name="page176"/>
    <w:bookmarkEnd w:id="175"/>
    <w:p>
      <w:pPr>
        <w:ind w:right="240" w:firstLine="62"/>
        <w:spacing w:after="0" w:line="286" w:lineRule="auto"/>
        <w:tabs>
          <w:tab w:leader="none" w:pos="369"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commenced or threatened in writing that seeks to restrain or prohibit consummation of the transactions contemplated by this Agreement, and as provided in, this Agreement and the applicable Transaction Documents.</w:t>
      </w:r>
    </w:p>
    <w:p>
      <w:pPr>
        <w:spacing w:after="0" w:line="157"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Conditions to the Obligations of Buyer and CIFR at Closing</w:t>
      </w:r>
      <w:r>
        <w:rPr>
          <w:rFonts w:ascii="Times New Roman" w:cs="Times New Roman" w:eastAsia="Times New Roman" w:hAnsi="Times New Roman"/>
          <w:sz w:val="22"/>
          <w:szCs w:val="22"/>
          <w:color w:val="auto"/>
        </w:rPr>
        <w:t>. The obligation of Buyer and CIFR to consummate the transactions contemplated by the Closing is subject to the satisfaction, at or before the Closing, of the following conditions, any one or more of which may be waived in writing by Buyer:</w:t>
      </w:r>
    </w:p>
    <w:p>
      <w:pPr>
        <w:spacing w:after="0" w:line="172" w:lineRule="exact"/>
        <w:rPr>
          <w:sz w:val="20"/>
          <w:szCs w:val="20"/>
          <w:color w:val="auto"/>
        </w:rPr>
      </w:pPr>
    </w:p>
    <w:p>
      <w:pPr>
        <w:ind w:left="760" w:right="20" w:firstLine="745"/>
        <w:spacing w:after="0" w:line="258" w:lineRule="auto"/>
        <w:tabs>
          <w:tab w:leader="none" w:pos="19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Seller shall have delivered to Buyer all agreements, instruments and documents required to be delivered by Seller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4" w:lineRule="auto"/>
        <w:tabs>
          <w:tab w:leader="none" w:pos="19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of the representations and warranties of Seller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 shall be true and correct as of the Closing Date as though made at and as of such time (other than representations and warranties that speak as of another specific date or time (including, for the avoidance of doubt, any representation or warranty specified herein as being made as of or through the Effective Date), which need only be true and correct as of such date or time), except to the extent that any and all failures of such representations and warranties to be so true and correct, taken as a whole, would not have a Material Adverse Effect or would not reasonably be expected to have a Material Adverse Effect on the ability of Seller to perform its obligations hereunder or to consummate the transactions contemplated hereby.</w:t>
      </w:r>
    </w:p>
    <w:p>
      <w:pPr>
        <w:spacing w:after="0" w:line="184"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shall have performed or complied, in all material respects, with all of the covenants and agreements required by this Agreement and the Transaction Documents to be performed or complied with by Seller at or before the Closing.</w:t>
      </w:r>
    </w:p>
    <w:p>
      <w:pPr>
        <w:spacing w:after="0" w:line="172" w:lineRule="exact"/>
        <w:rPr>
          <w:rFonts w:ascii="Times New Roman" w:cs="Times New Roman" w:eastAsia="Times New Roman" w:hAnsi="Times New Roman"/>
          <w:sz w:val="22"/>
          <w:szCs w:val="22"/>
          <w:color w:val="010000"/>
        </w:rPr>
      </w:pPr>
    </w:p>
    <w:p>
      <w:pPr>
        <w:ind w:left="760" w:firstLine="745"/>
        <w:spacing w:after="0" w:line="258" w:lineRule="auto"/>
        <w:tabs>
          <w:tab w:leader="none" w:pos="19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Seller Approvals required to be made, given or obtained as of the Closing shall have been duly made, given or obtained and shall be in full force and effect.</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results of the Geotechnical Study are, in Buyer’s sole discretion, reasonably satisfactory to Buyer and do not indicate the need for material capital expenditures in excess of the capital expenditures anticipated by Buyer as of the Effective Date in connection with its acquisition of the Purchased Assets.</w:t>
      </w:r>
    </w:p>
    <w:p>
      <w:pPr>
        <w:spacing w:after="0" w:line="172" w:lineRule="exact"/>
        <w:rPr>
          <w:rFonts w:ascii="Times New Roman" w:cs="Times New Roman" w:eastAsia="Times New Roman" w:hAnsi="Times New Roman"/>
          <w:sz w:val="22"/>
          <w:szCs w:val="22"/>
          <w:color w:val="010000"/>
        </w:rPr>
      </w:pPr>
    </w:p>
    <w:p>
      <w:pPr>
        <w:ind w:left="760" w:firstLine="745"/>
        <w:spacing w:after="0" w:line="258" w:lineRule="auto"/>
        <w:tabs>
          <w:tab w:leader="none" w:pos="1954"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has received from Priority final, executable versions of the Priority Contracts containing terms and conditions reasonably satisfactory to Buyer.</w:t>
      </w:r>
    </w:p>
    <w:p>
      <w:pPr>
        <w:spacing w:after="0" w:line="157"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Closing occurs:</w:t>
      </w:r>
    </w:p>
    <w:p>
      <w:pPr>
        <w:spacing w:after="0" w:line="205" w:lineRule="exact"/>
        <w:rPr>
          <w:rFonts w:ascii="Times New Roman" w:cs="Times New Roman" w:eastAsia="Times New Roman" w:hAnsi="Times New Roman"/>
          <w:sz w:val="22"/>
          <w:szCs w:val="22"/>
          <w:color w:val="010000"/>
        </w:rPr>
      </w:pPr>
    </w:p>
    <w:p>
      <w:pPr>
        <w:jc w:val="both"/>
        <w:ind w:left="1500" w:firstLine="754"/>
        <w:spacing w:after="0" w:line="244" w:lineRule="auto"/>
        <w:tabs>
          <w:tab w:leader="none" w:pos="2680"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on or before November 30, 2023, Buyer has received from Oncor a final, executable version of the Oncor FEA containing terms and conditions reasonably satisfactory to Buyer, including those described in </w:t>
      </w:r>
      <w:r>
        <w:rPr>
          <w:rFonts w:ascii="Times New Roman" w:cs="Times New Roman" w:eastAsia="Times New Roman" w:hAnsi="Times New Roman"/>
          <w:sz w:val="22"/>
          <w:szCs w:val="22"/>
          <w:u w:val="single" w:color="auto"/>
          <w:color w:val="auto"/>
        </w:rPr>
        <w:t>Section 5.4(a)(ii)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Final Oncor FEA</w:t>
      </w:r>
      <w:r>
        <w:rPr>
          <w:rFonts w:ascii="Times New Roman" w:cs="Times New Roman" w:eastAsia="Times New Roman" w:hAnsi="Times New Roman"/>
          <w:sz w:val="22"/>
          <w:szCs w:val="22"/>
          <w:color w:val="auto"/>
        </w:rPr>
        <w:t>”); or</w:t>
      </w:r>
    </w:p>
    <w:p>
      <w:pPr>
        <w:spacing w:after="0" w:line="172" w:lineRule="exact"/>
        <w:rPr>
          <w:rFonts w:ascii="Times New Roman" w:cs="Times New Roman" w:eastAsia="Times New Roman" w:hAnsi="Times New Roman"/>
          <w:sz w:val="22"/>
          <w:szCs w:val="22"/>
          <w:color w:val="010000"/>
        </w:rPr>
      </w:pPr>
    </w:p>
    <w:p>
      <w:pPr>
        <w:ind w:left="2680" w:hanging="426"/>
        <w:spacing w:after="0"/>
        <w:tabs>
          <w:tab w:leader="none" w:pos="2680"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November 30, 2023, either: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6" w:name="page177"/>
    <w:bookmarkEnd w:id="176"/>
    <w:p>
      <w:pPr>
        <w:ind w:right="240" w:firstLine="62"/>
        <w:spacing w:after="0" w:line="286" w:lineRule="auto"/>
        <w:tabs>
          <w:tab w:leader="none" w:pos="369"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ind w:left="3440" w:hanging="437"/>
        <w:spacing w:after="0"/>
        <w:tabs>
          <w:tab w:leader="none" w:pos="3440" w:val="left"/>
        </w:tabs>
        <w:numPr>
          <w:ilvl w:val="2"/>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has received from Oncor the Final Oncor FEA, or</w:t>
      </w:r>
    </w:p>
    <w:p>
      <w:pPr>
        <w:spacing w:after="0" w:line="205" w:lineRule="exact"/>
        <w:rPr>
          <w:rFonts w:ascii="Times New Roman" w:cs="Times New Roman" w:eastAsia="Times New Roman" w:hAnsi="Times New Roman"/>
          <w:sz w:val="22"/>
          <w:szCs w:val="22"/>
          <w:color w:val="010000"/>
        </w:rPr>
      </w:pPr>
    </w:p>
    <w:p>
      <w:pPr>
        <w:ind w:left="3440" w:hanging="437"/>
        <w:spacing w:after="0"/>
        <w:tabs>
          <w:tab w:leader="none" w:pos="3440" w:val="left"/>
        </w:tabs>
        <w:numPr>
          <w:ilvl w:val="2"/>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has received:</w:t>
      </w:r>
    </w:p>
    <w:p>
      <w:pPr>
        <w:spacing w:after="0" w:line="205" w:lineRule="exact"/>
        <w:rPr>
          <w:rFonts w:ascii="Times New Roman" w:cs="Times New Roman" w:eastAsia="Times New Roman" w:hAnsi="Times New Roman"/>
          <w:sz w:val="22"/>
          <w:szCs w:val="22"/>
          <w:color w:val="010000"/>
        </w:rPr>
      </w:pPr>
    </w:p>
    <w:p>
      <w:pPr>
        <w:jc w:val="both"/>
        <w:ind w:left="3000" w:firstLine="752"/>
        <w:spacing w:after="0" w:line="236" w:lineRule="auto"/>
        <w:tabs>
          <w:tab w:leader="none" w:pos="4180" w:val="left"/>
        </w:tabs>
        <w:numPr>
          <w:ilvl w:val="3"/>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Seller (x) a copy of a Facility Extension Agreement, duly executed between Seller (or its wholly owned subsidiary) and Oncor, that is reasonably acceptable to Buyer in form and substance (the “</w:t>
      </w:r>
      <w:r>
        <w:rPr>
          <w:rFonts w:ascii="Times New Roman" w:cs="Times New Roman" w:eastAsia="Times New Roman" w:hAnsi="Times New Roman"/>
          <w:sz w:val="22"/>
          <w:szCs w:val="22"/>
          <w:u w:val="single" w:color="auto"/>
          <w:color w:val="auto"/>
        </w:rPr>
        <w:t>Seller FEA</w:t>
      </w:r>
      <w:r>
        <w:rPr>
          <w:rFonts w:ascii="Times New Roman" w:cs="Times New Roman" w:eastAsia="Times New Roman" w:hAnsi="Times New Roman"/>
          <w:sz w:val="22"/>
          <w:szCs w:val="22"/>
          <w:color w:val="auto"/>
        </w:rPr>
        <w:t>”) and (y) evidence reasonably acceptable to Buyer that Seller (or its wholly owned subsidiary) has pledged all collateral required to be pledged by Seller (or its wholly owned subsidiary) under the Seller FEA (the amount actually pledged by Seller, the “</w:t>
      </w:r>
      <w:r>
        <w:rPr>
          <w:rFonts w:ascii="Times New Roman" w:cs="Times New Roman" w:eastAsia="Times New Roman" w:hAnsi="Times New Roman"/>
          <w:sz w:val="22"/>
          <w:szCs w:val="22"/>
          <w:u w:val="single" w:color="auto"/>
          <w:color w:val="auto"/>
        </w:rPr>
        <w:t>Seller FEA Collateral</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010000"/>
        </w:rPr>
      </w:pPr>
    </w:p>
    <w:p>
      <w:pPr>
        <w:jc w:val="both"/>
        <w:ind w:left="3000" w:firstLine="752"/>
        <w:spacing w:after="0" w:line="244" w:lineRule="auto"/>
        <w:tabs>
          <w:tab w:leader="none" w:pos="4207" w:val="left"/>
        </w:tabs>
        <w:numPr>
          <w:ilvl w:val="3"/>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Oncor written evidence reasonably acceptable to Buyer that Oncor will provide its consent to and approval of the assignment or other transfer of the Seller FEA and the Seller FEA Collateral to Buyer after the Closing.</w:t>
      </w:r>
    </w:p>
    <w:p>
      <w:pPr>
        <w:spacing w:after="0" w:line="172"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54"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or Seller has obtained, and Buyer has received, from S&amp;M a final, executable Lease Amendment containing all amendments reasonably required by Buyer following Buyer’s diligence of the Leased Property and the Geotechnical Study.</w:t>
      </w:r>
    </w:p>
    <w:p>
      <w:pPr>
        <w:spacing w:after="0" w:line="172" w:lineRule="exact"/>
        <w:rPr>
          <w:rFonts w:ascii="Times New Roman" w:cs="Times New Roman" w:eastAsia="Times New Roman" w:hAnsi="Times New Roman"/>
          <w:sz w:val="22"/>
          <w:szCs w:val="22"/>
          <w:color w:val="010000"/>
        </w:rPr>
      </w:pPr>
    </w:p>
    <w:p>
      <w:pPr>
        <w:jc w:val="both"/>
        <w:ind w:left="760" w:firstLine="745"/>
        <w:spacing w:after="0" w:line="239" w:lineRule="auto"/>
        <w:tabs>
          <w:tab w:leader="none" w:pos="1904" w:val="left"/>
        </w:tabs>
        <w:numPr>
          <w:ilvl w:val="1"/>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Buyer has received written evidence from each of Oncor and ERCOT in a form acceptable to Buyer that the interconnection located at the Leased Property has been approved for (i) 154 MW of energy consumption (#LLI-958) without condition and (ii) 300 MW of energy consumption subject solely to the condition that each of the 100.4 MVar capacitor bank and the Tesoro Switch project (TPIT 48587) have been completed and are operational.</w:t>
      </w:r>
    </w:p>
    <w:p>
      <w:pPr>
        <w:spacing w:after="0" w:line="179" w:lineRule="exact"/>
        <w:rPr>
          <w:sz w:val="20"/>
          <w:szCs w:val="20"/>
          <w:color w:val="auto"/>
        </w:rPr>
      </w:pPr>
    </w:p>
    <w:p>
      <w:pPr>
        <w:jc w:val="both"/>
        <w:ind w:right="20"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Conditions to the Obligations of Seller at the Closing</w:t>
      </w:r>
      <w:r>
        <w:rPr>
          <w:rFonts w:ascii="Times New Roman" w:cs="Times New Roman" w:eastAsia="Times New Roman" w:hAnsi="Times New Roman"/>
          <w:sz w:val="22"/>
          <w:szCs w:val="22"/>
          <w:color w:val="auto"/>
        </w:rPr>
        <w:t>. The obligation of Seller to consummate the transactions contemplated by the Closing is subject to the satisfaction, at or before the Closing, of the following conditions, any one or more of which may be waived in writing by Seller:</w:t>
      </w:r>
    </w:p>
    <w:p>
      <w:pPr>
        <w:spacing w:after="0" w:line="172" w:lineRule="exact"/>
        <w:rPr>
          <w:sz w:val="20"/>
          <w:szCs w:val="20"/>
          <w:color w:val="auto"/>
        </w:rPr>
      </w:pPr>
    </w:p>
    <w:p>
      <w:pPr>
        <w:ind w:left="760" w:firstLine="745"/>
        <w:spacing w:after="0" w:line="258" w:lineRule="auto"/>
        <w:tabs>
          <w:tab w:leader="none" w:pos="1940"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have delivered to Seller all agreements, instruments, documents and consideration required to be delivered by Buyer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5" w:lineRule="auto"/>
        <w:tabs>
          <w:tab w:leader="none" w:pos="1994"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of the representations and warranties of Buyer and CIFR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(including </w:t>
      </w:r>
      <w:r>
        <w:rPr>
          <w:rFonts w:ascii="Times New Roman" w:cs="Times New Roman" w:eastAsia="Times New Roman" w:hAnsi="Times New Roman"/>
          <w:sz w:val="22"/>
          <w:szCs w:val="22"/>
          <w:u w:val="single" w:color="auto"/>
          <w:color w:val="auto"/>
        </w:rPr>
        <w:t>Section 4.7(c)</w:t>
      </w:r>
      <w:r>
        <w:rPr>
          <w:rFonts w:ascii="Times New Roman" w:cs="Times New Roman" w:eastAsia="Times New Roman" w:hAnsi="Times New Roman"/>
          <w:sz w:val="22"/>
          <w:szCs w:val="22"/>
          <w:color w:val="auto"/>
        </w:rPr>
        <w:t>) shall be true and correct as of the Closing Date as though made at and as of such time (other than representations and warranties that speak as of another specific date or time (including, for the avoidance of doubt, any representation or warranty specified herein as being made as of or through the Effective Date), which need only be true and correct as of such date or time), except to the extent that any and all failures of such representations and warranties to be so true and correct, taken as a whole, would not reasonably be expected to have a material adverse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7" w:name="page178"/>
    <w:bookmarkEnd w:id="177"/>
    <w:p>
      <w:pPr>
        <w:ind w:right="240" w:firstLine="62"/>
        <w:spacing w:after="0" w:line="286" w:lineRule="auto"/>
        <w:tabs>
          <w:tab w:leader="none" w:pos="369"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effect on Buyer’s or CIFR’s ability to perform its obligations hereunder or to consummate the transactions contemplated hereby.</w:t>
      </w:r>
    </w:p>
    <w:p>
      <w:pPr>
        <w:spacing w:after="0" w:line="157" w:lineRule="exact"/>
        <w:rPr>
          <w:sz w:val="20"/>
          <w:szCs w:val="20"/>
          <w:color w:val="auto"/>
        </w:rPr>
      </w:pPr>
    </w:p>
    <w:p>
      <w:pPr>
        <w:jc w:val="both"/>
        <w:ind w:left="760" w:firstLine="745"/>
        <w:spacing w:after="0" w:line="244" w:lineRule="auto"/>
        <w:tabs>
          <w:tab w:leader="none" w:pos="1954"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and CIFR shall have performed or complied, in all material respects, with all of the covenants and agreements required by this Agreement and the Transaction Documents to be performed or complied with by Buyer or CIFR on or before the Closing.</w:t>
      </w:r>
    </w:p>
    <w:p>
      <w:pPr>
        <w:spacing w:after="0" w:line="172" w:lineRule="exact"/>
        <w:rPr>
          <w:rFonts w:ascii="Times New Roman" w:cs="Times New Roman" w:eastAsia="Times New Roman" w:hAnsi="Times New Roman"/>
          <w:sz w:val="22"/>
          <w:szCs w:val="22"/>
          <w:color w:val="010000"/>
        </w:rPr>
      </w:pPr>
    </w:p>
    <w:p>
      <w:pPr>
        <w:ind w:left="760" w:firstLine="745"/>
        <w:spacing w:after="0" w:line="258" w:lineRule="auto"/>
        <w:tabs>
          <w:tab w:leader="none" w:pos="1940"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Buyer Approvals required to be made, given or obtained as of the Closing shall have been duly made, given or obtained and shall be in full force and effect.</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54"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stop order suspending the effectiveness of the Shelf Registration Statement or any part thereof shall have been issued and no proceeding for that purpose shall have been initiated or threatened by the SEC; no order preventing or suspending the use of the Prospectus or Prospectus Supplement shall have been issued and no proceeding for that purpose shall have been initiated or threatened by the SEC; and trading in CIFR Stock shall not have been suspended by the SEC or Nasdaq.</w:t>
      </w:r>
    </w:p>
    <w:p>
      <w:pPr>
        <w:spacing w:after="0" w:line="180" w:lineRule="exact"/>
        <w:rPr>
          <w:sz w:val="20"/>
          <w:szCs w:val="20"/>
          <w:color w:val="auto"/>
        </w:rPr>
      </w:pPr>
    </w:p>
    <w:p>
      <w:pPr>
        <w:jc w:val="both"/>
        <w:ind w:firstLine="1498"/>
        <w:spacing w:after="0" w:line="280"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Frustration of Closing Conditions</w:t>
      </w:r>
      <w:r>
        <w:rPr>
          <w:rFonts w:ascii="Times New Roman" w:cs="Times New Roman" w:eastAsia="Times New Roman" w:hAnsi="Times New Roman"/>
          <w:sz w:val="20"/>
          <w:szCs w:val="20"/>
          <w:color w:val="auto"/>
        </w:rPr>
        <w:t xml:space="preserve">. None of the Parties may rely on the failure of any condition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as the case may be, to be satisfied if such failure was caused by such Party’s failure to act in good faith or to use its commercially reasonable efforts to cause the Closing to occur, as required by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SURVIVAL; INDEMNIFICATION</w:t>
      </w:r>
    </w:p>
    <w:p>
      <w:pPr>
        <w:spacing w:after="0" w:line="181"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representations and warranties in this Agreement and the Disclosure Schedules attached hereto will survive the Closing as follows:</w:t>
      </w:r>
    </w:p>
    <w:p>
      <w:pPr>
        <w:spacing w:after="0" w:line="157" w:lineRule="exact"/>
        <w:rPr>
          <w:sz w:val="20"/>
          <w:szCs w:val="20"/>
          <w:color w:val="auto"/>
        </w:rPr>
      </w:pPr>
    </w:p>
    <w:p>
      <w:pPr>
        <w:jc w:val="both"/>
        <w:ind w:left="760" w:firstLine="745"/>
        <w:spacing w:after="0" w:line="244" w:lineRule="auto"/>
        <w:tabs>
          <w:tab w:leader="none" w:pos="1954"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representations and warranties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(Tax Matters) and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(Environmental Matters) will terminate when the applicable statute of limitations with respect to the liabilities in question expire (after giving effect to any extensions or waivers thereof), plus 90 days;</w:t>
      </w:r>
    </w:p>
    <w:p>
      <w:pPr>
        <w:spacing w:after="0" w:line="172" w:lineRule="exact"/>
        <w:rPr>
          <w:rFonts w:ascii="Times New Roman" w:cs="Times New Roman" w:eastAsia="Times New Roman" w:hAnsi="Times New Roman"/>
          <w:sz w:val="22"/>
          <w:szCs w:val="22"/>
          <w:color w:val="010000"/>
        </w:rPr>
      </w:pPr>
    </w:p>
    <w:p>
      <w:pPr>
        <w:ind w:left="2020" w:hanging="515"/>
        <w:spacing w:after="0"/>
        <w:tabs>
          <w:tab w:leader="none" w:pos="2020"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Fundamental Representations and the Buyer Fundamental Representations will survive</w:t>
      </w:r>
    </w:p>
    <w:p>
      <w:pPr>
        <w:spacing w:after="0" w:line="13" w:lineRule="exact"/>
        <w:rPr>
          <w:rFonts w:ascii="Times New Roman" w:cs="Times New Roman" w:eastAsia="Times New Roman" w:hAnsi="Times New Roman"/>
          <w:sz w:val="22"/>
          <w:szCs w:val="22"/>
          <w:color w:val="010000"/>
        </w:rPr>
      </w:pPr>
    </w:p>
    <w:p>
      <w:pPr>
        <w:ind w:left="7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indefinitely;</w:t>
      </w:r>
    </w:p>
    <w:p>
      <w:pPr>
        <w:spacing w:after="0" w:line="181" w:lineRule="exact"/>
        <w:rPr>
          <w:rFonts w:ascii="Times New Roman" w:cs="Times New Roman" w:eastAsia="Times New Roman" w:hAnsi="Times New Roman"/>
          <w:sz w:val="22"/>
          <w:szCs w:val="22"/>
          <w:color w:val="010000"/>
        </w:rPr>
      </w:pPr>
    </w:p>
    <w:p>
      <w:pPr>
        <w:jc w:val="both"/>
        <w:ind w:left="760" w:firstLine="745"/>
        <w:spacing w:after="0" w:line="264" w:lineRule="auto"/>
        <w:tabs>
          <w:tab w:leader="none" w:pos="1954"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other representations and warranties and the Disclosure Schedules attached hereto in this Agreement will terminate on the date that is 24 months following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representation or warranty in respect of which indemnity may be sought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below, and the indemnity with respect thereto, will survive the time at which it would otherwise terminate pursuant to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if notice of the inaccuracy or breach or potential inaccuracy or breach thereof giving rise to such right or potential right of indemnity will have been given to the Party against whom such indemnity may be sought in accordance with the terms of </w:t>
      </w:r>
      <w:r>
        <w:rPr>
          <w:rFonts w:ascii="Times New Roman" w:cs="Times New Roman" w:eastAsia="Times New Roman" w:hAnsi="Times New Roman"/>
          <w:sz w:val="20"/>
          <w:szCs w:val="20"/>
          <w:u w:val="single" w:color="auto"/>
          <w:color w:val="auto"/>
        </w:rPr>
        <w:t>Section 8.2(c)</w:t>
      </w:r>
      <w:r>
        <w:rPr>
          <w:rFonts w:ascii="Times New Roman" w:cs="Times New Roman" w:eastAsia="Times New Roman" w:hAnsi="Times New Roman"/>
          <w:sz w:val="20"/>
          <w:szCs w:val="20"/>
          <w:color w:val="auto"/>
        </w:rPr>
        <w:t xml:space="preserve"> prior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8" w:name="page179"/>
    <w:bookmarkEnd w:id="178"/>
    <w:p>
      <w:pPr>
        <w:ind w:right="240" w:firstLine="62"/>
        <w:spacing w:after="0" w:line="286" w:lineRule="auto"/>
        <w:tabs>
          <w:tab w:leader="none" w:pos="369"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such time (regardless of when the Losses in respect thereof may actually be incurred); and</w:t>
      </w:r>
    </w:p>
    <w:p>
      <w:pPr>
        <w:spacing w:after="0" w:line="205" w:lineRule="exact"/>
        <w:rPr>
          <w:sz w:val="20"/>
          <w:szCs w:val="20"/>
          <w:color w:val="auto"/>
        </w:rPr>
      </w:pPr>
    </w:p>
    <w:p>
      <w:pPr>
        <w:jc w:val="both"/>
        <w:ind w:left="760" w:firstLine="745"/>
        <w:spacing w:after="0" w:line="244" w:lineRule="auto"/>
        <w:tabs>
          <w:tab w:leader="none" w:pos="1954"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covenant and agreement of the Parties that is contained in this Agreement will survive the Closing pursuant to the terms of such covenant or agreement, if specified, or if not so specified until the full performance of the covenant or agreement.</w:t>
      </w:r>
    </w:p>
    <w:p>
      <w:pPr>
        <w:spacing w:after="0" w:line="172"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760" w:firstLine="745"/>
        <w:spacing w:after="0" w:line="258" w:lineRule="auto"/>
        <w:tabs>
          <w:tab w:leader="none" w:pos="1954"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 by Seller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8.2(e)</w:t>
      </w:r>
      <w:r>
        <w:rPr>
          <w:rFonts w:ascii="Times New Roman" w:cs="Times New Roman" w:eastAsia="Times New Roman" w:hAnsi="Times New Roman"/>
          <w:sz w:val="22"/>
          <w:szCs w:val="22"/>
          <w:color w:val="auto"/>
        </w:rPr>
        <w:t>, Seller agrees that it will defend and indemnify the Buyer Related Parties and hold each of them harmless against:</w:t>
      </w:r>
    </w:p>
    <w:p>
      <w:pPr>
        <w:spacing w:after="0" w:line="157" w:lineRule="exact"/>
        <w:rPr>
          <w:rFonts w:ascii="Times New Roman" w:cs="Times New Roman" w:eastAsia="Times New Roman" w:hAnsi="Times New Roman"/>
          <w:sz w:val="22"/>
          <w:szCs w:val="22"/>
          <w:color w:val="010000"/>
        </w:rPr>
      </w:pPr>
    </w:p>
    <w:p>
      <w:pPr>
        <w:jc w:val="both"/>
        <w:ind w:left="2060" w:firstLine="756"/>
        <w:spacing w:after="0" w:line="244" w:lineRule="auto"/>
        <w:tabs>
          <w:tab w:leader="none" w:pos="3254" w:val="left"/>
        </w:tabs>
        <w:numPr>
          <w:ilvl w:val="1"/>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Losses which any Buyer Related Party incurs or becomes subject to as a result of any inaccuracy or breach by Seller of any representation or warranty in this Agreement (other than the representations and warranties in Section 3.9 (Tax Matters));</w:t>
      </w:r>
    </w:p>
    <w:p>
      <w:pPr>
        <w:spacing w:after="0" w:line="172" w:lineRule="exact"/>
        <w:rPr>
          <w:rFonts w:ascii="Times New Roman" w:cs="Times New Roman" w:eastAsia="Times New Roman" w:hAnsi="Times New Roman"/>
          <w:sz w:val="22"/>
          <w:szCs w:val="22"/>
          <w:color w:val="010000"/>
        </w:rPr>
      </w:pPr>
    </w:p>
    <w:p>
      <w:pPr>
        <w:ind w:left="2060" w:firstLine="756"/>
        <w:spacing w:after="0" w:line="258" w:lineRule="auto"/>
        <w:tabs>
          <w:tab w:leader="none" w:pos="3254" w:val="left"/>
        </w:tabs>
        <w:numPr>
          <w:ilvl w:val="1"/>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Losses which any Buyer Related Party incurs or becomes subject to as a result of any breach of any covenant or agreement by Seller in this Agreement; and</w:t>
      </w:r>
    </w:p>
    <w:p>
      <w:pPr>
        <w:spacing w:after="0" w:line="157" w:lineRule="exact"/>
        <w:rPr>
          <w:rFonts w:ascii="Times New Roman" w:cs="Times New Roman" w:eastAsia="Times New Roman" w:hAnsi="Times New Roman"/>
          <w:sz w:val="22"/>
          <w:szCs w:val="22"/>
          <w:color w:val="010000"/>
        </w:rPr>
      </w:pPr>
    </w:p>
    <w:p>
      <w:pPr>
        <w:jc w:val="both"/>
        <w:ind w:left="2060" w:firstLine="756"/>
        <w:spacing w:after="0" w:line="261" w:lineRule="auto"/>
        <w:tabs>
          <w:tab w:leader="none" w:pos="3352" w:val="left"/>
        </w:tabs>
        <w:numPr>
          <w:ilvl w:val="1"/>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Taxes of Seller or any of Seller’s Affiliates for any Tax period, including direct or indirect capital gains Taxes and direct or indirect Income Taxes and withholding Taxes arising as a result of the transactions consummated by this Agreement, (B) any and all Taxes to which the Purchased Assets or the Leased Property may be subject, assessed or otherwise encumbered with respect to any Pre-Closing Tax Period, or with respect to the Pre-Closing Straddle Period, as determined in a manner consistent with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(C) Taxes attributable to a breach of the representations and warranties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(Tax Matters), (D) Transfer Taxes that are the responsibility of Seller pursuant to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(E) any legal and accountancy fees and other reasonable out-of-pocket expenses related to the foregoing.</w:t>
      </w:r>
    </w:p>
    <w:p>
      <w:pPr>
        <w:spacing w:after="0" w:line="156" w:lineRule="exact"/>
        <w:rPr>
          <w:rFonts w:ascii="Times New Roman" w:cs="Times New Roman" w:eastAsia="Times New Roman" w:hAnsi="Times New Roman"/>
          <w:sz w:val="20"/>
          <w:szCs w:val="20"/>
          <w:color w:val="010000"/>
        </w:rPr>
      </w:pPr>
    </w:p>
    <w:p>
      <w:pPr>
        <w:jc w:val="both"/>
        <w:ind w:left="760" w:firstLine="745"/>
        <w:spacing w:after="0" w:line="237" w:lineRule="auto"/>
        <w:tabs>
          <w:tab w:leader="none" w:pos="1967"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 by Buyer and CIFR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8.2(e)</w:t>
      </w:r>
      <w:r>
        <w:rPr>
          <w:rFonts w:ascii="Times New Roman" w:cs="Times New Roman" w:eastAsia="Times New Roman" w:hAnsi="Times New Roman"/>
          <w:sz w:val="22"/>
          <w:szCs w:val="22"/>
          <w:color w:val="auto"/>
        </w:rPr>
        <w:t xml:space="preserve">, Buyer and CIFR, jointly and severally agree that it will defend and indemnify the Seller Related Parties and hold each of them harmless against any Losses which any Seller Related Party incurs or becomes subject to as the result of (i) any breach of any representation or warranty made by Buyer or CIFR in this Agreement, (ii) any breach of any covenant or agreement made by Buyer or CIFR in this Agreement, and (iii) Transfer Taxes that are the responsibility of Buyer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010000"/>
        </w:rPr>
      </w:pPr>
    </w:p>
    <w:p>
      <w:pPr>
        <w:ind w:left="760" w:firstLine="745"/>
        <w:spacing w:after="0" w:line="258" w:lineRule="auto"/>
        <w:tabs>
          <w:tab w:leader="none" w:pos="1940"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Defense of Third-Party Claims</w:t>
      </w:r>
      <w:r>
        <w:rPr>
          <w:rFonts w:ascii="Times New Roman" w:cs="Times New Roman" w:eastAsia="Times New Roman" w:hAnsi="Times New Roman"/>
          <w:sz w:val="22"/>
          <w:szCs w:val="22"/>
          <w:color w:val="auto"/>
        </w:rPr>
        <w:t xml:space="preserve">. Any Person making a claim for indemnification under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will notify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-3966210</wp:posOffset>
            </wp:positionV>
            <wp:extent cx="2825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-1106805</wp:posOffset>
            </wp:positionV>
            <wp:extent cx="2908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8">
                      <a:extLst>
                        <a:ext uri="{28A0092B-C50C-407E-A947-70E740481C1C}"/>
                      </a:extLst>
                    </a:blip>
                    <a:srcRect/>
                    <a:stretch>
                      <a:fillRect/>
                    </a:stretch>
                  </pic:blipFill>
                  <pic:spPr bwMode="auto">
                    <a:xfrm>
                      <a:off x="0" y="0"/>
                      <a:ext cx="29083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9" w:name="page180"/>
    <w:bookmarkEnd w:id="179"/>
    <w:p>
      <w:pPr>
        <w:ind w:right="240" w:firstLine="62"/>
        <w:spacing w:after="0" w:line="286" w:lineRule="auto"/>
        <w:tabs>
          <w:tab w:leader="none" w:pos="369"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Indemnitor</w:t>
      </w:r>
      <w:r>
        <w:rPr>
          <w:rFonts w:ascii="Times New Roman" w:cs="Times New Roman" w:eastAsia="Times New Roman" w:hAnsi="Times New Roman"/>
          <w:sz w:val="22"/>
          <w:szCs w:val="22"/>
          <w:color w:val="auto"/>
        </w:rPr>
        <w:t xml:space="preserve">”) of the claim in writing promptly after receiving written notice of any Proceeding or other claim against it by a Third Party, describing the claim, the amount thereof (to the extent known and quantifiable) and the basis thereof (to the extent known); provided that the failure to so notify an Indemnitor will not relieve the Indemnitor of its obligations hereunder except to the extent (and only to the extent) the Indemnitor has been materially prejudiced by such failure. Any Indemnitor will be entitled to participate in the defense of such Proceeding or other claim giving rise to an Indemnitee’s claim for indemnification at such Indemnitor’s expense, and at its option (subject to the limitations set forth below) such Indemnitor will be entitled to assume the defense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181" w:lineRule="exact"/>
        <w:rPr>
          <w:sz w:val="20"/>
          <w:szCs w:val="20"/>
          <w:color w:val="auto"/>
        </w:rPr>
      </w:pPr>
    </w:p>
    <w:p>
      <w:pPr>
        <w:ind w:left="2060" w:firstLine="756"/>
        <w:spacing w:after="0" w:line="258" w:lineRule="auto"/>
        <w:tabs>
          <w:tab w:leader="none" w:pos="3240"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Indemnitor gives notice of its intention to do so to the Indemnitee within thirty (30) days of the receipt from the Indemnitee of any claim notice of the third party Proceeding or other claim;</w:t>
      </w:r>
    </w:p>
    <w:p>
      <w:pPr>
        <w:spacing w:after="0" w:line="157" w:lineRule="exact"/>
        <w:rPr>
          <w:rFonts w:ascii="Times New Roman" w:cs="Times New Roman" w:eastAsia="Times New Roman" w:hAnsi="Times New Roman"/>
          <w:sz w:val="22"/>
          <w:szCs w:val="22"/>
          <w:color w:val="010000"/>
        </w:rPr>
      </w:pPr>
    </w:p>
    <w:p>
      <w:pPr>
        <w:jc w:val="both"/>
        <w:ind w:left="2060" w:firstLine="756"/>
        <w:spacing w:after="0" w:line="244" w:lineRule="auto"/>
        <w:tabs>
          <w:tab w:leader="none" w:pos="3240"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Indemnitor shall not be entitled to assume and have control over such defense unless the Indemnitor acknowledges in writing its obligation to indemnify the Indemnitee therefor pursuant to the terms and conditions set forth hereunder;</w:t>
      </w:r>
    </w:p>
    <w:p>
      <w:pPr>
        <w:spacing w:after="0" w:line="172" w:lineRule="exact"/>
        <w:rPr>
          <w:rFonts w:ascii="Times New Roman" w:cs="Times New Roman" w:eastAsia="Times New Roman" w:hAnsi="Times New Roman"/>
          <w:sz w:val="22"/>
          <w:szCs w:val="22"/>
          <w:color w:val="010000"/>
        </w:rPr>
      </w:pPr>
    </w:p>
    <w:p>
      <w:pPr>
        <w:jc w:val="both"/>
        <w:ind w:left="2060" w:firstLine="756"/>
        <w:spacing w:after="0" w:line="235" w:lineRule="auto"/>
        <w:tabs>
          <w:tab w:leader="none" w:pos="3240"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Indemnitee reasonably believes in good faith after consulting with its outside counsel that a conflict of interest under applicable standards of professional conduct (including that one or more legal defenses or counterclaims available to the Indemnitee are different from or in addition to those available to the Indemnitor) exists in respect of such Proceeding or claim, such Indemnitee will have the right to employ separate counsel to represent such Indemnitee and in that event the reasonable fees and expenses of such separate counsel (but not more than one separate counsel for all Indemnitees in respect of a single Proceeding or claim) shall be treated as Losses hereunder;</w:t>
      </w:r>
    </w:p>
    <w:p>
      <w:pPr>
        <w:spacing w:after="0" w:line="180" w:lineRule="exact"/>
        <w:rPr>
          <w:rFonts w:ascii="Times New Roman" w:cs="Times New Roman" w:eastAsia="Times New Roman" w:hAnsi="Times New Roman"/>
          <w:sz w:val="22"/>
          <w:szCs w:val="22"/>
          <w:color w:val="010000"/>
        </w:rPr>
      </w:pPr>
    </w:p>
    <w:p>
      <w:pPr>
        <w:jc w:val="both"/>
        <w:ind w:left="2060" w:firstLine="756"/>
        <w:spacing w:after="0" w:line="244" w:lineRule="auto"/>
        <w:tabs>
          <w:tab w:leader="none" w:pos="3254"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Indemnitor shall not be entitled to assume and have control over such defense if such claim arises in connection with a criminal proceeding (provided, that the Indemnitor shall be entitled to participate in such defense at such Indemnitor’s sole cost and expense);</w:t>
      </w:r>
    </w:p>
    <w:p>
      <w:pPr>
        <w:spacing w:after="0" w:line="172" w:lineRule="exact"/>
        <w:rPr>
          <w:rFonts w:ascii="Times New Roman" w:cs="Times New Roman" w:eastAsia="Times New Roman" w:hAnsi="Times New Roman"/>
          <w:sz w:val="22"/>
          <w:szCs w:val="22"/>
          <w:color w:val="010000"/>
        </w:rPr>
      </w:pPr>
    </w:p>
    <w:p>
      <w:pPr>
        <w:jc w:val="both"/>
        <w:ind w:left="2060" w:firstLine="756"/>
        <w:spacing w:after="0" w:line="244" w:lineRule="auto"/>
        <w:tabs>
          <w:tab w:leader="none" w:pos="3240"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clause (vii) below, the Indemnitee will be entitled to participate in the defense of such claim and to employ counsel of its choice for such purpose; provided, that the fees and expenses of such separate counsel will be borne by the Indemnitee;</w:t>
      </w:r>
    </w:p>
    <w:p>
      <w:pPr>
        <w:spacing w:after="0" w:line="172" w:lineRule="exact"/>
        <w:rPr>
          <w:rFonts w:ascii="Times New Roman" w:cs="Times New Roman" w:eastAsia="Times New Roman" w:hAnsi="Times New Roman"/>
          <w:sz w:val="22"/>
          <w:szCs w:val="22"/>
          <w:color w:val="010000"/>
        </w:rPr>
      </w:pPr>
    </w:p>
    <w:p>
      <w:pPr>
        <w:jc w:val="both"/>
        <w:ind w:left="2060" w:firstLine="756"/>
        <w:spacing w:after="0" w:line="244" w:lineRule="auto"/>
        <w:tabs>
          <w:tab w:leader="none" w:pos="3254"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Indemnitor assumes the defense of any such claim, the Indemnitor must obtain the prior written consent of the Indemnitee before entering into any settlement of a claim or ceasing to defend such claim unless (A) such settlement includes a full and unconditional waiver and release by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0" w:name="page181"/>
    <w:bookmarkEnd w:id="180"/>
    <w:p>
      <w:pPr>
        <w:ind w:right="240" w:firstLine="62"/>
        <w:spacing w:after="0" w:line="286" w:lineRule="auto"/>
        <w:tabs>
          <w:tab w:leader="none" w:pos="36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left="2060"/>
        <w:spacing w:after="0" w:line="239" w:lineRule="auto"/>
        <w:rPr>
          <w:sz w:val="20"/>
          <w:szCs w:val="20"/>
          <w:color w:val="auto"/>
        </w:rPr>
      </w:pPr>
      <w:r>
        <w:rPr>
          <w:rFonts w:ascii="Times New Roman" w:cs="Times New Roman" w:eastAsia="Times New Roman" w:hAnsi="Times New Roman"/>
          <w:sz w:val="22"/>
          <w:szCs w:val="22"/>
          <w:color w:val="auto"/>
        </w:rPr>
        <w:t>the third party of all applicable Indemnitees without any cost or liability of any nature whatsoever to such Indemnitees, (B) there shall be no finding or admission of any violation of Law, and (C) such settlement contemplates no relief other than monetary damages that are paid in full by the Indemnitor concurrently with the settlement; and</w:t>
      </w:r>
    </w:p>
    <w:p>
      <w:pPr>
        <w:spacing w:after="0" w:line="179" w:lineRule="exact"/>
        <w:rPr>
          <w:sz w:val="20"/>
          <w:szCs w:val="20"/>
          <w:color w:val="auto"/>
        </w:rPr>
      </w:pPr>
    </w:p>
    <w:p>
      <w:pPr>
        <w:jc w:val="both"/>
        <w:ind w:left="2060" w:firstLine="756"/>
        <w:spacing w:after="0" w:line="234" w:lineRule="auto"/>
        <w:tabs>
          <w:tab w:leader="none" w:pos="3240" w:val="left"/>
        </w:tabs>
        <w:numPr>
          <w:ilvl w:val="1"/>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within thirty (30) days of receipt from the Indemnitee of any notice of a third party action or claim for which the Indemnitee seeks indemnification hereunder, the Indemnitor (A) advises such Indemnitee in writing that the Indemnitor does not elect to defend, settle or compromise such claim, (B) is not entitled to assume and control the defense of such claim, or (C) fails to make such an election in writing, then such Indemnitee may, at its option, defend, settle or otherwise compromise or pay such claim (and the Indemnitee’s reasonable costs and expenses arising out of such defense, settlement or compromise shall be Losses subject to indemnification hereunder subject to the limitations set forth in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settlement or compromise shall be permitted hereunder only with the written consent of the Indemnitor, which consent shall not be unreasonably withheld, conditioned or delayed.</w:t>
      </w:r>
    </w:p>
    <w:p>
      <w:pPr>
        <w:spacing w:after="0" w:line="176" w:lineRule="exact"/>
        <w:rPr>
          <w:rFonts w:ascii="Times New Roman" w:cs="Times New Roman" w:eastAsia="Times New Roman" w:hAnsi="Times New Roman"/>
          <w:sz w:val="22"/>
          <w:szCs w:val="22"/>
          <w:color w:val="010000"/>
        </w:rPr>
      </w:pPr>
    </w:p>
    <w:p>
      <w:pPr>
        <w:jc w:val="both"/>
        <w:ind w:left="760" w:firstLine="745"/>
        <w:spacing w:after="0" w:line="236" w:lineRule="auto"/>
        <w:tabs>
          <w:tab w:leader="none" w:pos="1940"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Direct Claims</w:t>
      </w:r>
      <w:r>
        <w:rPr>
          <w:rFonts w:ascii="Times New Roman" w:cs="Times New Roman" w:eastAsia="Times New Roman" w:hAnsi="Times New Roman"/>
          <w:sz w:val="22"/>
          <w:szCs w:val="22"/>
          <w:color w:val="auto"/>
        </w:rPr>
        <w:t xml:space="preserve">. Any claim by an Indemnitee for indemnification not involving a Third Party claim may be asserted by giving the Indemnitor prompt written notice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to so notify an Indemnitor will not relieve the Indemnitor of its obligations hereunder except to the extent (and only to the extent) the Indemnitor has been materially prejudiced by such failure. Such notice shall describe the claim in reasonable detail, shall include copies of all material written evidence thereof and shall indicate the estimated amount, if reasonably practicable, of the Loss that has been or may be sustained by the Indemnitee.</w:t>
      </w:r>
    </w:p>
    <w:p>
      <w:pPr>
        <w:spacing w:after="0" w:line="179"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Certain Limitations</w:t>
      </w:r>
      <w:r>
        <w:rPr>
          <w:rFonts w:ascii="Times New Roman" w:cs="Times New Roman" w:eastAsia="Times New Roman" w:hAnsi="Times New Roman"/>
          <w:sz w:val="22"/>
          <w:szCs w:val="22"/>
          <w:color w:val="auto"/>
        </w:rPr>
        <w:t>. Notwithstanding anything herein to the contrary:</w:t>
      </w:r>
    </w:p>
    <w:p>
      <w:pPr>
        <w:spacing w:after="0" w:line="205" w:lineRule="exact"/>
        <w:rPr>
          <w:rFonts w:ascii="Times New Roman" w:cs="Times New Roman" w:eastAsia="Times New Roman" w:hAnsi="Times New Roman"/>
          <w:sz w:val="22"/>
          <w:szCs w:val="22"/>
          <w:color w:val="010000"/>
        </w:rPr>
      </w:pPr>
    </w:p>
    <w:p>
      <w:pPr>
        <w:jc w:val="both"/>
        <w:ind w:left="2060" w:firstLine="756"/>
        <w:spacing w:after="0" w:line="307" w:lineRule="auto"/>
        <w:tabs>
          <w:tab w:leader="none" w:pos="3254"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maximum aggregate liability of Seller under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(other than as set forth in </w:t>
      </w:r>
      <w:r>
        <w:rPr>
          <w:rFonts w:ascii="Times New Roman" w:cs="Times New Roman" w:eastAsia="Times New Roman" w:hAnsi="Times New Roman"/>
          <w:sz w:val="20"/>
          <w:szCs w:val="20"/>
          <w:u w:val="single" w:color="auto"/>
          <w:color w:val="auto"/>
        </w:rPr>
        <w:t>Section 8.2(e)(iii)</w:t>
      </w:r>
      <w:r>
        <w:rPr>
          <w:rFonts w:ascii="Times New Roman" w:cs="Times New Roman" w:eastAsia="Times New Roman" w:hAnsi="Times New Roman"/>
          <w:sz w:val="20"/>
          <w:szCs w:val="20"/>
          <w:color w:val="auto"/>
        </w:rPr>
        <w:t>) shall be limited to an amount equal to 100% of the Purchase Price (the “</w:t>
      </w:r>
      <w:r>
        <w:rPr>
          <w:rFonts w:ascii="Times New Roman" w:cs="Times New Roman" w:eastAsia="Times New Roman" w:hAnsi="Times New Roman"/>
          <w:sz w:val="20"/>
          <w:szCs w:val="20"/>
          <w:u w:val="single" w:color="auto"/>
          <w:color w:val="auto"/>
        </w:rPr>
        <w:t>Overall Cap</w:t>
      </w:r>
      <w:r>
        <w:rPr>
          <w:rFonts w:ascii="Times New Roman" w:cs="Times New Roman" w:eastAsia="Times New Roman" w:hAnsi="Times New Roman"/>
          <w:sz w:val="20"/>
          <w:szCs w:val="20"/>
          <w:color w:val="auto"/>
        </w:rPr>
        <w:t>”);</w:t>
      </w:r>
    </w:p>
    <w:p>
      <w:pPr>
        <w:spacing w:after="0" w:line="112" w:lineRule="exact"/>
        <w:rPr>
          <w:rFonts w:ascii="Times New Roman" w:cs="Times New Roman" w:eastAsia="Times New Roman" w:hAnsi="Times New Roman"/>
          <w:sz w:val="20"/>
          <w:szCs w:val="20"/>
          <w:color w:val="010000"/>
        </w:rPr>
      </w:pPr>
    </w:p>
    <w:p>
      <w:pPr>
        <w:jc w:val="both"/>
        <w:ind w:left="2060" w:firstLine="756"/>
        <w:spacing w:after="0" w:line="244" w:lineRule="auto"/>
        <w:tabs>
          <w:tab w:leader="none" w:pos="3240" w:val="left"/>
        </w:tabs>
        <w:numPr>
          <w:ilvl w:val="1"/>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maximum aggregate liability of Buyer and CIFR under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(other than as set forth in </w:t>
      </w:r>
      <w:r>
        <w:rPr>
          <w:rFonts w:ascii="Times New Roman" w:cs="Times New Roman" w:eastAsia="Times New Roman" w:hAnsi="Times New Roman"/>
          <w:sz w:val="22"/>
          <w:szCs w:val="22"/>
          <w:u w:val="single" w:color="auto"/>
          <w:color w:val="auto"/>
        </w:rPr>
        <w:t>Section 8.2(e)(iii)</w:t>
      </w:r>
      <w:r>
        <w:rPr>
          <w:rFonts w:ascii="Times New Roman" w:cs="Times New Roman" w:eastAsia="Times New Roman" w:hAnsi="Times New Roman"/>
          <w:sz w:val="22"/>
          <w:szCs w:val="22"/>
          <w:color w:val="auto"/>
        </w:rPr>
        <w:t xml:space="preserve"> or a breach of the payment obligations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shall be limited to the Overall Cap;</w:t>
      </w:r>
    </w:p>
    <w:p>
      <w:pPr>
        <w:spacing w:after="0" w:line="172" w:lineRule="exact"/>
        <w:rPr>
          <w:rFonts w:ascii="Times New Roman" w:cs="Times New Roman" w:eastAsia="Times New Roman" w:hAnsi="Times New Roman"/>
          <w:sz w:val="22"/>
          <w:szCs w:val="22"/>
          <w:color w:val="010000"/>
        </w:rPr>
      </w:pPr>
    </w:p>
    <w:p>
      <w:pPr>
        <w:jc w:val="both"/>
        <w:ind w:left="2060" w:firstLine="756"/>
        <w:spacing w:after="0" w:line="239" w:lineRule="auto"/>
        <w:tabs>
          <w:tab w:leader="none" w:pos="3483" w:val="left"/>
        </w:tabs>
        <w:numPr>
          <w:ilvl w:val="1"/>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Indemnitor’s obligation to indemnify the Indemnitee for any breach of any representation, warranty, or covenant made or given by Indemnitor in this Agreement or any Transaction Document shall only apply to the extent the aggregate damages for all Claims exceeds an amount equal to 0.5% of the Purchase Price (the “</w:t>
      </w:r>
      <w:r>
        <w:rPr>
          <w:rFonts w:ascii="Times New Roman" w:cs="Times New Roman" w:eastAsia="Times New Roman" w:hAnsi="Times New Roman"/>
          <w:sz w:val="22"/>
          <w:szCs w:val="22"/>
          <w:u w:val="single" w:color="auto"/>
          <w:color w:val="auto"/>
        </w:rPr>
        <w:t>Deductible</w:t>
      </w:r>
      <w:r>
        <w:rPr>
          <w:rFonts w:ascii="Times New Roman" w:cs="Times New Roman" w:eastAsia="Times New Roman" w:hAnsi="Times New Roman"/>
          <w:sz w:val="22"/>
          <w:szCs w:val="22"/>
          <w:color w:val="auto"/>
        </w:rPr>
        <w:t>”), and then such Party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-2891155</wp:posOffset>
            </wp:positionV>
            <wp:extent cx="27368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1" w:name="page182"/>
    <w:bookmarkEnd w:id="181"/>
    <w:p>
      <w:pPr>
        <w:ind w:right="240" w:firstLine="62"/>
        <w:spacing w:after="0" w:line="286" w:lineRule="auto"/>
        <w:tabs>
          <w:tab w:leader="none" w:pos="369"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left="2060"/>
        <w:spacing w:after="0" w:line="234" w:lineRule="auto"/>
        <w:rPr>
          <w:sz w:val="20"/>
          <w:szCs w:val="20"/>
          <w:color w:val="auto"/>
        </w:rPr>
      </w:pPr>
      <w:r>
        <w:rPr>
          <w:rFonts w:ascii="Times New Roman" w:cs="Times New Roman" w:eastAsia="Times New Roman" w:hAnsi="Times New Roman"/>
          <w:sz w:val="22"/>
          <w:szCs w:val="22"/>
          <w:color w:val="auto"/>
        </w:rPr>
        <w:t xml:space="preserve">be entitled to indemnification or defense for all damages from the first dollar without any regard to the Deductible up to an amount not to exceed the Overall Cap (subject to other applicable limitations contained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Deductible and Overall Cap shall not apply to claims for indemnification (A) related to a breach of any Seller Fundamental Representation or Buyer Fundamental Representation, (B) related to a breach of any representation or warranty set forth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(Tax Matters) and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(Environmental Matters), (C) related to a breach of any covenant to pay Taxes in </w:t>
      </w:r>
      <w:r>
        <w:rPr>
          <w:rFonts w:ascii="Times New Roman" w:cs="Times New Roman" w:eastAsia="Times New Roman" w:hAnsi="Times New Roman"/>
          <w:sz w:val="22"/>
          <w:szCs w:val="22"/>
          <w:u w:val="single" w:color="auto"/>
          <w:color w:val="auto"/>
        </w:rPr>
        <w:t>Section 8.2(a)(iii)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8.2(b)(iii)</w:t>
      </w:r>
      <w:r>
        <w:rPr>
          <w:rFonts w:ascii="Times New Roman" w:cs="Times New Roman" w:eastAsia="Times New Roman" w:hAnsi="Times New Roman"/>
          <w:sz w:val="22"/>
          <w:szCs w:val="22"/>
          <w:color w:val="auto"/>
        </w:rPr>
        <w:t>, or (D) to the extent such claim arises from fraud or willful misconduct;</w:t>
      </w:r>
    </w:p>
    <w:p>
      <w:pPr>
        <w:spacing w:after="0" w:line="184" w:lineRule="exact"/>
        <w:rPr>
          <w:sz w:val="20"/>
          <w:szCs w:val="20"/>
          <w:color w:val="auto"/>
        </w:rPr>
      </w:pPr>
    </w:p>
    <w:p>
      <w:pPr>
        <w:jc w:val="both"/>
        <w:ind w:left="2060" w:firstLine="756"/>
        <w:spacing w:after="0" w:line="236" w:lineRule="auto"/>
        <w:tabs>
          <w:tab w:leader="none" w:pos="3254"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 Indemnitor’s indemnification liability pursuant to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shall be reduced by the insurance proceeds received by an Indemnitee with respect to any such Loss (less any costs and expenses incurred in connection with recovery of any such insurance proceeds and any related increases in insurance premiums). Each Indemnitee shall use commercially reasonable efforts to collect the proceeds of any insurance that would have the effect of reducing the Indemnitor’s indemnification liability;</w:t>
      </w:r>
    </w:p>
    <w:p>
      <w:pPr>
        <w:spacing w:after="0" w:line="179" w:lineRule="exact"/>
        <w:rPr>
          <w:rFonts w:ascii="Times New Roman" w:cs="Times New Roman" w:eastAsia="Times New Roman" w:hAnsi="Times New Roman"/>
          <w:sz w:val="22"/>
          <w:szCs w:val="22"/>
          <w:color w:val="010000"/>
        </w:rPr>
      </w:pPr>
    </w:p>
    <w:p>
      <w:pPr>
        <w:jc w:val="both"/>
        <w:ind w:left="2060" w:firstLine="756"/>
        <w:spacing w:after="0" w:line="239" w:lineRule="auto"/>
        <w:tabs>
          <w:tab w:leader="none" w:pos="3254"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payments by an Indemnitor pursuant to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in respect of any Loss shall be (i) reduced by an amount equal to any Tax benefit actually realized as a result of such Loss by the Indemnitee and (ii) increased by an amount equal to any tax detriment associated with the receipt of such indemnity payment;</w:t>
      </w:r>
    </w:p>
    <w:p>
      <w:pPr>
        <w:spacing w:after="0" w:line="178" w:lineRule="exact"/>
        <w:rPr>
          <w:rFonts w:ascii="Times New Roman" w:cs="Times New Roman" w:eastAsia="Times New Roman" w:hAnsi="Times New Roman"/>
          <w:sz w:val="22"/>
          <w:szCs w:val="22"/>
          <w:color w:val="010000"/>
        </w:rPr>
      </w:pPr>
    </w:p>
    <w:p>
      <w:pPr>
        <w:jc w:val="both"/>
        <w:ind w:left="2060" w:firstLine="756"/>
        <w:spacing w:after="0" w:line="244" w:lineRule="auto"/>
        <w:tabs>
          <w:tab w:leader="none" w:pos="3254"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Indemnitee shall, and shall cause its Affiliates to, use their respective commercially reasonable efforts to mitigate any Loss upon becoming aware of any event or circumstance that would be reasonably expected to, or does, give rise thereto;</w:t>
      </w:r>
    </w:p>
    <w:p>
      <w:pPr>
        <w:spacing w:after="0" w:line="172" w:lineRule="exact"/>
        <w:rPr>
          <w:rFonts w:ascii="Times New Roman" w:cs="Times New Roman" w:eastAsia="Times New Roman" w:hAnsi="Times New Roman"/>
          <w:sz w:val="22"/>
          <w:szCs w:val="22"/>
          <w:color w:val="010000"/>
        </w:rPr>
      </w:pPr>
    </w:p>
    <w:p>
      <w:pPr>
        <w:jc w:val="both"/>
        <w:ind w:left="2060" w:firstLine="756"/>
        <w:spacing w:after="0" w:line="233" w:lineRule="auto"/>
        <w:tabs>
          <w:tab w:leader="none" w:pos="3267"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any case where an Indemnitee or any of its Affiliates recovers from a third party any payments in respect of a matter with respect to which an Indemnitor has made indemnification payments to such Indemnitee with respect to such matter pursuant to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and such Indemnitee has received an aggregate amount from such indemnification payments and third party recoveries that collectively exceeds all Losses suffered or incurred by such Indemnitee in respect of such matter, such Indemnitee shall promptly pay over to the Indemnitor the amount so recovered, received or accrued (net of any reasonable costs to such Indemnitee to obtain such recovery, including any related increases in insurance premiums and any Taxes imposed on any such payments), but not in excess of (A) the aggregate amount by which the sum of such recovered amounts and such indemnification payments exceed the Indemnitee’s Losses in respect of such matter, or (B) the sum of any amount previously so paid by the Indemnitor to or on behalf of the Indemnitee in respect of such matter;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2" w:name="page183"/>
    <w:bookmarkEnd w:id="182"/>
    <w:p>
      <w:pPr>
        <w:ind w:right="240" w:firstLine="62"/>
        <w:spacing w:after="0" w:line="286" w:lineRule="auto"/>
        <w:tabs>
          <w:tab w:leader="none" w:pos="369"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jc w:val="both"/>
        <w:ind w:left="2060" w:firstLine="756"/>
        <w:spacing w:after="0" w:line="234" w:lineRule="auto"/>
        <w:tabs>
          <w:tab w:leader="none" w:pos="3672" w:val="left"/>
        </w:tabs>
        <w:numPr>
          <w:ilvl w:val="2"/>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representations, warranties, covenants and obligations of Seller, and the rights and remedies that may be exercised by the Buyer Related Parties based on such representations, warranties, covenants and obligations, will not be limited or affected by any investigation conducted by Buyer Related Party with respect to, or any knowledge acquired (or capable of being acquired) by any Buyer Related Party at any time, whether before or after the execution and delivery of this Agreement, with respect to the accuracy or inaccuracy of or compliance with or performance of any such representation, warranty, covenant or obligation, and no Buyer Related Party shall be required to show that it relied on any such representation, warranty, covenant, or obligation of Seller in order to be entitled to indemnification pursuant to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010000"/>
        </w:rPr>
      </w:pPr>
    </w:p>
    <w:p>
      <w:pPr>
        <w:jc w:val="both"/>
        <w:ind w:left="2060" w:firstLine="756"/>
        <w:spacing w:after="0" w:line="234" w:lineRule="auto"/>
        <w:tabs>
          <w:tab w:leader="none" w:pos="3254" w:val="left"/>
        </w:tabs>
        <w:numPr>
          <w:ilvl w:val="2"/>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no event shall any Indemnitor be liable to any Indemnitee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 other provision in this Agreement to the contrary, none of the following shall be deemed to be punitive, incidental, consequential, special, or indirect damages subject to waiver pursuant to this </w:t>
      </w:r>
      <w:r>
        <w:rPr>
          <w:rFonts w:ascii="Times New Roman" w:cs="Times New Roman" w:eastAsia="Times New Roman" w:hAnsi="Times New Roman"/>
          <w:sz w:val="22"/>
          <w:szCs w:val="22"/>
          <w:u w:val="single" w:color="auto"/>
          <w:color w:val="auto"/>
        </w:rPr>
        <w:t>Section 8.2(e)(ix)</w:t>
      </w:r>
      <w:r>
        <w:rPr>
          <w:rFonts w:ascii="Times New Roman" w:cs="Times New Roman" w:eastAsia="Times New Roman" w:hAnsi="Times New Roman"/>
          <w:sz w:val="22"/>
          <w:szCs w:val="22"/>
          <w:color w:val="auto"/>
        </w:rPr>
        <w:t xml:space="preserve">: (A) damages that relate to Taxes as a result of any inaccuracy or breach of any representation or warranty made by Seller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and (B) damages related to third party claims, fraud or willful misconduct for which any Party is obligated to indemnify another Party hereunder.</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54" w:val="left"/>
        </w:tabs>
        <w:numPr>
          <w:ilvl w:val="1"/>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Parties acknowledge and agree that the limitations set forth above in </w:t>
      </w:r>
      <w:r>
        <w:rPr>
          <w:rFonts w:ascii="Times New Roman" w:cs="Times New Roman" w:eastAsia="Times New Roman" w:hAnsi="Times New Roman"/>
          <w:sz w:val="22"/>
          <w:szCs w:val="22"/>
          <w:u w:val="single" w:color="auto"/>
          <w:color w:val="auto"/>
        </w:rPr>
        <w:t>Section 8.2(e)</w:t>
      </w:r>
      <w:r>
        <w:rPr>
          <w:rFonts w:ascii="Times New Roman" w:cs="Times New Roman" w:eastAsia="Times New Roman" w:hAnsi="Times New Roman"/>
          <w:sz w:val="22"/>
          <w:szCs w:val="22"/>
          <w:color w:val="auto"/>
        </w:rPr>
        <w:t xml:space="preserve"> are independent and cumulative and not mutually exclusive, and that, as to any particular Losses, one or more or all of such limitations may apply to such Losses in accordance with their respective terms.</w:t>
      </w:r>
    </w:p>
    <w:p>
      <w:pPr>
        <w:spacing w:after="0" w:line="172" w:lineRule="exact"/>
        <w:rPr>
          <w:rFonts w:ascii="Times New Roman" w:cs="Times New Roman" w:eastAsia="Times New Roman" w:hAnsi="Times New Roman"/>
          <w:sz w:val="22"/>
          <w:szCs w:val="22"/>
          <w:color w:val="010000"/>
        </w:rPr>
      </w:pPr>
    </w:p>
    <w:p>
      <w:pPr>
        <w:ind w:left="760" w:right="20" w:firstLine="745"/>
        <w:spacing w:after="0" w:line="258" w:lineRule="auto"/>
        <w:tabs>
          <w:tab w:leader="none" w:pos="1954" w:val="left"/>
        </w:tabs>
        <w:numPr>
          <w:ilvl w:val="1"/>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otherwise required by applicable Law, Seller and Buyer and each of their respective Affiliates shall treat any and all payments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as an adjustment to the Purchase Price for all Tax purposes.</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67" w:val="left"/>
        </w:tabs>
        <w:numPr>
          <w:ilvl w:val="1"/>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Manner of Payment</w:t>
      </w:r>
      <w:r>
        <w:rPr>
          <w:rFonts w:ascii="Times New Roman" w:cs="Times New Roman" w:eastAsia="Times New Roman" w:hAnsi="Times New Roman"/>
          <w:sz w:val="22"/>
          <w:szCs w:val="22"/>
          <w:color w:val="auto"/>
        </w:rPr>
        <w:t xml:space="preserve">. Except as otherwise provided herein, any indemnification of the Buyer Related Parties or the Seller Related Parties pursuant to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will be effected by wire transfer of immediately available funds from Seller or Buyer, as the case may be, to an account designated by the applicable Buyer Related Party or Seller Related Party, as the case may be, within ten (10) days after a Loss is agreed to by the Indemnitor or the final, non-appealable adjudication that such Loss is payable by the Indemnitor.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3" w:name="page184"/>
    <w:bookmarkEnd w:id="183"/>
    <w:p>
      <w:pPr>
        <w:ind w:right="240" w:firstLine="62"/>
        <w:spacing w:after="0" w:line="286" w:lineRule="auto"/>
        <w:tabs>
          <w:tab w:leader="none" w:pos="369"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1498"/>
        <w:spacing w:after="0" w:line="256" w:lineRule="auto"/>
        <w:rPr>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the Parties acknowledge and agree that from and after Closing their sole and exclusive remedy with respect to any and all claims (other than claims arising from actual fraud)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In furtherance of the foregoing, except with respect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shall limit</w:t>
      </w:r>
    </w:p>
    <w:p>
      <w:pPr>
        <w:spacing w:after="0" w:line="1" w:lineRule="exact"/>
        <w:rPr>
          <w:sz w:val="20"/>
          <w:szCs w:val="20"/>
          <w:color w:val="auto"/>
        </w:rPr>
      </w:pPr>
    </w:p>
    <w:p>
      <w:pPr>
        <w:jc w:val="both"/>
        <w:ind w:firstLine="8"/>
        <w:spacing w:after="0" w:line="235" w:lineRule="auto"/>
        <w:tabs>
          <w:tab w:leader="none" w:pos="32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Person's right to seek and obtain any equitable relief to which any Person shall be entitled pursuant to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xml:space="preserve"> or to seek any remedy on account of any actual fraud by any Party, or (ii) any Person’s rights arising under the Securities Act and the Exchange Act.</w:t>
      </w:r>
    </w:p>
    <w:p>
      <w:pPr>
        <w:spacing w:after="0" w:line="1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81" w:lineRule="exact"/>
        <w:rPr>
          <w:sz w:val="20"/>
          <w:szCs w:val="20"/>
          <w:color w:val="auto"/>
        </w:rPr>
      </w:pPr>
    </w:p>
    <w:p>
      <w:pPr>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and the transactions contemplated hereby abandoned at any time prior to the Closing only as follows:</w:t>
      </w:r>
    </w:p>
    <w:p>
      <w:pPr>
        <w:spacing w:after="0" w:line="157" w:lineRule="exact"/>
        <w:rPr>
          <w:sz w:val="20"/>
          <w:szCs w:val="20"/>
          <w:color w:val="auto"/>
        </w:rPr>
      </w:pPr>
    </w:p>
    <w:p>
      <w:pPr>
        <w:ind w:left="760" w:firstLine="745"/>
        <w:spacing w:after="0" w:line="258" w:lineRule="auto"/>
        <w:tabs>
          <w:tab w:leader="none" w:pos="1967"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the mutual consent of Buyer and CIFR, on the one hand, and Seller on the other, in each case as evidenced in a writing signed by each of Buyer (on behalf of Buyer and CIFR) and Seller;</w:t>
      </w:r>
    </w:p>
    <w:p>
      <w:pPr>
        <w:spacing w:after="0" w:line="157"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54"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Buyer (on behalf of Buyer and CIFR and provided Buyer is not then in material breach of any of its obligations under this Agreement), if there has been a material breach by Seller of any representation, warranty or covenant contained in this Agreement such that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would not be satisfied as of the time of such termination and such breach is incapable of being cured or has not been cured by Seller within ninety (90) days after written notice thereof from Buyer;</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37" w:lineRule="auto"/>
        <w:tabs>
          <w:tab w:leader="none" w:pos="194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Seller (provided Seller is not then in material breach of any of its obligations under this Agreement), if there has been a material breach by Buyer or CIFR of any representation, warranty or covenant contained in this Agreement such that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would not be satisfied as of the time of such termination and such breach is incapable of being cured or has not been cured by Buyer or CIFR, as applicable, within ninety (90) days after written notice thereof from Seller;</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4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either Buyer (on behalf of Buyer and CIFR) or Seller if any Governmental Authority having competent jurisdiction has issued a final and non-appealable order, decree, ruling or injunction (other than a temporary restraining order) 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4" w:name="page185"/>
    <w:bookmarkEnd w:id="184"/>
    <w:p>
      <w:pPr>
        <w:ind w:right="240" w:firstLine="62"/>
        <w:spacing w:after="0" w:line="286" w:lineRule="auto"/>
        <w:tabs>
          <w:tab w:leader="none" w:pos="369"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taken any other action permanently restraining, enjoining or otherwise prohibiting the transactions contemplated by this Agreement; or</w:t>
      </w:r>
    </w:p>
    <w:p>
      <w:pPr>
        <w:spacing w:after="0" w:line="157" w:lineRule="exact"/>
        <w:rPr>
          <w:sz w:val="20"/>
          <w:szCs w:val="20"/>
          <w:color w:val="auto"/>
        </w:rPr>
      </w:pPr>
    </w:p>
    <w:p>
      <w:pPr>
        <w:jc w:val="both"/>
        <w:ind w:left="760" w:firstLine="745"/>
        <w:spacing w:after="0" w:line="262" w:lineRule="auto"/>
        <w:tabs>
          <w:tab w:leader="none" w:pos="1967"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by either Buyer (on behalf of Buyer and CIFR) or Seller if the Closing has not occurred on or before December 20, 2023 (as such date may be adjusted pursuant to this </w:t>
      </w:r>
      <w:r>
        <w:rPr>
          <w:rFonts w:ascii="Times New Roman" w:cs="Times New Roman" w:eastAsia="Times New Roman" w:hAnsi="Times New Roman"/>
          <w:sz w:val="20"/>
          <w:szCs w:val="20"/>
          <w:u w:val="single" w:color="auto"/>
          <w:color w:val="auto"/>
        </w:rPr>
        <w:t>Section 9.1(e)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xml:space="preserve">”) or such later date as the Parties may agree upon;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right to terminate this Agreement under this </w:t>
      </w:r>
      <w:r>
        <w:rPr>
          <w:rFonts w:ascii="Times New Roman" w:cs="Times New Roman" w:eastAsia="Times New Roman" w:hAnsi="Times New Roman"/>
          <w:sz w:val="20"/>
          <w:szCs w:val="20"/>
          <w:u w:val="single" w:color="auto"/>
          <w:color w:val="auto"/>
        </w:rPr>
        <w:t>Section 9.1(e)</w:t>
      </w:r>
      <w:r>
        <w:rPr>
          <w:rFonts w:ascii="Times New Roman" w:cs="Times New Roman" w:eastAsia="Times New Roman" w:hAnsi="Times New Roman"/>
          <w:sz w:val="20"/>
          <w:szCs w:val="20"/>
          <w:color w:val="auto"/>
        </w:rPr>
        <w:t xml:space="preserve"> shall not be available to Seller on the one hand or Buyer and CIFR on the other hand, if the failure of Seller on the one hand or Buyer or CIFR on the other, respectively, to fulfill any obligation under this Agreement shall have been the cause of, or shall have resulted in, the failure of the Closing to occur on or prior to the Outside Date, including, for the avoidance of doubt, Seller’s failure to satisfy the condition precedent set forth in </w:t>
      </w:r>
      <w:r>
        <w:rPr>
          <w:rFonts w:ascii="Times New Roman" w:cs="Times New Roman" w:eastAsia="Times New Roman" w:hAnsi="Times New Roman"/>
          <w:sz w:val="20"/>
          <w:szCs w:val="20"/>
          <w:u w:val="single" w:color="auto"/>
          <w:color w:val="auto"/>
        </w:rPr>
        <w:t>Section 7.2(g)</w:t>
      </w:r>
      <w:r>
        <w:rPr>
          <w:rFonts w:ascii="Times New Roman" w:cs="Times New Roman" w:eastAsia="Times New Roman" w:hAnsi="Times New Roman"/>
          <w:sz w:val="20"/>
          <w:szCs w:val="20"/>
          <w:color w:val="auto"/>
        </w:rPr>
        <w:t xml:space="preserve"> in full.</w:t>
      </w:r>
    </w:p>
    <w:p>
      <w:pPr>
        <w:spacing w:after="0" w:line="157"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7" w:lineRule="auto"/>
        <w:tabs>
          <w:tab w:leader="none" w:pos="1954"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of termination and abandonment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this Agreement shall forthwith become null and void and have no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termination of this Agreement shall not relieve a Party from liability for any intentional and material breach of this Agreement occurring prior to such termination or a Party for liability for fraud and (ii) the agreements contained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survive the termination hereof.</w:t>
      </w:r>
    </w:p>
    <w:p>
      <w:pPr>
        <w:spacing w:after="0" w:line="180" w:lineRule="exact"/>
        <w:rPr>
          <w:rFonts w:ascii="Times New Roman" w:cs="Times New Roman" w:eastAsia="Times New Roman" w:hAnsi="Times New Roman"/>
          <w:sz w:val="22"/>
          <w:szCs w:val="22"/>
          <w:color w:val="010000"/>
        </w:rPr>
      </w:pPr>
    </w:p>
    <w:p>
      <w:pPr>
        <w:jc w:val="both"/>
        <w:ind w:left="760" w:firstLine="745"/>
        <w:spacing w:after="0" w:line="244" w:lineRule="auto"/>
        <w:tabs>
          <w:tab w:leader="none" w:pos="1940"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by Law, no delay or forbearance by a Party in the exercise or enforcement of any right or remedy hereunder shall be deemed a waiver by such Party of its right hereunder to exercise or enforce such right or remedy.</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1"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claims, demands and other communications required or permitted hereunder shall be in writing and shall be deemed to have been duly given or made by delivery in person by an internationally recognized courier service or electronic transmission by PDF (followed by delivery of an original via an internationally recognized courier service) or by registered or certified mail (postage prepaid, return receipt requested) to the respective Parties at the following addresses (or at such other addresses for a Party as shall be specified in a notice given in accordance with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If to Seller:</w:t>
      </w:r>
    </w:p>
    <w:p>
      <w:pPr>
        <w:spacing w:after="0" w:line="25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Trinity Mining Group, Inc.</w:t>
      </w:r>
    </w:p>
    <w:p>
      <w:pPr>
        <w:spacing w:after="0" w:line="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6600 Hawks Creek Avenue, Suite 101</w:t>
      </w:r>
    </w:p>
    <w:p>
      <w:pPr>
        <w:ind w:left="1780"/>
        <w:spacing w:after="0" w:line="230" w:lineRule="auto"/>
        <w:rPr>
          <w:sz w:val="20"/>
          <w:szCs w:val="20"/>
          <w:color w:val="auto"/>
        </w:rPr>
      </w:pPr>
      <w:r>
        <w:rPr>
          <w:rFonts w:ascii="Times New Roman" w:cs="Times New Roman" w:eastAsia="Times New Roman" w:hAnsi="Times New Roman"/>
          <w:sz w:val="22"/>
          <w:szCs w:val="22"/>
          <w:color w:val="auto"/>
        </w:rPr>
        <w:t>Wentworth Village, TX 76114</w:t>
      </w:r>
    </w:p>
    <w:p>
      <w:pPr>
        <w:ind w:left="1780"/>
        <w:spacing w:after="0" w:line="230" w:lineRule="auto"/>
        <w:rPr>
          <w:sz w:val="20"/>
          <w:szCs w:val="20"/>
          <w:color w:val="auto"/>
        </w:rPr>
      </w:pPr>
      <w:r>
        <w:rPr>
          <w:rFonts w:ascii="Times New Roman" w:cs="Times New Roman" w:eastAsia="Times New Roman" w:hAnsi="Times New Roman"/>
          <w:sz w:val="22"/>
          <w:szCs w:val="22"/>
          <w:color w:val="auto"/>
        </w:rPr>
        <w:t>Attention: ***</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Email: ***</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5" w:name="page186"/>
    <w:bookmarkEnd w:id="185"/>
    <w:p>
      <w:pPr>
        <w:ind w:right="240" w:firstLine="62"/>
        <w:spacing w:after="0" w:line="286" w:lineRule="auto"/>
        <w:tabs>
          <w:tab w:leader="none" w:pos="369"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5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Winstead PC</w:t>
      </w:r>
    </w:p>
    <w:p>
      <w:pPr>
        <w:spacing w:after="0" w:line="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300 Throckmorton Street, Suite 1700</w:t>
      </w:r>
    </w:p>
    <w:p>
      <w:pPr>
        <w:ind w:left="1780"/>
        <w:spacing w:after="0" w:line="230" w:lineRule="auto"/>
        <w:rPr>
          <w:sz w:val="20"/>
          <w:szCs w:val="20"/>
          <w:color w:val="auto"/>
        </w:rPr>
      </w:pPr>
      <w:r>
        <w:rPr>
          <w:rFonts w:ascii="Times New Roman" w:cs="Times New Roman" w:eastAsia="Times New Roman" w:hAnsi="Times New Roman"/>
          <w:sz w:val="22"/>
          <w:szCs w:val="22"/>
          <w:color w:val="auto"/>
        </w:rPr>
        <w:t>Fort Worth, TX 76102</w:t>
      </w:r>
    </w:p>
    <w:p>
      <w:pPr>
        <w:ind w:left="1780"/>
        <w:spacing w:after="0" w:line="230" w:lineRule="auto"/>
        <w:rPr>
          <w:sz w:val="20"/>
          <w:szCs w:val="20"/>
          <w:color w:val="auto"/>
        </w:rPr>
      </w:pPr>
      <w:r>
        <w:rPr>
          <w:rFonts w:ascii="Times New Roman" w:cs="Times New Roman" w:eastAsia="Times New Roman" w:hAnsi="Times New Roman"/>
          <w:sz w:val="22"/>
          <w:szCs w:val="22"/>
          <w:color w:val="auto"/>
        </w:rPr>
        <w:t>Attention: Jarratt Watkins</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30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If to Buyer or CIFR, to:</w:t>
      </w:r>
    </w:p>
    <w:p>
      <w:pPr>
        <w:spacing w:after="0" w:line="25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Cipher Black Pearl LLC</w:t>
      </w:r>
    </w:p>
    <w:p>
      <w:pPr>
        <w:spacing w:after="0" w:line="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 Cipher Mining Technologies Inc.</w:t>
      </w:r>
    </w:p>
    <w:p>
      <w:pPr>
        <w:ind w:left="1780"/>
        <w:spacing w:after="0" w:line="230" w:lineRule="auto"/>
        <w:rPr>
          <w:sz w:val="20"/>
          <w:szCs w:val="20"/>
          <w:color w:val="auto"/>
        </w:rPr>
      </w:pPr>
      <w:r>
        <w:rPr>
          <w:rFonts w:ascii="Times New Roman" w:cs="Times New Roman" w:eastAsia="Times New Roman" w:hAnsi="Times New Roman"/>
          <w:sz w:val="22"/>
          <w:szCs w:val="22"/>
          <w:color w:val="auto"/>
        </w:rPr>
        <w:t>One Vanderbilt Avenue, Suite 54C</w:t>
      </w:r>
    </w:p>
    <w:p>
      <w:pPr>
        <w:ind w:left="1780"/>
        <w:spacing w:after="0" w:line="230" w:lineRule="auto"/>
        <w:rPr>
          <w:sz w:val="20"/>
          <w:szCs w:val="20"/>
          <w:color w:val="auto"/>
        </w:rPr>
      </w:pPr>
      <w:r>
        <w:rPr>
          <w:rFonts w:ascii="Times New Roman" w:cs="Times New Roman" w:eastAsia="Times New Roman" w:hAnsi="Times New Roman"/>
          <w:sz w:val="22"/>
          <w:szCs w:val="22"/>
          <w:color w:val="auto"/>
        </w:rPr>
        <w:t>New York, NY, 10017</w:t>
      </w:r>
    </w:p>
    <w:p>
      <w:pPr>
        <w:ind w:left="1780"/>
        <w:spacing w:after="0" w:line="230" w:lineRule="auto"/>
        <w:rPr>
          <w:sz w:val="20"/>
          <w:szCs w:val="20"/>
          <w:color w:val="auto"/>
        </w:rPr>
      </w:pPr>
      <w:r>
        <w:rPr>
          <w:rFonts w:ascii="Times New Roman" w:cs="Times New Roman" w:eastAsia="Times New Roman" w:hAnsi="Times New Roman"/>
          <w:sz w:val="22"/>
          <w:szCs w:val="22"/>
          <w:color w:val="auto"/>
        </w:rPr>
        <w:t>Attention: Chief Legal Officer</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Email: ***</w:t>
      </w:r>
    </w:p>
    <w:p>
      <w:pPr>
        <w:spacing w:after="0" w:line="28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Norton Rose Fulbright US LLP</w:t>
      </w:r>
    </w:p>
    <w:p>
      <w:pPr>
        <w:spacing w:after="0" w:line="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1301 Avenue of the Americas</w:t>
      </w:r>
    </w:p>
    <w:p>
      <w:pPr>
        <w:ind w:left="1780"/>
        <w:spacing w:after="0" w:line="230" w:lineRule="auto"/>
        <w:rPr>
          <w:sz w:val="20"/>
          <w:szCs w:val="20"/>
          <w:color w:val="auto"/>
        </w:rPr>
      </w:pPr>
      <w:r>
        <w:rPr>
          <w:rFonts w:ascii="Times New Roman" w:cs="Times New Roman" w:eastAsia="Times New Roman" w:hAnsi="Times New Roman"/>
          <w:sz w:val="22"/>
          <w:szCs w:val="22"/>
          <w:color w:val="auto"/>
        </w:rPr>
        <w:t>New York, NY 10019</w:t>
      </w:r>
    </w:p>
    <w:p>
      <w:pPr>
        <w:ind w:left="1780"/>
        <w:spacing w:after="0" w:line="230" w:lineRule="auto"/>
        <w:rPr>
          <w:sz w:val="20"/>
          <w:szCs w:val="20"/>
          <w:color w:val="auto"/>
        </w:rPr>
      </w:pPr>
      <w:r>
        <w:rPr>
          <w:rFonts w:ascii="Times New Roman" w:cs="Times New Roman" w:eastAsia="Times New Roman" w:hAnsi="Times New Roman"/>
          <w:sz w:val="22"/>
          <w:szCs w:val="22"/>
          <w:color w:val="auto"/>
        </w:rPr>
        <w:t>Attention: Christy Rivera</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None of the Parties shall assign this Agreement or any part hereof, by operation of law or otherwise, without the prior written consent of each of the other Parties hereto (which consent shall not be unreasonably withheld, conditioned or delayed); provided that Buyer may assign this Agreement to its affiliates. No assignment shall relieve the assigning Party of any of its obligations hereunder. Any attempted assignment or transfer in violation of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shall be void. Subject to the foregoing, this Agreement shall be binding upon and inure to the benefit of the Parties and their respective permitted successors and assigns.</w:t>
      </w:r>
    </w:p>
    <w:p>
      <w:pPr>
        <w:spacing w:after="0" w:line="17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Rights of Third Parties</w:t>
      </w:r>
      <w:r>
        <w:rPr>
          <w:rFonts w:ascii="Times New Roman" w:cs="Times New Roman" w:eastAsia="Times New Roman" w:hAnsi="Times New Roman"/>
          <w:sz w:val="22"/>
          <w:szCs w:val="22"/>
          <w:color w:val="auto"/>
        </w:rPr>
        <w:t>. Nothing expressed or implied in this Agreement is intended or shall be construed to confer upon or give any Person, other than the Parties and their permitted successors and assigns, any legal or equitable right, benefit or remedy of any nature whatsoever under or by reason of this Agreement.</w:t>
      </w:r>
    </w:p>
    <w:p>
      <w:pPr>
        <w:spacing w:after="0" w:line="172"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provided herein, each Party shall bear its own expenses incurred in connection with this Agreement and the transactions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6" w:name="page187"/>
    <w:bookmarkEnd w:id="186"/>
    <w:p>
      <w:pPr>
        <w:ind w:right="240" w:firstLine="62"/>
        <w:spacing w:after="0" w:line="286" w:lineRule="auto"/>
        <w:tabs>
          <w:tab w:leader="none" w:pos="369"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contemplated hereby whether or not such transactions shall be consummated, including all fees (including all fees of its legal counsel, financial advisors and accountants).</w:t>
      </w:r>
    </w:p>
    <w:p>
      <w:pPr>
        <w:spacing w:after="0" w:line="157"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but all of which together shall constitute one and the same instrument. Any facsimile or electronic copies hereof or signatures hereon shall, for all purposes, be deemed originals.</w:t>
      </w:r>
    </w:p>
    <w:p>
      <w:pPr>
        <w:spacing w:after="0" w:line="172" w:lineRule="exact"/>
        <w:rPr>
          <w:sz w:val="20"/>
          <w:szCs w:val="20"/>
          <w:color w:val="auto"/>
        </w:rPr>
      </w:pPr>
    </w:p>
    <w:p>
      <w:pPr>
        <w:jc w:val="both"/>
        <w:ind w:firstLine="1498"/>
        <w:spacing w:after="0" w:line="262"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(together with the Disclosure Schedules and exhibits to this Agreement), the Transaction Documents and the Confidentiality Agreement constitute the entire agreement among the Parties and supersede any other agreements, whether written or oral, that may have been made or entered into by or among any of the Parties or any of their respective Affiliates relating to the transactions contemplated hereby. No representations, warranties, covenants, understandings or agreements, oral or otherwise, relating to the transactions contemplated by this Agreement or any of the Transaction Documents exist between Buyer or its Affiliates, on the one hand, and Seller or its Affiliates, on the other hand, except as expressly set forth in this Agreement, any of the Transaction Documents or in any other document delivered at Closing.</w:t>
      </w:r>
    </w:p>
    <w:p>
      <w:pPr>
        <w:spacing w:after="0" w:line="157"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or supplemented at any time but only by additional written agreements signed by each Party, as may mutually be determined by the Parties to be necessary, desirable or expedient to further the purpose of this Agreement or to clarify the intention of the Parties.</w:t>
      </w:r>
    </w:p>
    <w:p>
      <w:pPr>
        <w:spacing w:after="0" w:line="172"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other provision of this Agreement is illegal, invalid or unenforceable under any Law or as a matter of public policy, then all other conditions and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contained herein is, to any extent, invalid or unenforceable in any respect under the Laws governing this Agreement,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184"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10.9</w:t>
      </w:r>
      <w:r>
        <w:rPr>
          <w:sz w:val="20"/>
          <w:szCs w:val="20"/>
          <w:color w:val="auto"/>
        </w:rPr>
        <w:tab/>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6" w:lineRule="auto"/>
        <w:tabs>
          <w:tab w:leader="none" w:pos="1967"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In the event of a dispute between Buyer and Seller regarding the application or interpretation of this Agreement, after notice from one Party (the “</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to the other Party, the Parties shall negotiate in good faith and attempt to resolve such dispute. If the Parties are unable to resolve such dispute within fifteen (15) days after delivery of the Dispute Notice, then an executive officer or other senior representative of each of Buyer, on the one hand, and Seller, on the other hand, shall meet and shall negotiate in good faith in an attempt to resolve any controversy or dispute under or with respect to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7" w:name="page188"/>
    <w:bookmarkEnd w:id="187"/>
    <w:p>
      <w:pPr>
        <w:ind w:right="240" w:firstLine="62"/>
        <w:spacing w:after="0" w:line="286" w:lineRule="auto"/>
        <w:tabs>
          <w:tab w:leader="none" w:pos="369"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jc w:val="both"/>
        <w:ind w:left="760" w:firstLine="745"/>
        <w:spacing w:after="0" w:line="257" w:lineRule="auto"/>
        <w:tabs>
          <w:tab w:leader="none" w:pos="1940" w:val="left"/>
        </w:tabs>
        <w:numPr>
          <w:ilvl w:val="1"/>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The Parties (i) hereby irrevocably and unconditionally submit to the jurisdiction of the United States District Court for the Southern District of New York for the purpose of any suit, action or other proceeding arising out of or based upon this Agreement, or, solely to the extent federal jurisdiction is not available with respect to all or portion of such suit, action or other proceeding, the courts of the State of New York located in the Borough of Manhattan, New York City, New York, (ii) agree not to commence any suit, action or other proceeding arising out of or based upon this Agreement except in the United States District Court for the Southern District of New York, or, solely to the extent federal jurisdiction is not available with respect to all or portion of such suit, action or other proceeding, the courts of the State of New York located in the Borough of Manhattan, New York City, New York and (iii)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courts. Each of the Parties to this Agreement consents to personal jurisdiction for any equitable action sought in the U.S. District Court for the Southern District of New York or, as applicable and subject to the above, the courts of the State of New York located in the Borough of Manhattan, New York City, New York, with subject matter jurisdiction.</w:t>
      </w:r>
    </w:p>
    <w:p>
      <w:pPr>
        <w:spacing w:after="0" w:line="200" w:lineRule="exact"/>
        <w:rPr>
          <w:rFonts w:ascii="Times New Roman" w:cs="Times New Roman" w:eastAsia="Times New Roman" w:hAnsi="Times New Roman"/>
          <w:sz w:val="20"/>
          <w:szCs w:val="20"/>
          <w:color w:val="010000"/>
        </w:rPr>
      </w:pPr>
    </w:p>
    <w:p>
      <w:pPr>
        <w:spacing w:after="0" w:line="208" w:lineRule="exact"/>
        <w:rPr>
          <w:rFonts w:ascii="Times New Roman" w:cs="Times New Roman" w:eastAsia="Times New Roman" w:hAnsi="Times New Roman"/>
          <w:sz w:val="20"/>
          <w:szCs w:val="20"/>
          <w:color w:val="010000"/>
        </w:rPr>
      </w:pPr>
    </w:p>
    <w:p>
      <w:pPr>
        <w:jc w:val="both"/>
        <w:ind w:left="760" w:firstLine="745"/>
        <w:spacing w:after="0" w:line="236" w:lineRule="auto"/>
        <w:tabs>
          <w:tab w:leader="none" w:pos="1954" w:val="left"/>
        </w:tabs>
        <w:numPr>
          <w:ilvl w:val="1"/>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HEREBY IRREVOCABLY WAIVES ALL RIGHT TO A JURY TRIAL IN ANY ACTION, PROCEEDING OR COUNTERCLAIM (WHETHER AT LAW, IN EQUITY, BASED ON CONTRACT, TORT OR OTHERWISE) ARISING OUT OF OR RELATING TO THIS AGREEMENT, ANY OF THE TRANSACTION DOCUMENTS, THE TRANSACTIONS CONTEMPLATED HEREBY OR THEREBY OR THE ACTIONS OF SUCH PARTY IN THE NEGOTIATION, ADMINISTRATION, PERFORMANCE AND ENFORCEMENT HEREOF OR THEREOF.</w:t>
      </w:r>
    </w:p>
    <w:p>
      <w:pPr>
        <w:spacing w:after="0" w:line="17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interpreted and enforced in accordance with the Laws of the State of New York, without giving effect to principles of conflicts of law other than Sections 5-1401 and 5-1402 of the General Obligations Law of the State of New York.</w:t>
      </w:r>
    </w:p>
    <w:p>
      <w:pPr>
        <w:spacing w:after="0" w:line="172" w:lineRule="exact"/>
        <w:rPr>
          <w:sz w:val="20"/>
          <w:szCs w:val="20"/>
          <w:color w:val="auto"/>
        </w:rPr>
      </w:pPr>
    </w:p>
    <w:p>
      <w:pPr>
        <w:jc w:val="both"/>
        <w:ind w:firstLine="1498"/>
        <w:spacing w:after="0" w:line="262"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Specific Performance and Other Remedies</w:t>
      </w:r>
      <w:r>
        <w:rPr>
          <w:rFonts w:ascii="Times New Roman" w:cs="Times New Roman" w:eastAsia="Times New Roman" w:hAnsi="Times New Roman"/>
          <w:sz w:val="20"/>
          <w:szCs w:val="20"/>
          <w:color w:val="auto"/>
        </w:rPr>
        <w:t>. The Parties agree that irreparable damage for which monetary damages, even if available, would not be an adequate remedy, would occur in the event that the Parties do not perform their obligations under this Agreement (including failing to take such actions as are required of them hereunder to consummate the Closing in accordance with the terms of this Agreement) in accordance with its specified terms or otherwise breach the provisions of this Agreement. The Parties acknowledge and agree that (a) each of the Parties shall be entitled to an injunction, specific performance, or other equitable relief, as provided in this Section to prevent breaches of this Agreement and to enforce specifically the terms and provisions of this Agreement (including Closing the purchase and sale on the terms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8" w:name="page189"/>
    <w:bookmarkEnd w:id="188"/>
    <w:p>
      <w:pPr>
        <w:ind w:right="240" w:firstLine="62"/>
        <w:spacing w:after="0" w:line="286" w:lineRule="auto"/>
        <w:tabs>
          <w:tab w:leader="none" w:pos="369"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conditions set forth herein), without proof of damages, prior to the valid termination of this Agreement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(b) the right of an injunction, specific enforcement or other equitable relief is an integral part of the transactions contemplated by this Agreement and without that right, neither Seller nor Buyer would have entered into this Agreement. Each Party agrees that it will not oppose the granting of an injunction, specific performance or other equitable relief on the basis that the other Party has an adequate remedy at Law or that an award of an injunction, specific performance or other equitable relief is not an appropriate remedy for any reason at Law or equity. The Parties acknowledge and agree that any Party seeking an injunction, specific performance or other equitable relief to prevent breaches of this Agreement and to enforce specifically the terms and provisions of this Agreement in accordance with this Section shall not be required to provide any bond or other security in connection with any such proceeding. The rights to specific performance, injunction or other equitable relief provided in this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xml:space="preserve"> are in addition to any other remedy to which the Party seeking such equitable relief is or may be entitled to under this Agreement, Law or otherwise.</w:t>
      </w:r>
    </w:p>
    <w:p>
      <w:pPr>
        <w:spacing w:after="0" w:line="184" w:lineRule="exact"/>
        <w:rPr>
          <w:sz w:val="20"/>
          <w:szCs w:val="20"/>
          <w:color w:val="auto"/>
        </w:rPr>
      </w:pPr>
    </w:p>
    <w:p>
      <w:pPr>
        <w:jc w:val="both"/>
        <w:ind w:firstLine="1498"/>
        <w:spacing w:after="0" w:line="233"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All section headings in the Disclosure Schedules correspond to the sections of this Agreement, but information provided in any section of the Disclosure Schedules shall constitute disclosure for purposes of each section of this Agreement where such information is relevant. Unless the context otherwise requires, all capitalized terms used in the Disclosure Schedules shall have the respective meanings assigned to such terms in this Agreement. Certain information set forth in the Disclosure Schedules is included solely for informational purposes, and may not be required to be disclosed pursuant to this Agreement. No disclosure in the Disclosure Schedules relating to any possible breach or violation of any agreement or Law shall be construed as an admission or indication that any such breach or violation exists or has actually occurred. The inclusion of any information in the Disclosure Schedules shall not be deemed to be an admission or acknowledgment by Seller that in and of itself, such information is material to or outside the ordinary course of the business or is required to be disclosed on the Disclosure Schedules. No disclosure in the Disclosure Schedules shall be deemed to create any rights in any third party.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9" w:name="page190"/>
    <w:bookmarkEnd w:id="189"/>
    <w:p>
      <w:pPr>
        <w:ind w:right="300" w:firstLine="8"/>
        <w:spacing w:after="0" w:line="286" w:lineRule="auto"/>
        <w:tabs>
          <w:tab w:leader="none" w:pos="31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firstLine="1498"/>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duly executed and delivered by each Party as of the date first above written.</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Cipher Black Pearl LLC</w:t>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 Delaware limited liability company,</w:t>
      </w:r>
    </w:p>
    <w:p>
      <w:pPr>
        <w:ind w:left="5160" w:right="340"/>
        <w:spacing w:after="0" w:line="237" w:lineRule="auto"/>
        <w:rPr>
          <w:sz w:val="20"/>
          <w:szCs w:val="20"/>
          <w:color w:val="auto"/>
        </w:rPr>
      </w:pPr>
      <w:r>
        <w:rPr>
          <w:rFonts w:ascii="Times New Roman" w:cs="Times New Roman" w:eastAsia="Times New Roman" w:hAnsi="Times New Roman"/>
          <w:sz w:val="22"/>
          <w:szCs w:val="22"/>
          <w:color w:val="auto"/>
        </w:rPr>
        <w:t>by its sole member, Cipher Mining Technologies,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 /s/ William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-13970</wp:posOffset>
            </wp:positionV>
            <wp:extent cx="16859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22"/>
          <w:szCs w:val="22"/>
          <w:color w:val="auto"/>
        </w:rPr>
        <w:t>Name: William Iwaschuk</w:t>
      </w:r>
    </w:p>
    <w:p>
      <w:pPr>
        <w:ind w:left="5160"/>
        <w:spacing w:after="0"/>
        <w:rPr>
          <w:sz w:val="20"/>
          <w:szCs w:val="20"/>
          <w:color w:val="auto"/>
        </w:rPr>
      </w:pPr>
      <w:r>
        <w:rPr>
          <w:rFonts w:ascii="Times New Roman" w:cs="Times New Roman" w:eastAsia="Times New Roman" w:hAnsi="Times New Roman"/>
          <w:sz w:val="22"/>
          <w:szCs w:val="22"/>
          <w:color w:val="auto"/>
        </w:rPr>
        <w:t>Title: Co-President &amp; Chief Legal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u w:val="single" w:color="auto"/>
          <w:color w:val="auto"/>
        </w:rPr>
        <w:t>CIFR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Cipher Mining Inc. (f/k/a Good Works Acquisition Corp.)</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 /s/ William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-13970</wp:posOffset>
            </wp:positionV>
            <wp:extent cx="16859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22"/>
          <w:szCs w:val="22"/>
          <w:color w:val="auto"/>
        </w:rPr>
        <w:t>Name: William Iwaschuk</w:t>
      </w:r>
    </w:p>
    <w:p>
      <w:pPr>
        <w:ind w:left="5160"/>
        <w:spacing w:after="0"/>
        <w:rPr>
          <w:sz w:val="20"/>
          <w:szCs w:val="20"/>
          <w:color w:val="auto"/>
        </w:rPr>
      </w:pPr>
      <w:r>
        <w:rPr>
          <w:rFonts w:ascii="Times New Roman" w:cs="Times New Roman" w:eastAsia="Times New Roman" w:hAnsi="Times New Roman"/>
          <w:sz w:val="22"/>
          <w:szCs w:val="22"/>
          <w:color w:val="auto"/>
        </w:rPr>
        <w:t>Title: Co-President &amp;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b w:val="1"/>
          <w:bCs w:val="1"/>
          <w:u w:val="single" w:color="auto"/>
          <w:color w:val="auto"/>
        </w:rPr>
        <w:t>SELLER: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Trinity Mining Group,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Austin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-13970</wp:posOffset>
            </wp:positionV>
            <wp:extent cx="1719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extLst>
                        <a:ext uri="{28A0092B-C50C-407E-A947-70E740481C1C}"/>
                      </a:extLst>
                    </a:blip>
                    <a:srcRect/>
                    <a:stretch>
                      <a:fillRect/>
                    </a:stretch>
                  </pic:blipFill>
                  <pic:spPr bwMode="auto">
                    <a:xfrm>
                      <a:off x="0" y="0"/>
                      <a:ext cx="1719580" cy="825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tab/>
        <w:t>Austin Davis</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18"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1014730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3" w:right="1440" w:bottom="1440" w:gutter="0" w:footer="0" w:header="0"/>
        </w:sectPr>
      </w:pPr>
    </w:p>
    <w:bookmarkStart w:id="191" w:name="page192"/>
    <w:bookmarkEnd w:id="191"/>
    <w:p>
      <w:pPr>
        <w:spacing w:after="0" w:line="2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Assumed Contracts</w:t>
      </w:r>
    </w:p>
    <w:p>
      <w:pPr>
        <w:spacing w:after="0" w:line="2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708660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ERCOT Approval</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4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708660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Assignment and Assumption Agreement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4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708660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Bill of Sale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648970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195" w:name="page196"/>
    <w:bookmarkEnd w:id="195"/>
    <w:p>
      <w:pPr>
        <w:ind w:right="300" w:firstLine="8"/>
        <w:spacing w:after="0" w:line="286" w:lineRule="auto"/>
        <w:tabs>
          <w:tab w:leader="none" w:pos="315"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81"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7"/>
          <w:szCs w:val="17"/>
          <w:b w:val="1"/>
          <w:bCs w:val="1"/>
          <w:color w:val="auto"/>
        </w:rPr>
        <w:t>EXHIBIT 10.34</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DATA CENTER LEASE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LANDLORD,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TRINITY MINING GROUP, INC.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2192655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6" w:name="page197"/>
    <w:bookmarkEnd w:id="196"/>
    <w:p>
      <w:pPr>
        <w:ind w:right="300" w:firstLine="8"/>
        <w:spacing w:after="0" w:line="286" w:lineRule="auto"/>
        <w:tabs>
          <w:tab w:leader="none" w:pos="315"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DATA CENTER LEASE</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This Amended and Restated Data Center Lease (this “</w:t>
      </w:r>
      <w:r>
        <w:rPr>
          <w:rFonts w:ascii="Times New Roman" w:cs="Times New Roman" w:eastAsia="Times New Roman" w:hAnsi="Times New Roman"/>
          <w:sz w:val="22"/>
          <w:szCs w:val="22"/>
          <w:b w:val="1"/>
          <w:bCs w:val="1"/>
          <w:u w:val="single" w:color="auto"/>
          <w:color w:val="auto"/>
        </w:rPr>
        <w:t>Lease</w:t>
      </w:r>
      <w:r>
        <w:rPr>
          <w:rFonts w:ascii="Times New Roman" w:cs="Times New Roman" w:eastAsia="Times New Roman" w:hAnsi="Times New Roman"/>
          <w:sz w:val="22"/>
          <w:szCs w:val="22"/>
          <w:color w:val="auto"/>
        </w:rPr>
        <w:t>”) is made and entered into this 6th day of December, 2023 (the “</w:t>
      </w:r>
      <w:r>
        <w:rPr>
          <w:rFonts w:ascii="Times New Roman" w:cs="Times New Roman" w:eastAsia="Times New Roman" w:hAnsi="Times New Roman"/>
          <w:sz w:val="22"/>
          <w:szCs w:val="22"/>
          <w:b w:val="1"/>
          <w:bCs w:val="1"/>
          <w:u w:val="single" w:color="auto"/>
          <w:color w:val="auto"/>
        </w:rPr>
        <w:t>Lease Date</w:t>
      </w:r>
      <w:r>
        <w:rPr>
          <w:rFonts w:ascii="Times New Roman" w:cs="Times New Roman" w:eastAsia="Times New Roman" w:hAnsi="Times New Roman"/>
          <w:sz w:val="22"/>
          <w:szCs w:val="22"/>
          <w:color w:val="auto"/>
        </w:rPr>
        <w:t>”) by and between *** (“</w:t>
      </w: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TRINITY MINING GROUP,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 or its successors or assigns, replacing that certain Data Center Lease, dated September 2023 (the “</w:t>
      </w:r>
      <w:r>
        <w:rPr>
          <w:rFonts w:ascii="Times New Roman" w:cs="Times New Roman" w:eastAsia="Times New Roman" w:hAnsi="Times New Roman"/>
          <w:sz w:val="22"/>
          <w:szCs w:val="22"/>
          <w:b w:val="1"/>
          <w:bCs w:val="1"/>
          <w:u w:val="single" w:color="auto"/>
          <w:color w:val="auto"/>
        </w:rPr>
        <w:t>Original Lease</w:t>
      </w:r>
      <w:r>
        <w:rPr>
          <w:rFonts w:ascii="Times New Roman" w:cs="Times New Roman" w:eastAsia="Times New Roman" w:hAnsi="Times New Roman"/>
          <w:sz w:val="22"/>
          <w:szCs w:val="22"/>
          <w:color w:val="auto"/>
        </w:rPr>
        <w:t>”), which, by execution hereof, becomes null and void.</w:t>
      </w:r>
    </w:p>
    <w:p>
      <w:pPr>
        <w:spacing w:after="0" w:line="175"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Basic Lease Information</w:t>
      </w:r>
      <w:r>
        <w:rPr>
          <w:rFonts w:ascii="Times New Roman" w:cs="Times New Roman" w:eastAsia="Times New Roman" w:hAnsi="Times New Roman"/>
          <w:sz w:val="22"/>
          <w:szCs w:val="22"/>
          <w:color w:val="auto"/>
        </w:rPr>
        <w:t>. The key business terms used in this Lease are defined as follows:</w:t>
      </w:r>
    </w:p>
    <w:p>
      <w:pPr>
        <w:spacing w:after="0" w:line="205" w:lineRule="exact"/>
        <w:rPr>
          <w:sz w:val="20"/>
          <w:szCs w:val="20"/>
          <w:color w:val="auto"/>
        </w:rPr>
      </w:pPr>
    </w:p>
    <w:p>
      <w:pPr>
        <w:jc w:val="both"/>
        <w:ind w:firstLine="8"/>
        <w:spacing w:after="0" w:line="236" w:lineRule="auto"/>
        <w:tabs>
          <w:tab w:leader="none" w:pos="50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Land</w:t>
      </w:r>
      <w:r>
        <w:rPr>
          <w:rFonts w:ascii="Times New Roman" w:cs="Times New Roman" w:eastAsia="Times New Roman" w:hAnsi="Times New Roman"/>
          <w:sz w:val="22"/>
          <w:szCs w:val="22"/>
          <w:color w:val="auto"/>
        </w:rPr>
        <w:t xml:space="preserve">”: Those certain tracts or parcels of land containing a total of approximately 50 acres located in ***, Texas, and more particularly described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made a part hereof, as such Land may be amended by the addition of approximately 20 acres of land, more or less (the “</w:t>
      </w:r>
      <w:r>
        <w:rPr>
          <w:rFonts w:ascii="Times New Roman" w:cs="Times New Roman" w:eastAsia="Times New Roman" w:hAnsi="Times New Roman"/>
          <w:sz w:val="22"/>
          <w:szCs w:val="22"/>
          <w:b w:val="1"/>
          <w:bCs w:val="1"/>
          <w:color w:val="auto"/>
        </w:rPr>
        <w:t>Additional Acreage</w:t>
      </w:r>
      <w:r>
        <w:rPr>
          <w:rFonts w:ascii="Times New Roman" w:cs="Times New Roman" w:eastAsia="Times New Roman" w:hAnsi="Times New Roman"/>
          <w:sz w:val="22"/>
          <w:szCs w:val="22"/>
          <w:color w:val="auto"/>
        </w:rPr>
        <w:t>”), adjacent to the Land at the same rate schedule, the approximate location of which is depicted in Exhibit A-1 and the actual acreage and location of which is subject to a final survey to be obtained by Tenant at its sole cost and expense as set forth herein. The Parties acknowledge that not all of the Additional Acreage is currently owned by Landlord but that Landlord intends to obtain fee ownership over all of the Additional Acreage and, upon obtaining said fee ownership, subject the Additional Acreage to the terms of this Lease.</w:t>
      </w:r>
    </w:p>
    <w:p>
      <w:pPr>
        <w:spacing w:after="0" w:line="173" w:lineRule="exact"/>
        <w:rPr>
          <w:rFonts w:ascii="Times New Roman" w:cs="Times New Roman" w:eastAsia="Times New Roman" w:hAnsi="Times New Roman"/>
          <w:sz w:val="20"/>
          <w:szCs w:val="20"/>
          <w:color w:val="auto"/>
        </w:rPr>
      </w:pPr>
    </w:p>
    <w:p>
      <w:pPr>
        <w:jc w:val="both"/>
        <w:ind w:firstLine="8"/>
        <w:spacing w:after="0" w:line="272" w:lineRule="auto"/>
        <w:tabs>
          <w:tab w:leader="none" w:pos="509"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Premises</w:t>
      </w:r>
      <w:r>
        <w:rPr>
          <w:rFonts w:ascii="Times New Roman" w:cs="Times New Roman" w:eastAsia="Times New Roman" w:hAnsi="Times New Roman"/>
          <w:sz w:val="20"/>
          <w:szCs w:val="20"/>
          <w:color w:val="auto"/>
        </w:rPr>
        <w:t>”: The (i) Land, (ii) the Data Center (as defined below) and any other buildings, appurtenant structures and other improvements of any kind constructed on the Land pursuant to this Lease, including outbuildings, loading areas, canopies, walls, waterlines, sewer, electrical and gas distribution facilities, parking facilities, walkways, streets, curbs, roads, rights of way, fences, hedges, exterior plantings, poles, and signs, and (iii) the easements, rights and appurtenances thereunto belonging or appertaining.</w:t>
      </w:r>
    </w:p>
    <w:p>
      <w:pPr>
        <w:spacing w:after="0" w:line="144" w:lineRule="exact"/>
        <w:rPr>
          <w:rFonts w:ascii="Times New Roman" w:cs="Times New Roman" w:eastAsia="Times New Roman" w:hAnsi="Times New Roman"/>
          <w:sz w:val="19"/>
          <w:szCs w:val="19"/>
          <w:color w:val="auto"/>
        </w:rPr>
      </w:pPr>
    </w:p>
    <w:p>
      <w:pPr>
        <w:jc w:val="both"/>
        <w:ind w:firstLine="8"/>
        <w:spacing w:after="0" w:line="237" w:lineRule="auto"/>
        <w:tabs>
          <w:tab w:leader="none" w:pos="50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Data Center</w:t>
      </w:r>
      <w:r>
        <w:rPr>
          <w:rFonts w:ascii="Times New Roman" w:cs="Times New Roman" w:eastAsia="Times New Roman" w:hAnsi="Times New Roman"/>
          <w:sz w:val="22"/>
          <w:szCs w:val="22"/>
          <w:color w:val="auto"/>
        </w:rPr>
        <w:t xml:space="preserve">”: The building(s), related equipment, facilities and other improvements to be constructed on the Land by Tenant for the Permitted Use (as defined below), including the electrical line extensions, substations, breaker stations and other electrical infrastructure required for the operation therewith, all as generally described on the preliminary plans and specifications attached hereto as </w:t>
      </w:r>
      <w:r>
        <w:rPr>
          <w:rFonts w:ascii="Times New Roman" w:cs="Times New Roman" w:eastAsia="Times New Roman" w:hAnsi="Times New Roman"/>
          <w:sz w:val="22"/>
          <w:szCs w:val="22"/>
          <w:b w:val="1"/>
          <w:bCs w:val="1"/>
          <w:u w:val="single" w:color="auto"/>
          <w:color w:val="auto"/>
        </w:rPr>
        <w:t>Schedule B-1</w:t>
      </w:r>
      <w:r>
        <w:rPr>
          <w:rFonts w:ascii="Times New Roman" w:cs="Times New Roman" w:eastAsia="Times New Roman" w:hAnsi="Times New Roman"/>
          <w:sz w:val="22"/>
          <w:szCs w:val="22"/>
          <w:color w:val="auto"/>
        </w:rPr>
        <w:t xml:space="preserve"> to the Work Letter. The amount of electrical capacity which the facilities will produce is 300 megawatts. Which will be generated from two (2) separate points of interconnect; one substation for 100 megawatts and the second substation for 300 megawatts.</w:t>
      </w:r>
    </w:p>
    <w:p>
      <w:pPr>
        <w:spacing w:after="0" w:line="173" w:lineRule="exact"/>
        <w:rPr>
          <w:rFonts w:ascii="Times New Roman" w:cs="Times New Roman" w:eastAsia="Times New Roman" w:hAnsi="Times New Roman"/>
          <w:sz w:val="20"/>
          <w:szCs w:val="20"/>
          <w:color w:val="auto"/>
        </w:rPr>
      </w:pPr>
    </w:p>
    <w:p>
      <w:pPr>
        <w:jc w:val="both"/>
        <w:ind w:firstLine="8"/>
        <w:spacing w:after="0" w:line="246" w:lineRule="auto"/>
        <w:tabs>
          <w:tab w:leader="none" w:pos="50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Work Letter</w:t>
      </w:r>
      <w:r>
        <w:rPr>
          <w:rFonts w:ascii="Times New Roman" w:cs="Times New Roman" w:eastAsia="Times New Roman" w:hAnsi="Times New Roman"/>
          <w:sz w:val="22"/>
          <w:szCs w:val="22"/>
          <w:color w:val="auto"/>
        </w:rPr>
        <w:t xml:space="preserve">”: The construction addendum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and made a part hereof regarding the preparation and approval of plans and specifications, obtaining permits and approvals and the construction and installation of the Data Center by Landlord, of which approval must be not unreasonably withheld.</w:t>
      </w:r>
    </w:p>
    <w:p>
      <w:pPr>
        <w:spacing w:after="0" w:line="165"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Commencement Date</w:t>
      </w:r>
      <w:r>
        <w:rPr>
          <w:rFonts w:ascii="Times New Roman" w:cs="Times New Roman" w:eastAsia="Times New Roman" w:hAnsi="Times New Roman"/>
          <w:sz w:val="22"/>
          <w:szCs w:val="22"/>
          <w:color w:val="auto"/>
        </w:rPr>
        <w:t>”: The Lease Date.</w:t>
      </w:r>
    </w:p>
    <w:p>
      <w:pPr>
        <w:spacing w:after="0" w:line="205" w:lineRule="exact"/>
        <w:rPr>
          <w:rFonts w:ascii="Times New Roman" w:cs="Times New Roman" w:eastAsia="Times New Roman" w:hAnsi="Times New Roman"/>
          <w:sz w:val="20"/>
          <w:szCs w:val="20"/>
          <w:color w:val="auto"/>
        </w:rPr>
      </w:pPr>
    </w:p>
    <w:p>
      <w:pPr>
        <w:ind w:firstLine="8"/>
        <w:spacing w:after="0" w:line="261" w:lineRule="auto"/>
        <w:tabs>
          <w:tab w:leader="none" w:pos="50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Expiration Date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earlier of (1) the last day of the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calendar month after the Commencement Date, or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termination of this Lease pursuant to the terms hereof, including, without limitation, the terms of the Work Letter.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7" w:name="page198"/>
    <w:bookmarkEnd w:id="197"/>
    <w:p>
      <w:pPr>
        <w:ind w:right="300" w:firstLine="8"/>
        <w:spacing w:after="0" w:line="286" w:lineRule="auto"/>
        <w:tabs>
          <w:tab w:leader="none" w:pos="31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jc w:val="both"/>
        <w:ind w:firstLine="8"/>
        <w:spacing w:after="0" w:line="237" w:lineRule="auto"/>
        <w:tabs>
          <w:tab w:leader="none" w:pos="50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Lease Year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12-month period commencing on the Commencement Date, and each 12-month period thereafter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during the Term;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if the Commencement Date is a day other than the first day of a calendar month, the first Lease Year will include the period from and including the Commencement Date to and including the last day of the calendar month in which the Commencement Date occurs (the “</w:t>
      </w:r>
      <w:r>
        <w:rPr>
          <w:rFonts w:ascii="Times New Roman" w:cs="Times New Roman" w:eastAsia="Times New Roman" w:hAnsi="Times New Roman"/>
          <w:sz w:val="22"/>
          <w:szCs w:val="22"/>
          <w:b w:val="1"/>
          <w:bCs w:val="1"/>
          <w:u w:val="single" w:color="auto"/>
          <w:color w:val="auto"/>
        </w:rPr>
        <w:t>Fractional Month</w:t>
      </w:r>
      <w:r>
        <w:rPr>
          <w:rFonts w:ascii="Times New Roman" w:cs="Times New Roman" w:eastAsia="Times New Roman" w:hAnsi="Times New Roman"/>
          <w:sz w:val="22"/>
          <w:szCs w:val="22"/>
          <w:color w:val="auto"/>
        </w:rPr>
        <w:t>”) and will extend through the end of the 12th full calendar month following the Commencement Date. The term “Lease Year” will also include partial years of less than 12 months at the end of the Term, as applicable.</w:t>
      </w:r>
    </w:p>
    <w:p>
      <w:pPr>
        <w:spacing w:after="0" w:line="173" w:lineRule="exact"/>
        <w:rPr>
          <w:rFonts w:ascii="Times New Roman" w:cs="Times New Roman" w:eastAsia="Times New Roman" w:hAnsi="Times New Roman"/>
          <w:sz w:val="20"/>
          <w:szCs w:val="20"/>
          <w:color w:val="auto"/>
        </w:rPr>
      </w:pPr>
    </w:p>
    <w:p>
      <w:pPr>
        <w:jc w:val="both"/>
        <w:ind w:firstLine="8"/>
        <w:spacing w:after="0" w:line="236" w:lineRule="auto"/>
        <w:tabs>
          <w:tab w:leader="none" w:pos="50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Permitted Use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Construction, installation and operation of the Data Center for the mining of digital assets and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ancillary uses, including, without limitation, providing Internet connectivity, co-location, battery storage facilities, datacenter and data storage services to third parties, and related office uses, all in accordance with the provisions of this Lease, all applicable Governmental Requirements (as defined below) and all Restrictions (as defined below) affecting the operation and use of the Data Center and the Premises. Tenant is prohibited from installing any wind generators or solar panels on the Premises, without the express written consent of Landlord. Any battery storage facilities shall be utilized for the Premises only and for no other purpose.</w:t>
      </w:r>
    </w:p>
    <w:p>
      <w:pPr>
        <w:spacing w:after="0" w:line="173" w:lineRule="exact"/>
        <w:rPr>
          <w:rFonts w:ascii="Times New Roman" w:cs="Times New Roman" w:eastAsia="Times New Roman" w:hAnsi="Times New Roman"/>
          <w:sz w:val="20"/>
          <w:szCs w:val="20"/>
          <w:color w:val="auto"/>
        </w:rPr>
      </w:pPr>
    </w:p>
    <w:p>
      <w:pPr>
        <w:ind w:firstLine="8"/>
        <w:spacing w:after="0" w:line="261" w:lineRule="auto"/>
        <w:tabs>
          <w:tab w:leader="none" w:pos="50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Governmental Requirements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All present and future laws, regulations, orders, permits, ordinances, rules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federal, state, municipal and local governments and governmental authorities.</w:t>
      </w:r>
    </w:p>
    <w:p>
      <w:pPr>
        <w:spacing w:after="0" w:line="150" w:lineRule="exact"/>
        <w:rPr>
          <w:rFonts w:ascii="Times New Roman" w:cs="Times New Roman" w:eastAsia="Times New Roman" w:hAnsi="Times New Roman"/>
          <w:sz w:val="20"/>
          <w:szCs w:val="20"/>
          <w:color w:val="auto"/>
        </w:rPr>
      </w:pPr>
    </w:p>
    <w:p>
      <w:pPr>
        <w:jc w:val="both"/>
        <w:ind w:firstLine="8"/>
        <w:spacing w:after="0" w:line="246" w:lineRule="auto"/>
        <w:tabs>
          <w:tab w:leader="none" w:pos="50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Restrictions</w:t>
      </w:r>
      <w:r>
        <w:rPr>
          <w:rFonts w:ascii="Times New Roman" w:cs="Times New Roman" w:eastAsia="Times New Roman" w:hAnsi="Times New Roman"/>
          <w:sz w:val="22"/>
          <w:szCs w:val="22"/>
          <w:color w:val="auto"/>
        </w:rPr>
        <w:t>”: All applicable matters of record affecting and restricting the Project, including any covenants, conditions, declarations, restrictions, and easements applicable to the Project that are recorded in the real property records of the county in which the Project is located at any time and from time to time and as amended and modified at any time and from time to time.</w:t>
      </w:r>
    </w:p>
    <w:p>
      <w:pPr>
        <w:spacing w:after="0" w:line="165" w:lineRule="exact"/>
        <w:rPr>
          <w:rFonts w:ascii="Times New Roman" w:cs="Times New Roman" w:eastAsia="Times New Roman" w:hAnsi="Times New Roman"/>
          <w:sz w:val="20"/>
          <w:szCs w:val="20"/>
          <w:color w:val="auto"/>
        </w:rPr>
      </w:pPr>
    </w:p>
    <w:p>
      <w:pPr>
        <w:jc w:val="both"/>
        <w:ind w:firstLine="8"/>
        <w:spacing w:after="0" w:line="233" w:lineRule="auto"/>
        <w:tabs>
          <w:tab w:leader="none" w:pos="50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Impositions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All real estate taxes, assessments, water and sewer rates, utility charges, rents and charges, use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occupancy taxes, license and permit fees, payments in lieu of taxes, and other governmental levies and charges, general and special, ordinary and extraordinary, unforeseen as well as foreseen, of any kind and nature which are assessed, levied, confirmed, imposed or become a lien upon any part of the Land, the Data Center or other portion of the Premises, or are payable out of the rent or income received by or for the account of Tenant for any use or occupancy of any part of the Land, the Data Center or the Premises by another party, including, without limitation, any rollback, greenbelt or similar deferred taxes which are assessed after the Commencement Date, but relate to time periods prior to the Commencement Date by reason of a change in zoning, use or ownership of the Premises; (iii) any assessments for special improvements to the Land, including but not limited to the widening of exterior roads, the installation of or hook up to sewer lines, sanitary and storm drainage systems and other utility lines and installations, whether assessed prior to or after the Commencement Date; or (iv); or any fees or other sums paid to a governmental authority in consideration of obtaining any utility service to the Premises and/or the Land, including, but not limited to, impact fees. Notwithstanding the foregoing, “</w:t>
      </w:r>
      <w:r>
        <w:rPr>
          <w:rFonts w:ascii="Times New Roman" w:cs="Times New Roman" w:eastAsia="Times New Roman" w:hAnsi="Times New Roman"/>
          <w:sz w:val="22"/>
          <w:szCs w:val="22"/>
          <w:b w:val="1"/>
          <w:bCs w:val="1"/>
          <w:u w:val="single" w:color="auto"/>
          <w:color w:val="auto"/>
        </w:rPr>
        <w:t>Impositions</w:t>
      </w:r>
      <w:r>
        <w:rPr>
          <w:rFonts w:ascii="Times New Roman" w:cs="Times New Roman" w:eastAsia="Times New Roman" w:hAnsi="Times New Roman"/>
          <w:sz w:val="22"/>
          <w:szCs w:val="22"/>
          <w:color w:val="auto"/>
        </w:rPr>
        <w:t xml:space="preserve">”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include income, intangible, franchise, capital stock, estate or inheritance taxes.</w:t>
      </w:r>
    </w:p>
    <w:p>
      <w:pPr>
        <w:spacing w:after="0" w:line="178" w:lineRule="exact"/>
        <w:rPr>
          <w:rFonts w:ascii="Times New Roman" w:cs="Times New Roman" w:eastAsia="Times New Roman" w:hAnsi="Times New Roman"/>
          <w:sz w:val="20"/>
          <w:szCs w:val="20"/>
          <w:color w:val="auto"/>
        </w:rPr>
      </w:pPr>
    </w:p>
    <w:p>
      <w:pPr>
        <w:ind w:right="20" w:firstLine="8"/>
        <w:spacing w:after="0" w:line="261" w:lineRule="auto"/>
        <w:tabs>
          <w:tab w:leader="none" w:pos="50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Improvements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All improvements constructed or installed from time to time on or within the Premises,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the Data Center and any Alterations.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8" w:name="page199"/>
    <w:bookmarkEnd w:id="198"/>
    <w:p>
      <w:pPr>
        <w:ind w:right="300" w:firstLine="8"/>
        <w:spacing w:after="0" w:line="286" w:lineRule="auto"/>
        <w:tabs>
          <w:tab w:leader="none" w:pos="315"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jc w:val="both"/>
        <w:ind w:firstLine="8"/>
        <w:spacing w:after="0" w:line="246" w:lineRule="auto"/>
        <w:tabs>
          <w:tab w:leader="none" w:pos="50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Hazardous Substances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Any hazardous or toxic substance, material, chemical, pollutant, contaminant or waste, as those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are defined by any applicable Environmental Law, and any solid wastes, polychlorinated biphenyls, urea formaldehyde, asbestos, radioactive materials, radon, explosives, petroleum products and oil.</w:t>
      </w:r>
    </w:p>
    <w:p>
      <w:pPr>
        <w:spacing w:after="0" w:line="165" w:lineRule="exact"/>
        <w:rPr>
          <w:rFonts w:ascii="Times New Roman" w:cs="Times New Roman" w:eastAsia="Times New Roman" w:hAnsi="Times New Roman"/>
          <w:sz w:val="20"/>
          <w:szCs w:val="20"/>
          <w:color w:val="auto"/>
        </w:rPr>
      </w:pPr>
    </w:p>
    <w:p>
      <w:pPr>
        <w:jc w:val="both"/>
        <w:ind w:firstLine="8"/>
        <w:spacing w:after="0" w:line="238" w:lineRule="auto"/>
        <w:tabs>
          <w:tab w:leader="none" w:pos="50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All federal, state, and local laws, regulations, orders, permits, ordinances or other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exist now or as may exist after the Lease Date, concerning protection of human health, safety and the environment, all as may be amended from time to time, including, without limitation, the Comprehensive Environmental Response, Compensation and Liability Act, 42 U.S.C. 9601 et seq. ("</w:t>
      </w:r>
      <w:r>
        <w:rPr>
          <w:rFonts w:ascii="Times New Roman" w:cs="Times New Roman" w:eastAsia="Times New Roman" w:hAnsi="Times New Roman"/>
          <w:sz w:val="22"/>
          <w:szCs w:val="22"/>
          <w:b w:val="1"/>
          <w:bCs w:val="1"/>
          <w:u w:val="single" w:color="auto"/>
          <w:color w:val="auto"/>
        </w:rPr>
        <w:t>CERCLA</w:t>
      </w:r>
      <w:r>
        <w:rPr>
          <w:rFonts w:ascii="Times New Roman" w:cs="Times New Roman" w:eastAsia="Times New Roman" w:hAnsi="Times New Roman"/>
          <w:sz w:val="22"/>
          <w:szCs w:val="22"/>
          <w:color w:val="auto"/>
        </w:rPr>
        <w:t>") and the Resource Conservation and Recovery Act, 42 U.S.C. 6901 et seq. ("</w:t>
      </w:r>
      <w:r>
        <w:rPr>
          <w:rFonts w:ascii="Times New Roman" w:cs="Times New Roman" w:eastAsia="Times New Roman" w:hAnsi="Times New Roman"/>
          <w:sz w:val="22"/>
          <w:szCs w:val="22"/>
          <w:b w:val="1"/>
          <w:bCs w:val="1"/>
          <w:u w:val="single" w:color="auto"/>
          <w:color w:val="auto"/>
        </w:rPr>
        <w:t>RCRA</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980" w:right="339" w:bottom="1440" w:gutter="0" w:footer="0" w:header="0"/>
        </w:sectPr>
      </w:pPr>
    </w:p>
    <w:p>
      <w:pPr>
        <w:spacing w:after="0" w:line="175" w:lineRule="exact"/>
        <w:rPr>
          <w:sz w:val="20"/>
          <w:szCs w:val="20"/>
          <w:color w:val="auto"/>
        </w:rPr>
      </w:pPr>
    </w:p>
    <w:p>
      <w:pPr>
        <w:ind w:firstLine="8"/>
        <w:spacing w:after="0" w:line="246" w:lineRule="auto"/>
        <w:tabs>
          <w:tab w:leader="none" w:pos="50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Contamination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below, into or on Environmental Law.</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spacing w:after="0" w:line="258" w:lineRule="auto"/>
        <w:rPr>
          <w:sz w:val="20"/>
          <w:szCs w:val="20"/>
          <w:color w:val="auto"/>
        </w:rPr>
      </w:pPr>
      <w:r>
        <w:rPr>
          <w:rFonts w:ascii="Times New Roman" w:cs="Times New Roman" w:eastAsia="Times New Roman" w:hAnsi="Times New Roman"/>
          <w:sz w:val="22"/>
          <w:szCs w:val="22"/>
          <w:color w:val="auto"/>
        </w:rPr>
        <w:t>The presence of, or release of, Hazardous Substances into any environmental media from, upon, any portion of the Premises so as to require remediation, cleanup or investigation under any</w:t>
      </w:r>
    </w:p>
    <w:p>
      <w:pPr>
        <w:spacing w:after="0" w:line="396" w:lineRule="exact"/>
        <w:rPr>
          <w:sz w:val="20"/>
          <w:szCs w:val="20"/>
          <w:color w:val="auto"/>
        </w:rPr>
      </w:pPr>
    </w:p>
    <w:p>
      <w:pPr>
        <w:sectPr>
          <w:pgSz w:w="11900" w:h="16838" w:orient="portrait"/>
          <w:cols w:equalWidth="0" w:num="2">
            <w:col w:w="2360" w:space="20"/>
            <w:col w:w="8860"/>
          </w:cols>
          <w:pgMar w:left="320" w:top="980" w:right="339" w:bottom="1440" w:gutter="0" w:footer="0" w:header="0"/>
          <w:type w:val="continuous"/>
        </w:sectPr>
      </w:pPr>
    </w:p>
    <w:p>
      <w:pPr>
        <w:ind w:firstLine="8"/>
        <w:spacing w:after="0" w:line="261" w:lineRule="auto"/>
        <w:tabs>
          <w:tab w:leader="none" w:pos="50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Tenant’s Affiliates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subsidiaries and affiliates of Tenant and all agents, contractors, employees, vendors, customers,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licensees or invitees of Tenant and such subsidiaries and affiliates.</w:t>
      </w:r>
    </w:p>
    <w:p>
      <w:pPr>
        <w:spacing w:after="0" w:line="150" w:lineRule="exact"/>
        <w:rPr>
          <w:rFonts w:ascii="Times New Roman" w:cs="Times New Roman" w:eastAsia="Times New Roman" w:hAnsi="Times New Roman"/>
          <w:sz w:val="20"/>
          <w:szCs w:val="20"/>
          <w:color w:val="auto"/>
        </w:rPr>
      </w:pPr>
    </w:p>
    <w:p>
      <w:pPr>
        <w:jc w:val="both"/>
        <w:ind w:firstLine="8"/>
        <w:spacing w:after="0" w:line="237" w:lineRule="auto"/>
        <w:tabs>
          <w:tab w:leader="none" w:pos="50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Institutional Lender</w:t>
      </w:r>
      <w:r>
        <w:rPr>
          <w:rFonts w:ascii="Times New Roman" w:cs="Times New Roman" w:eastAsia="Times New Roman" w:hAnsi="Times New Roman"/>
          <w:sz w:val="22"/>
          <w:szCs w:val="22"/>
          <w:color w:val="auto"/>
        </w:rPr>
        <w:t>” shall mean a savings and loan association, a savings bank, a commercial bank or trust company, whether acting for itself or in a representative capacity for an institution encompassed within this definition, an insurance company, whether acting for itself or in a representative capacity for an institution encompassed within this definition, a real estate investment trust sponsored by an entity which qualifies as an Institutional Lender, an educational, religious or charitable institution, an endowment fund, a state, municipal or private employees’ welfare, pension or retirement fund or system, or an investment banking firm or other financial institution.</w:t>
      </w:r>
    </w:p>
    <w:p>
      <w:pPr>
        <w:spacing w:after="0" w:line="173" w:lineRule="exact"/>
        <w:rPr>
          <w:rFonts w:ascii="Times New Roman" w:cs="Times New Roman" w:eastAsia="Times New Roman" w:hAnsi="Times New Roman"/>
          <w:sz w:val="20"/>
          <w:szCs w:val="20"/>
          <w:color w:val="auto"/>
        </w:rPr>
      </w:pPr>
    </w:p>
    <w:p>
      <w:pPr>
        <w:ind w:firstLine="8"/>
        <w:spacing w:after="0" w:line="261" w:lineRule="auto"/>
        <w:tabs>
          <w:tab w:leader="none" w:pos="50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Business Day(s)</w:t>
      </w:r>
      <w:r>
        <w:rPr>
          <w:rFonts w:ascii="Times New Roman" w:cs="Times New Roman" w:eastAsia="Times New Roman" w:hAnsi="Times New Roman"/>
          <w:sz w:val="22"/>
          <w:szCs w:val="22"/>
          <w:color w:val="auto"/>
        </w:rPr>
        <w:t>”: Monday through Friday of each week, exclusive of all holidays observed by financial institutions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Texas (“</w:t>
      </w:r>
      <w:r>
        <w:rPr>
          <w:rFonts w:ascii="Times New Roman" w:cs="Times New Roman" w:eastAsia="Times New Roman" w:hAnsi="Times New Roman"/>
          <w:sz w:val="22"/>
          <w:szCs w:val="22"/>
          <w:b w:val="1"/>
          <w:bCs w:val="1"/>
          <w:u w:val="single" w:color="auto"/>
          <w:color w:val="auto"/>
        </w:rPr>
        <w:t>Holidays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Notice Addresses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w:t>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With a copy to:</w:t>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Law Office of Chad Smith, P.C.</w:t>
      </w:r>
    </w:p>
    <w:p>
      <w:pPr>
        <w:ind w:left="2260"/>
        <w:spacing w:after="0" w:line="230" w:lineRule="auto"/>
        <w:rPr>
          <w:sz w:val="20"/>
          <w:szCs w:val="20"/>
          <w:color w:val="auto"/>
        </w:rPr>
      </w:pPr>
      <w:r>
        <w:rPr>
          <w:rFonts w:ascii="Times New Roman" w:cs="Times New Roman" w:eastAsia="Times New Roman" w:hAnsi="Times New Roman"/>
          <w:sz w:val="22"/>
          <w:szCs w:val="22"/>
          <w:color w:val="auto"/>
        </w:rPr>
        <w:t>8008 Slide Road, Suite 33</w:t>
      </w:r>
    </w:p>
    <w:p>
      <w:pPr>
        <w:ind w:left="2260"/>
        <w:spacing w:after="0"/>
        <w:rPr>
          <w:sz w:val="20"/>
          <w:szCs w:val="20"/>
          <w:color w:val="auto"/>
        </w:rPr>
      </w:pPr>
      <w:r>
        <w:rPr>
          <w:rFonts w:ascii="Times New Roman" w:cs="Times New Roman" w:eastAsia="Times New Roman" w:hAnsi="Times New Roman"/>
          <w:sz w:val="22"/>
          <w:szCs w:val="22"/>
          <w:color w:val="auto"/>
        </w:rPr>
        <w:t>Lubbock, Texas 79424</w:t>
      </w:r>
    </w:p>
    <w:p>
      <w:pPr>
        <w:spacing w:after="0" w:line="208" w:lineRule="exact"/>
        <w:rPr>
          <w:sz w:val="20"/>
          <w:szCs w:val="20"/>
          <w:color w:val="auto"/>
        </w:rPr>
      </w:pPr>
    </w:p>
    <w:p>
      <w:pPr>
        <w:ind w:left="1500"/>
        <w:spacing w:after="0" w:line="307" w:lineRule="auto"/>
        <w:rPr>
          <w:sz w:val="20"/>
          <w:szCs w:val="20"/>
          <w:color w:val="auto"/>
        </w:rPr>
      </w:pPr>
      <w:r>
        <w:rPr>
          <w:rFonts w:ascii="Times New Roman" w:cs="Times New Roman" w:eastAsia="Times New Roman" w:hAnsi="Times New Roman"/>
          <w:sz w:val="20"/>
          <w:szCs w:val="20"/>
          <w:color w:val="auto"/>
        </w:rPr>
        <w:t xml:space="preserve">Rent (defined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shall be payable to the order of Landlord at the following address (which payment address may be changed by not less than 10 days’ prior notice from Landlord to Tenant regarding same):</w:t>
      </w:r>
    </w:p>
    <w:p>
      <w:pPr>
        <w:spacing w:after="0" w:line="11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________________</w:t>
      </w:r>
    </w:p>
    <w:p>
      <w:pPr>
        <w:spacing w:after="0" w:line="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________________</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99" w:name="page200"/>
    <w:bookmarkEnd w:id="199"/>
    <w:p>
      <w:pPr>
        <w:ind w:right="300" w:firstLine="8"/>
        <w:spacing w:after="0" w:line="286" w:lineRule="auto"/>
        <w:tabs>
          <w:tab w:leader="none" w:pos="315"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________________</w:t>
      </w:r>
    </w:p>
    <w:p>
      <w:pPr>
        <w:spacing w:after="0" w:line="340" w:lineRule="exact"/>
        <w:rPr>
          <w:sz w:val="20"/>
          <w:szCs w:val="20"/>
          <w:color w:val="auto"/>
        </w:rPr>
      </w:pPr>
    </w:p>
    <w:p>
      <w:pPr>
        <w:ind w:left="2260"/>
        <w:spacing w:after="0"/>
        <w:tabs>
          <w:tab w:leader="none" w:pos="3100" w:val="left"/>
        </w:tabs>
        <w:rPr>
          <w:sz w:val="20"/>
          <w:szCs w:val="20"/>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Trinity Mining Group, Inc.</w:t>
      </w:r>
    </w:p>
    <w:p>
      <w:pPr>
        <w:spacing w:after="0" w:line="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105 Nursery Lane, Suite 110</w:t>
      </w:r>
    </w:p>
    <w:p>
      <w:pPr>
        <w:ind w:left="3120"/>
        <w:spacing w:after="0" w:line="230" w:lineRule="auto"/>
        <w:rPr>
          <w:sz w:val="20"/>
          <w:szCs w:val="20"/>
          <w:color w:val="auto"/>
        </w:rPr>
      </w:pPr>
      <w:r>
        <w:rPr>
          <w:rFonts w:ascii="Times New Roman" w:cs="Times New Roman" w:eastAsia="Times New Roman" w:hAnsi="Times New Roman"/>
          <w:sz w:val="22"/>
          <w:szCs w:val="22"/>
          <w:color w:val="auto"/>
        </w:rPr>
        <w:t>Fort Worth, Texas 76107</w:t>
      </w:r>
    </w:p>
    <w:p>
      <w:pPr>
        <w:ind w:left="3120"/>
        <w:spacing w:after="0"/>
        <w:rPr>
          <w:sz w:val="20"/>
          <w:szCs w:val="20"/>
          <w:color w:val="auto"/>
        </w:rPr>
      </w:pPr>
      <w:r>
        <w:rPr>
          <w:rFonts w:ascii="Times New Roman" w:cs="Times New Roman" w:eastAsia="Times New Roman" w:hAnsi="Times New Roman"/>
          <w:sz w:val="22"/>
          <w:szCs w:val="22"/>
          <w:color w:val="auto"/>
        </w:rPr>
        <w:t>Attn: ***</w:t>
      </w:r>
    </w:p>
    <w:p>
      <w:pPr>
        <w:spacing w:after="0" w:line="312" w:lineRule="exact"/>
        <w:rPr>
          <w:sz w:val="20"/>
          <w:szCs w:val="20"/>
          <w:color w:val="auto"/>
        </w:rPr>
      </w:pPr>
    </w:p>
    <w:p>
      <w:pPr>
        <w:ind w:firstLine="8"/>
        <w:spacing w:after="0" w:line="261" w:lineRule="auto"/>
        <w:tabs>
          <w:tab w:leader="none" w:pos="509"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Lease of Premises</w:t>
      </w:r>
      <w:r>
        <w:rPr>
          <w:rFonts w:ascii="Times New Roman" w:cs="Times New Roman" w:eastAsia="Times New Roman" w:hAnsi="Times New Roman"/>
          <w:sz w:val="22"/>
          <w:szCs w:val="22"/>
          <w:color w:val="auto"/>
        </w:rPr>
        <w:t>. In consideration of the Rent and the mutual covenants contained herein, Landlord leases to Tenant,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leases and accepts from Landlord, the Premises upon all the terms and provisions of this Lease.</w:t>
      </w:r>
    </w:p>
    <w:p>
      <w:pPr>
        <w:spacing w:after="0" w:line="150" w:lineRule="exact"/>
        <w:rPr>
          <w:rFonts w:ascii="Times New Roman" w:cs="Times New Roman" w:eastAsia="Times New Roman" w:hAnsi="Times New Roman"/>
          <w:sz w:val="20"/>
          <w:szCs w:val="20"/>
          <w:color w:val="auto"/>
        </w:rPr>
      </w:pPr>
    </w:p>
    <w:p>
      <w:pPr>
        <w:jc w:val="both"/>
        <w:ind w:firstLine="8"/>
        <w:spacing w:after="0" w:line="258" w:lineRule="auto"/>
        <w:tabs>
          <w:tab w:leader="none" w:pos="509"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Additional Acreage</w:t>
      </w:r>
      <w:r>
        <w:rPr>
          <w:rFonts w:ascii="Times New Roman" w:cs="Times New Roman" w:eastAsia="Times New Roman" w:hAnsi="Times New Roman"/>
          <w:sz w:val="20"/>
          <w:szCs w:val="20"/>
          <w:color w:val="auto"/>
        </w:rPr>
        <w:t>. The Additional Acreage shall be included in the Land; however, the inclusion of the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Acreage in the Land shall be subject to Tenant’s sole, reasonable determination that the Additional Acreage is located in an area and is of suitable composition for Tenant’s needs pursuant to the Permitted Use hereunder. Tenant shall obtain a survey (the “Survey”) prepared by a Texas licensed surveyor of the Additional Acreage at Tenant’s sole cost and expense and the Survey shall provide the final legal description, metes and bounds, and depiction of the Additional Acreage. Upon obtaining the final Survey, Tenant shall provide Landlord with a copy thereof and Tenant and Landlord shall (i) enter into an amendment of this Lease to replace Exhibit A-1 with the legal description provided in the Survey and (ii) enter into and file of record in the Real Property Records of ***, Texas, an amended Memorandum of Lease replacing the legal description of the Additional Acreage therein with the legal description set forth in the Survey. Upon such amendment to the Lease, Base Rent shall be adjusted to reflect the correct acreage and, notwithstanding anything to the contrary contained in the Lease, any excess Base Rent paid by Tenant shall be repaid to Tenant in the form of a credit against future payments of Base Rent. </w:t>
      </w:r>
      <w:r>
        <w:rPr>
          <w:rFonts w:ascii="Times New Roman" w:cs="Times New Roman" w:eastAsia="Times New Roman" w:hAnsi="Times New Roman"/>
          <w:sz w:val="20"/>
          <w:szCs w:val="20"/>
          <w:b w:val="1"/>
          <w:bCs w:val="1"/>
          <w:color w:val="auto"/>
        </w:rPr>
        <w:t>Memorandum of Lease</w:t>
      </w:r>
      <w:r>
        <w:rPr>
          <w:rFonts w:ascii="Times New Roman" w:cs="Times New Roman" w:eastAsia="Times New Roman" w:hAnsi="Times New Roman"/>
          <w:sz w:val="20"/>
          <w:szCs w:val="20"/>
          <w:color w:val="auto"/>
        </w:rPr>
        <w:t>. Upon the execution of this Lease, the Parties hereto shall also execute the Memorandum of Lease (“</w:t>
      </w:r>
      <w:r>
        <w:rPr>
          <w:rFonts w:ascii="Times New Roman" w:cs="Times New Roman" w:eastAsia="Times New Roman" w:hAnsi="Times New Roman"/>
          <w:sz w:val="20"/>
          <w:szCs w:val="20"/>
          <w:b w:val="1"/>
          <w:bCs w:val="1"/>
          <w:color w:val="auto"/>
        </w:rPr>
        <w:t>Memorandum of Lease</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Tenant shall cause the Memorandum of Lease to be filed in the Real Property Records of ***, Texas.</w:t>
      </w:r>
    </w:p>
    <w:p>
      <w:pPr>
        <w:spacing w:after="0" w:line="200" w:lineRule="exact"/>
        <w:rPr>
          <w:rFonts w:ascii="Times New Roman" w:cs="Times New Roman" w:eastAsia="Times New Roman" w:hAnsi="Times New Roman"/>
          <w:sz w:val="19"/>
          <w:szCs w:val="19"/>
          <w:color w:val="auto"/>
        </w:rPr>
      </w:pPr>
    </w:p>
    <w:p>
      <w:pPr>
        <w:spacing w:after="0" w:line="204" w:lineRule="exact"/>
        <w:rPr>
          <w:rFonts w:ascii="Times New Roman" w:cs="Times New Roman" w:eastAsia="Times New Roman" w:hAnsi="Times New Roman"/>
          <w:sz w:val="19"/>
          <w:szCs w:val="19"/>
          <w:color w:val="auto"/>
        </w:rPr>
      </w:pPr>
    </w:p>
    <w:p>
      <w:pPr>
        <w:ind w:left="520" w:hanging="512"/>
        <w:spacing w:after="0"/>
        <w:tabs>
          <w:tab w:leader="none" w:pos="5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8"/>
        <w:spacing w:after="0" w:line="244" w:lineRule="auto"/>
        <w:tabs>
          <w:tab w:leader="none" w:pos="509"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The lease of the Premises by Landlord to Tenant will be for an initial term commencing on the Commencement Date and ending on the Expiration Date (the “</w:t>
      </w:r>
      <w:r>
        <w:rPr>
          <w:rFonts w:ascii="Times New Roman" w:cs="Times New Roman" w:eastAsia="Times New Roman" w:hAnsi="Times New Roman"/>
          <w:sz w:val="22"/>
          <w:szCs w:val="22"/>
          <w:b w:val="1"/>
          <w:bCs w:val="1"/>
          <w:u w:val="single" w:color="auto"/>
          <w:color w:val="auto"/>
        </w:rPr>
        <w:t>Initial Term</w:t>
      </w:r>
      <w:r>
        <w:rPr>
          <w:rFonts w:ascii="Times New Roman" w:cs="Times New Roman" w:eastAsia="Times New Roman" w:hAnsi="Times New Roman"/>
          <w:sz w:val="22"/>
          <w:szCs w:val="22"/>
          <w:color w:val="auto"/>
        </w:rPr>
        <w:t>”). The Initial Term, together with all renewals and extensions thereof, if any, is sometimes referred to in this Lease as the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0"/>
          <w:szCs w:val="20"/>
          <w:color w:val="auto"/>
        </w:rPr>
      </w:pPr>
    </w:p>
    <w:p>
      <w:pPr>
        <w:jc w:val="both"/>
        <w:ind w:firstLine="8"/>
        <w:spacing w:after="0" w:line="235" w:lineRule="auto"/>
        <w:tabs>
          <w:tab w:leader="none" w:pos="509"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Extension Terms</w:t>
      </w:r>
      <w:r>
        <w:rPr>
          <w:rFonts w:ascii="Times New Roman" w:cs="Times New Roman" w:eastAsia="Times New Roman" w:hAnsi="Times New Roman"/>
          <w:sz w:val="22"/>
          <w:szCs w:val="22"/>
          <w:color w:val="auto"/>
        </w:rPr>
        <w:t>. Tenant shall have four (4) consecutive options to extend the Term (each such option being herein sometimes referred to as an “</w:t>
      </w:r>
      <w:r>
        <w:rPr>
          <w:rFonts w:ascii="Times New Roman" w:cs="Times New Roman" w:eastAsia="Times New Roman" w:hAnsi="Times New Roman"/>
          <w:sz w:val="22"/>
          <w:szCs w:val="22"/>
          <w:b w:val="1"/>
          <w:bCs w:val="1"/>
          <w:u w:val="single" w:color="auto"/>
          <w:color w:val="auto"/>
        </w:rPr>
        <w:t>Extension Option</w:t>
      </w:r>
      <w:r>
        <w:rPr>
          <w:rFonts w:ascii="Times New Roman" w:cs="Times New Roman" w:eastAsia="Times New Roman" w:hAnsi="Times New Roman"/>
          <w:sz w:val="22"/>
          <w:szCs w:val="22"/>
          <w:color w:val="auto"/>
        </w:rPr>
        <w:t>”) for a period of ten (10) Lease Years (each an “</w:t>
      </w:r>
      <w:r>
        <w:rPr>
          <w:rFonts w:ascii="Times New Roman" w:cs="Times New Roman" w:eastAsia="Times New Roman" w:hAnsi="Times New Roman"/>
          <w:sz w:val="22"/>
          <w:szCs w:val="22"/>
          <w:b w:val="1"/>
          <w:bCs w:val="1"/>
          <w:u w:val="single" w:color="auto"/>
          <w:color w:val="auto"/>
        </w:rPr>
        <w:t>Extension Term</w:t>
      </w:r>
      <w:r>
        <w:rPr>
          <w:rFonts w:ascii="Times New Roman" w:cs="Times New Roman" w:eastAsia="Times New Roman" w:hAnsi="Times New Roman"/>
          <w:sz w:val="22"/>
          <w:szCs w:val="22"/>
          <w:color w:val="auto"/>
        </w:rPr>
        <w:t>”). Each Extension Option shall be exercisable by Tenant’s delivery of written notice to Landlord (“</w:t>
      </w:r>
      <w:r>
        <w:rPr>
          <w:rFonts w:ascii="Times New Roman" w:cs="Times New Roman" w:eastAsia="Times New Roman" w:hAnsi="Times New Roman"/>
          <w:sz w:val="22"/>
          <w:szCs w:val="22"/>
          <w:b w:val="1"/>
          <w:bCs w:val="1"/>
          <w:u w:val="single" w:color="auto"/>
          <w:color w:val="auto"/>
        </w:rPr>
        <w:t>Tenant’s Extension Notice</w:t>
      </w:r>
      <w:r>
        <w:rPr>
          <w:rFonts w:ascii="Times New Roman" w:cs="Times New Roman" w:eastAsia="Times New Roman" w:hAnsi="Times New Roman"/>
          <w:sz w:val="22"/>
          <w:szCs w:val="22"/>
          <w:color w:val="auto"/>
        </w:rPr>
        <w:t>”) not less than one (1) calendar year prior to the scheduled Expiration Date of the then current Term. It shall be a condition of the effectiveness of Tenant’s exercise of each Extension Option that no Event of Default by Tenant shall have occurred and be continuing at the time of exercise of the option or on the date the applicable Extension Term commences. If Tenant duly exercises an Extension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0" w:name="page201"/>
    <w:bookmarkEnd w:id="200"/>
    <w:p>
      <w:pPr>
        <w:ind w:right="300" w:firstLine="8"/>
        <w:spacing w:after="0" w:line="286" w:lineRule="auto"/>
        <w:tabs>
          <w:tab w:leader="none" w:pos="315"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 xml:space="preserve">Option in accordance with this Lease, the Term of this Lease shall be automatically extended for the applicable Extension Term, upon all of the terms, conditions and covenants set forth herein without the requirement of any further instrument to evidence such extension, and the Base Rent payable by Tenant during the applicable Extension Term shall be as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below; provided, however, that promptly following request by either Landlord or Tenant, the parties shall enter into an amendment of this Lease documenting the exercise of the applicable Extension Option and corresponding extension of the Expiration Date. All terms and conditions set forth in this Lease, including Tenant’s obligation to pay Rent (as hereafter defined and subject to the terms hereof), shall continue in full force and effect during the Extension Term. In the event Tenant fails to timely exercise an applicable Extension Option in accordance with the terms of this Lease, Tenant’s rights to extend the Term pursuant to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shall automatically be null and void and of no further force or effect.</w:t>
      </w:r>
    </w:p>
    <w:p>
      <w:pPr>
        <w:spacing w:after="0" w:line="176" w:lineRule="exact"/>
        <w:rPr>
          <w:sz w:val="20"/>
          <w:szCs w:val="20"/>
          <w:color w:val="auto"/>
        </w:rPr>
      </w:pPr>
    </w:p>
    <w:p>
      <w:pPr>
        <w:ind w:left="520" w:hanging="512"/>
        <w:spacing w:after="0"/>
        <w:tabs>
          <w:tab w:leader="none" w:pos="5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0"/>
          <w:szCs w:val="20"/>
          <w:color w:val="auto"/>
        </w:rPr>
      </w:pPr>
    </w:p>
    <w:p>
      <w:pPr>
        <w:jc w:val="both"/>
        <w:ind w:firstLine="749"/>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u w:val="single" w:color="auto"/>
          <w:color w:val="auto"/>
        </w:rPr>
        <w:t>Base Rent</w:t>
      </w:r>
      <w:r>
        <w:rPr>
          <w:rFonts w:ascii="Times New Roman" w:cs="Times New Roman" w:eastAsia="Times New Roman" w:hAnsi="Times New Roman"/>
          <w:sz w:val="21"/>
          <w:szCs w:val="21"/>
          <w:color w:val="auto"/>
        </w:rPr>
        <w:t>. As consideration for this Lease, on or before the Commencement Date and, as applicable, on or before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first day of each Extension Term, Tenant shall pay Landlord, in advance and without any demand, setoff or deduction, the following total amounts of Base Rent payable for the Initial Term and, as applicable, each Extension Term:</w:t>
      </w:r>
    </w:p>
    <w:p>
      <w:pPr>
        <w:spacing w:after="0" w:line="156" w:lineRule="exact"/>
        <w:rPr>
          <w:sz w:val="20"/>
          <w:szCs w:val="20"/>
          <w:color w:val="auto"/>
        </w:rPr>
      </w:pPr>
    </w:p>
    <w:p>
      <w:pPr>
        <w:ind w:left="2260" w:hanging="755"/>
        <w:spacing w:after="0" w:line="237" w:lineRule="auto"/>
        <w:tabs>
          <w:tab w:leader="none" w:pos="197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Base Rent for the Initial Term shall be $2,100,000.00, which is the amount equal to the product of (a) the total acreage of the Land (70 acres, more or less), multiplied by (b) $3,000.00 per acre per year</w:t>
      </w:r>
      <w:r>
        <w:rPr>
          <w:rFonts w:ascii="Times New Roman" w:cs="Times New Roman" w:eastAsia="Times New Roman" w:hAnsi="Times New Roman"/>
          <w:sz w:val="19"/>
          <w:szCs w:val="19"/>
          <w:color w:val="auto"/>
          <w:strike w:val="1"/>
        </w:rPr>
        <w:t>.</w:t>
      </w:r>
      <w:r>
        <w:rPr>
          <w:rFonts w:ascii="Times New Roman" w:cs="Times New Roman" w:eastAsia="Times New Roman" w:hAnsi="Times New Roman"/>
          <w:sz w:val="22"/>
          <w:szCs w:val="22"/>
          <w:color w:val="auto"/>
        </w:rPr>
        <w:t>, multiplied by (c) 10 years, to be paid in the following installments:</w:t>
      </w:r>
    </w:p>
    <w:p>
      <w:pPr>
        <w:ind w:left="1940"/>
        <w:spacing w:after="0" w:line="232" w:lineRule="auto"/>
        <w:rPr>
          <w:sz w:val="20"/>
          <w:szCs w:val="20"/>
          <w:color w:val="auto"/>
        </w:rPr>
      </w:pPr>
      <w:r>
        <w:rPr>
          <w:rFonts w:ascii="Times New Roman" w:cs="Times New Roman" w:eastAsia="Times New Roman" w:hAnsi="Times New Roman"/>
          <w:sz w:val="22"/>
          <w:szCs w:val="22"/>
          <w:color w:val="auto"/>
        </w:rPr>
        <w:t>Year 1 – $150,000, which has previously been provided to and accepted by Landlord</w:t>
      </w:r>
    </w:p>
    <w:p>
      <w:pPr>
        <w:ind w:left="1940"/>
        <w:spacing w:after="0" w:line="231" w:lineRule="auto"/>
        <w:rPr>
          <w:sz w:val="20"/>
          <w:szCs w:val="20"/>
          <w:color w:val="auto"/>
        </w:rPr>
      </w:pPr>
      <w:r>
        <w:rPr>
          <w:rFonts w:ascii="Times New Roman" w:cs="Times New Roman" w:eastAsia="Times New Roman" w:hAnsi="Times New Roman"/>
          <w:sz w:val="22"/>
          <w:szCs w:val="22"/>
          <w:color w:val="auto"/>
        </w:rPr>
        <w:t>Year 2 - $210,000</w:t>
      </w:r>
    </w:p>
    <w:p>
      <w:pPr>
        <w:ind w:left="1940"/>
        <w:spacing w:after="0"/>
        <w:rPr>
          <w:sz w:val="20"/>
          <w:szCs w:val="20"/>
          <w:color w:val="auto"/>
        </w:rPr>
      </w:pPr>
      <w:r>
        <w:rPr>
          <w:rFonts w:ascii="Times New Roman" w:cs="Times New Roman" w:eastAsia="Times New Roman" w:hAnsi="Times New Roman"/>
          <w:sz w:val="22"/>
          <w:szCs w:val="22"/>
          <w:color w:val="auto"/>
        </w:rPr>
        <w:t>Year 3 to 10 - $1,740,000</w:t>
      </w:r>
    </w:p>
    <w:p>
      <w:pPr>
        <w:spacing w:after="0" w:line="208" w:lineRule="exact"/>
        <w:rPr>
          <w:sz w:val="20"/>
          <w:szCs w:val="20"/>
          <w:color w:val="auto"/>
        </w:rPr>
      </w:pPr>
    </w:p>
    <w:p>
      <w:pPr>
        <w:ind w:left="2260" w:hanging="755"/>
        <w:spacing w:after="0" w:line="237" w:lineRule="auto"/>
        <w:tabs>
          <w:tab w:leader="none" w:pos="194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Extension Terms</w:t>
      </w:r>
      <w:r>
        <w:rPr>
          <w:rFonts w:ascii="Times New Roman" w:cs="Times New Roman" w:eastAsia="Times New Roman" w:hAnsi="Times New Roman"/>
          <w:sz w:val="22"/>
          <w:szCs w:val="22"/>
          <w:color w:val="auto"/>
        </w:rPr>
        <w:t>: Base Rent for each Extension Term shall be the product of the then current total Base Rent multiplied by 1.20. By way of example only, the Base Rent for the first Extension Term shall be $2,520,000, which is the product of $2,100,000 multiplied by 1.2. Each subsequent Extension Term shall be a 20% increase. For example, the second extension would be $2,520,000 multiplied by 1.20 or $3,024,000.</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Parties acknowledge that the Base Rent for Year 1 of the Initial Term has already been delivered to Landlord and Landlord has accepted said payment in full satisfaction thereof. Notwithstanding the foregoing, $60,000.00 shall be paid to Landlord upon execution of this Lease for the Additional Acreage for Year 1. The Base Rent for Year 2 shall be paid on or before the second anniversary of the Lease Date. The entirety of the Base Rent for the third through tenth year of the Initial Term shall be paid in a one-time lump sum on or before the third anniversary of the Lease Date in satisfaction for the remaining term of the Initial Term. No further Base Rent shall be due or payable during the Initial Term. Base Rent shall be paid to Landlord, at Landlord’s option, either by cashier’s check sent to the payment address for Landlord set forth in Section 1.S or in immediately available federal funds (i.e., lawful money of the United States of America) sent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1" w:name="page202"/>
    <w:bookmarkEnd w:id="201"/>
    <w:p>
      <w:pPr>
        <w:ind w:right="300" w:firstLine="8"/>
        <w:spacing w:after="0" w:line="286" w:lineRule="auto"/>
        <w:tabs>
          <w:tab w:leader="none" w:pos="315"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via such wiring instructions as Landlord may from time to time designate by notice to Tenant. Base Rent for partial calendar months shall be apportioned to reflect the number of days of the Term in such calendar month. Tenant's obligation with respect to reimbursement of Impositions and such other Additional Rent appropriately requiring adjustment shall also be prorated for any Fractional Month.</w:t>
      </w:r>
    </w:p>
    <w:p>
      <w:pPr>
        <w:spacing w:after="0" w:line="179" w:lineRule="exact"/>
        <w:rPr>
          <w:sz w:val="20"/>
          <w:szCs w:val="20"/>
          <w:color w:val="auto"/>
        </w:rPr>
      </w:pPr>
    </w:p>
    <w:p>
      <w:pPr>
        <w:jc w:val="both"/>
        <w:ind w:firstLine="8"/>
        <w:spacing w:after="0" w:line="232" w:lineRule="auto"/>
        <w:tabs>
          <w:tab w:leader="none" w:pos="509"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Payment/Contest of Impositions</w:t>
      </w:r>
      <w:r>
        <w:rPr>
          <w:rFonts w:ascii="Times New Roman" w:cs="Times New Roman" w:eastAsia="Times New Roman" w:hAnsi="Times New Roman"/>
          <w:sz w:val="22"/>
          <w:szCs w:val="22"/>
          <w:color w:val="auto"/>
        </w:rPr>
        <w:t>. Tenant shall pay all Impositions that are payable with respect to the Premises as and when such Impositions become due and payable. Landlord shall forward to Tenant a copy of all notices, invoices and statements relating to any Impositions. Upon ten (10) days’ prior written notice to Tenant, Landlord or its ground lessor may contest by appropriate legal proceedings the amount, validity, or application of any Impositions or liens thereof. Upon ten (10) days’ prior written notice to Landlord and Landlord’s ground lessor, Tenant may contest by appropriate legal proceedings the amount, validity or application of any Impositions, or may require Landlord or its ground lessor to contest such Impositions, at Tenant’s sole cost and expense (including, without limitation, Landlord’s and/or its ground lessor’s reasonable attorneys’ fees and reasonable fees payable to tax consultants and attorneys for consultation and contesting taxes). If Tenant contests any Impositions, Landlord shall reasonably cooperate in the institution and prosecution of any such proceedings of contesting Impositions and will execute any documents reasonably required therefor. Tenant will be responsible for any and all costs and expenses arising from any contest of Impositions performed by Tenant or by Landlord or its ground lessor at Tenant’s request (and without limiting the foregoing, Tenant shall be solely responsible for any increase in Impositions resulting from any such contest). All reductions, refunds, or rebates of Impositions paid or payable by Tenant shall belong to Tenant (less costs or expenses incurred by Landlord and/or its ground lessor) whether as a consequence of a Tenant proceeding or otherwise.</w:t>
      </w:r>
    </w:p>
    <w:p>
      <w:pPr>
        <w:spacing w:after="0" w:line="190" w:lineRule="exact"/>
        <w:rPr>
          <w:rFonts w:ascii="Times New Roman" w:cs="Times New Roman" w:eastAsia="Times New Roman" w:hAnsi="Times New Roman"/>
          <w:sz w:val="20"/>
          <w:szCs w:val="20"/>
          <w:color w:val="auto"/>
        </w:rPr>
      </w:pPr>
    </w:p>
    <w:p>
      <w:pPr>
        <w:jc w:val="both"/>
        <w:ind w:firstLine="8"/>
        <w:spacing w:after="0" w:line="234" w:lineRule="auto"/>
        <w:tabs>
          <w:tab w:leader="none" w:pos="509"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Prorations of Impositions</w:t>
      </w:r>
      <w:r>
        <w:rPr>
          <w:rFonts w:ascii="Times New Roman" w:cs="Times New Roman" w:eastAsia="Times New Roman" w:hAnsi="Times New Roman"/>
          <w:sz w:val="22"/>
          <w:szCs w:val="22"/>
          <w:color w:val="auto"/>
        </w:rPr>
        <w:t>. Any Imposition relating to a fiscal period of the taxing authority, a part of which period is included within the Term and a part of which is included in a period of time before the Commencement Date, or after the Expiration Date of this Lease, other than a termination of this Lease following an Event of Default by Tenant, shall (whether or not such Imposition shall be assessed, levied, confirmed, imposed or become a lien upon any part of the Premises, or shall become payable, during the Term) be adjusted between Landlord and Tenant as of the Commencement Date, or the Expiration Date of this Lease, as the case may be, so that Landlord shall be solely responsible for that portion of such Imposition which that part of such fiscal period included in the period of time before the Commencement Date, or after the Expiration Date, respectively, bears to such fiscal period and Tenant shall be responsible for reimbursement of the remainder thereof.</w:t>
      </w:r>
    </w:p>
    <w:p>
      <w:pPr>
        <w:spacing w:after="0" w:line="184" w:lineRule="exact"/>
        <w:rPr>
          <w:rFonts w:ascii="Times New Roman" w:cs="Times New Roman" w:eastAsia="Times New Roman" w:hAnsi="Times New Roman"/>
          <w:sz w:val="20"/>
          <w:szCs w:val="20"/>
          <w:color w:val="auto"/>
        </w:rPr>
      </w:pPr>
    </w:p>
    <w:p>
      <w:pPr>
        <w:jc w:val="both"/>
        <w:ind w:firstLine="8"/>
        <w:spacing w:after="0" w:line="264" w:lineRule="auto"/>
        <w:tabs>
          <w:tab w:leader="none" w:pos="50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Net Lease</w:t>
      </w:r>
      <w:r>
        <w:rPr>
          <w:rFonts w:ascii="Times New Roman" w:cs="Times New Roman" w:eastAsia="Times New Roman" w:hAnsi="Times New Roman"/>
          <w:sz w:val="20"/>
          <w:szCs w:val="20"/>
          <w:color w:val="auto"/>
        </w:rPr>
        <w:t>. This Lease shall be deemed and construed to be a "net lease" and: (i) except as may be otherwise expressly provided in this Lease, Tenant shall pay to Landlord, absolutely net throughout the Term, the Base Rent and, Additional Rent, free of any charges, assessments, Impositions or deductions of any kind and without abatement, deduction or set-off; and (ii) under no circumstances or conditions shall Landlord be required to furnish any utilities, services or facilities, or to make any repairs or any alterations in or to any of the Premises and the Improvements, nor shall Landlord have any liability for any interruption or cessation of such utilities or services. Except as may be otherwise expressly provided in this Lease Tenant hereby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2" w:name="page203"/>
    <w:bookmarkEnd w:id="202"/>
    <w:p>
      <w:pPr>
        <w:ind w:right="300" w:firstLine="8"/>
        <w:spacing w:after="0" w:line="286" w:lineRule="auto"/>
        <w:tabs>
          <w:tab w:leader="none" w:pos="315"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22"/>
          <w:szCs w:val="22"/>
          <w:color w:val="auto"/>
        </w:rPr>
        <w:t>assumes the full and sole responsibility for the operation, repair, maintenance and management of the Premises or the Improvements.</w:t>
      </w:r>
    </w:p>
    <w:p>
      <w:pPr>
        <w:spacing w:after="0" w:line="153" w:lineRule="exact"/>
        <w:rPr>
          <w:sz w:val="20"/>
          <w:szCs w:val="20"/>
          <w:color w:val="auto"/>
        </w:rPr>
      </w:pPr>
    </w:p>
    <w:p>
      <w:pPr>
        <w:ind w:left="520" w:hanging="512"/>
        <w:spacing w:after="0"/>
        <w:tabs>
          <w:tab w:leader="none" w:pos="52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Tenant’s Use of Premises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8"/>
        <w:spacing w:after="0" w:line="237" w:lineRule="auto"/>
        <w:tabs>
          <w:tab w:leader="none" w:pos="50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Permitted Use</w:t>
      </w:r>
      <w:r>
        <w:rPr>
          <w:rFonts w:ascii="Times New Roman" w:cs="Times New Roman" w:eastAsia="Times New Roman" w:hAnsi="Times New Roman"/>
          <w:sz w:val="22"/>
          <w:szCs w:val="22"/>
          <w:color w:val="auto"/>
        </w:rPr>
        <w:t>. The Premises shall be used for the Permitted Use and for no other use whatsoever. Tenant shall not use or permit the use of the Premises for any purpose which is, creates obnoxious odors (including tobacco smoke), or is dangerous to persons or property. Without affecting any limitations on Tenant’s rights or any of Tenant’s obligations under this Lease, Landlord acknowledges and agrees that, subject to Governmental Requirements and the terms of this Lease, Tenant shall have the right to operate its business in the Premises for the Permitted Use 24 hours a day, 365 days a year.</w:t>
      </w:r>
    </w:p>
    <w:p>
      <w:pPr>
        <w:spacing w:after="0" w:line="180" w:lineRule="exact"/>
        <w:rPr>
          <w:rFonts w:ascii="Times New Roman" w:cs="Times New Roman" w:eastAsia="Times New Roman" w:hAnsi="Times New Roman"/>
          <w:sz w:val="20"/>
          <w:szCs w:val="20"/>
          <w:color w:val="auto"/>
        </w:rPr>
      </w:pPr>
    </w:p>
    <w:p>
      <w:pPr>
        <w:jc w:val="both"/>
        <w:ind w:firstLine="8"/>
        <w:spacing w:after="0" w:line="259" w:lineRule="auto"/>
        <w:tabs>
          <w:tab w:leader="none" w:pos="509"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Compliance with Governmental Requirements and Restrictions</w:t>
      </w:r>
      <w:r>
        <w:rPr>
          <w:rFonts w:ascii="Times New Roman" w:cs="Times New Roman" w:eastAsia="Times New Roman" w:hAnsi="Times New Roman"/>
          <w:sz w:val="20"/>
          <w:szCs w:val="20"/>
          <w:color w:val="auto"/>
        </w:rPr>
        <w:t>. Tenant shall throughout the Term comply, and cause the Data Center, the Premises and Tenant’s business operations therein and thereon to comply, with all Governmental Requirements and all applicable Restrictions, the intention of the parties being that Tenant shall discharge and perform all the obligations of Landlord with respect to the Premises, so that at all times, except as may be otherwise specifically provided in this Lease, the rental of the Premises shall be net to Landlord without deductions or expenses on account of any Governmental Requirement or Restriction. Nothing herein shall permit Tenant to use any portion of the Premises in violation of any Governmental Requirements or Restrictions. Tenant expressly acknowledges and agrees that: (i) Landlord makes no representation or warranty that Tenant’s use of the Premises for the Permitted Use is permitted by Governmental Requirements or the Restrictions; and (ii) Tenant shall be solely responsible at Tenant’s cost for obtaining any all permits, licenses and approvals required under applicable Governmental Requirements for Tenant’s operations within the Premises for the Permitted Use.</w:t>
      </w:r>
    </w:p>
    <w:p>
      <w:pPr>
        <w:spacing w:after="0" w:line="161" w:lineRule="exact"/>
        <w:rPr>
          <w:rFonts w:ascii="Times New Roman" w:cs="Times New Roman" w:eastAsia="Times New Roman" w:hAnsi="Times New Roman"/>
          <w:sz w:val="19"/>
          <w:szCs w:val="19"/>
          <w:color w:val="auto"/>
        </w:rPr>
      </w:pPr>
    </w:p>
    <w:p>
      <w:pPr>
        <w:ind w:firstLine="8"/>
        <w:spacing w:after="0" w:line="258" w:lineRule="auto"/>
        <w:tabs>
          <w:tab w:leader="none" w:pos="50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Tenant will not permit liens of any nature to attach or exist against the Land (to the extent such liens arise by, through or under Tenant).</w:t>
      </w:r>
    </w:p>
    <w:p>
      <w:pPr>
        <w:spacing w:after="0" w:line="157" w:lineRule="exact"/>
        <w:rPr>
          <w:rFonts w:ascii="Times New Roman" w:cs="Times New Roman" w:eastAsia="Times New Roman" w:hAnsi="Times New Roman"/>
          <w:sz w:val="20"/>
          <w:szCs w:val="20"/>
          <w:color w:val="auto"/>
        </w:rPr>
      </w:pPr>
    </w:p>
    <w:p>
      <w:pPr>
        <w:jc w:val="both"/>
        <w:ind w:firstLine="8"/>
        <w:spacing w:after="0" w:line="239" w:lineRule="auto"/>
        <w:tabs>
          <w:tab w:leader="none" w:pos="50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Compliance with Rules and Regulations</w:t>
      </w:r>
      <w:r>
        <w:rPr>
          <w:rFonts w:ascii="Times New Roman" w:cs="Times New Roman" w:eastAsia="Times New Roman" w:hAnsi="Times New Roman"/>
          <w:sz w:val="22"/>
          <w:szCs w:val="22"/>
          <w:color w:val="auto"/>
        </w:rPr>
        <w:t>. Tenant shall comply with such commercially reasonable rules and regulations as Landlord may from time to time establish regarding the use and operation of the Data Center and the Premises. Landlord shall give Tenant reasonable prior written notice of all rules and regulations and changes thereto, and in the event of any conflict between such rules and regulations and the express terms of this Lease, this Lease shall control.</w:t>
      </w:r>
    </w:p>
    <w:p>
      <w:pPr>
        <w:spacing w:after="0" w:line="175" w:lineRule="exact"/>
        <w:rPr>
          <w:sz w:val="20"/>
          <w:szCs w:val="20"/>
          <w:color w:val="auto"/>
        </w:rPr>
      </w:pPr>
    </w:p>
    <w:p>
      <w:pPr>
        <w:ind w:left="520" w:hanging="512"/>
        <w:spacing w:after="0"/>
        <w:tabs>
          <w:tab w:leader="none" w:pos="5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Assignment and Subletting</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8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sublet the Premises or any part thereof or assign this Lease or any interest therein without the prior written consent of Landlord. Any such sublease or assignment attempted without Landlord's written consent shall be void and of no force and effect, at the option of Landlord.</w:t>
      </w:r>
    </w:p>
    <w:p>
      <w:pPr>
        <w:spacing w:after="0" w:line="172"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Landlord shall have the right to sell, assign or transfer the Lease, together with Landlord’s rights hereunder at any time to any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3" w:name="page204"/>
    <w:bookmarkEnd w:id="203"/>
    <w:p>
      <w:pPr>
        <w:ind w:right="300" w:firstLine="8"/>
        <w:spacing w:after="0" w:line="286" w:lineRule="auto"/>
        <w:tabs>
          <w:tab w:leader="none" w:pos="31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person or entity to whom Landlord contemporaneously transfers all of its right, title and interest in and to the Land, and who assumes all of Landlord’s rights and obligations hereunder, so long as Landlord provides notice of such sale, assignment or transfer to Tenant within five (5) days of the effectiveness of such sale, assignment or transfer. In the event Landlord sells, assigns or transfers all or a portion of the Land, the grantee shall take the Land subject to this Lease.</w:t>
      </w:r>
    </w:p>
    <w:p>
      <w:pPr>
        <w:spacing w:after="0" w:line="179" w:lineRule="exact"/>
        <w:rPr>
          <w:sz w:val="20"/>
          <w:szCs w:val="20"/>
          <w:color w:val="auto"/>
        </w:rPr>
      </w:pPr>
    </w:p>
    <w:p>
      <w:pPr>
        <w:jc w:val="both"/>
        <w:ind w:firstLine="757"/>
        <w:spacing w:after="0" w:line="235" w:lineRule="auto"/>
        <w:tabs>
          <w:tab w:leader="none" w:pos="1180"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Tenant shall have the right, without consent of Landlord, to assign a security interest in this Lease to a financing party of Tenant in connection with the financing of the construction, maintenance, repair and/or use of Premises and/or the Data Center. Additionally, the Parties acknowledge that any hosting agreements or third-party licensing agreements whereby Tenant agrees to keep in the Data Center and run as a host third-parties’ servers or hashing equipment in connection with Bitcoin or cryptocurrency mining, hashing, staking, or other methods of utilizing blockchain technology, shall not constitute an assignment or sublet of this Lease and shall not cause Tenant to be in default under this Lease. Subject to the foregoing, Tenant may not assign this Lease without Landlord’s consent.</w:t>
      </w:r>
    </w:p>
    <w:p>
      <w:pPr>
        <w:spacing w:after="0" w:line="17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0"/>
          <w:szCs w:val="20"/>
          <w:color w:val="auto"/>
        </w:rPr>
      </w:pPr>
    </w:p>
    <w:p>
      <w:pPr>
        <w:jc w:val="both"/>
        <w:ind w:firstLine="439"/>
        <w:spacing w:after="0" w:line="232" w:lineRule="auto"/>
        <w:tabs>
          <w:tab w:leader="none" w:pos="103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Insurance</w:t>
      </w:r>
      <w:r>
        <w:rPr>
          <w:rFonts w:ascii="Times New Roman" w:cs="Times New Roman" w:eastAsia="Times New Roman" w:hAnsi="Times New Roman"/>
          <w:sz w:val="22"/>
          <w:szCs w:val="22"/>
          <w:color w:val="auto"/>
        </w:rPr>
        <w:t>. From and after the Commencement Date, Tenant shall maintain the following insurance (“</w:t>
      </w:r>
      <w:r>
        <w:rPr>
          <w:rFonts w:ascii="Times New Roman" w:cs="Times New Roman" w:eastAsia="Times New Roman" w:hAnsi="Times New Roman"/>
          <w:sz w:val="22"/>
          <w:szCs w:val="22"/>
          <w:b w:val="1"/>
          <w:bCs w:val="1"/>
          <w:u w:val="single" w:color="auto"/>
          <w:color w:val="auto"/>
        </w:rPr>
        <w:t>Tenant’s Insurance</w:t>
      </w:r>
      <w:r>
        <w:rPr>
          <w:rFonts w:ascii="Times New Roman" w:cs="Times New Roman" w:eastAsia="Times New Roman" w:hAnsi="Times New Roman"/>
          <w:sz w:val="22"/>
          <w:szCs w:val="22"/>
          <w:color w:val="auto"/>
        </w:rPr>
        <w:t>”), at its sole cost and expense: (1) commercial general liability insurance applicable to the Premises and its appurtenances providing, on an occurrence basis, a per occurrence limit of no less than $1,000,000 and a $2,000,000 general aggregate limit; (2) causes of loss-special form (formerly “all risk”) property insurance, covering the Data Center and all other improvements and Alterations constructed and installed on the Land from time to time during the Term, and all of Tenant’s trade fixtures, equipment, furniture and other personal property located on or within the Premises (“</w:t>
      </w:r>
      <w:r>
        <w:rPr>
          <w:rFonts w:ascii="Times New Roman" w:cs="Times New Roman" w:eastAsia="Times New Roman" w:hAnsi="Times New Roman"/>
          <w:sz w:val="22"/>
          <w:szCs w:val="22"/>
          <w:b w:val="1"/>
          <w:bCs w:val="1"/>
          <w:u w:val="single" w:color="auto"/>
          <w:color w:val="auto"/>
        </w:rPr>
        <w:t>Tenant’s Personal Property</w:t>
      </w:r>
      <w:r>
        <w:rPr>
          <w:rFonts w:ascii="Times New Roman" w:cs="Times New Roman" w:eastAsia="Times New Roman" w:hAnsi="Times New Roman"/>
          <w:sz w:val="22"/>
          <w:szCs w:val="22"/>
          <w:color w:val="auto"/>
        </w:rPr>
        <w:t>”) from time to time during the Term, in the amount of the full replacement cost thereof (“</w:t>
      </w:r>
      <w:r>
        <w:rPr>
          <w:rFonts w:ascii="Times New Roman" w:cs="Times New Roman" w:eastAsia="Times New Roman" w:hAnsi="Times New Roman"/>
          <w:sz w:val="22"/>
          <w:szCs w:val="22"/>
          <w:b w:val="1"/>
          <w:bCs w:val="1"/>
          <w:u w:val="single" w:color="auto"/>
          <w:color w:val="auto"/>
        </w:rPr>
        <w:t>Tenant’s Property Insurance</w:t>
      </w:r>
      <w:r>
        <w:rPr>
          <w:rFonts w:ascii="Times New Roman" w:cs="Times New Roman" w:eastAsia="Times New Roman" w:hAnsi="Times New Roman"/>
          <w:sz w:val="22"/>
          <w:szCs w:val="22"/>
          <w:color w:val="auto"/>
        </w:rPr>
        <w:t xml:space="preserve">”); (3) business automobile liability insurance to cover all owned, hired and non-owned automobiles owned or operated by Tenant providing a minimum combined single limit of $1,000,000; </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color w:val="auto"/>
        </w:rPr>
        <w:t>4) workers’ compensation insurance as required by the State of Texas, (5) employer’s liability insurance in an amount of at least $1,000,000 per occurrence</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color w:val="auto"/>
        </w:rPr>
        <w:t xml:space="preserve"> and (6) umbrella liability insurance that follows form in excess of the limits specified in (1), (3) and (5) above, of no less than $1,000,000 in the aggregate. Tenant’s liability insurance must provide contractual liability coverage covering Tenant’s liability under this Lease. All commercial general liability, business automobile liability and umbrella liability insurance policies shall name Landlord (or any successor), Landlord’s Mortgagee (if any), and other designees reasonably required by Landlord as the interest of such designees shall appear, as “additional insureds” and shall be primary with Landlord’s policy being secondary and noncontributory. Tenant’s Property Insurance shall name Landlord (or any successor) and Landlord’s Mortgagee (if any) as additional named insureds and loss payee under such policy or policies.</w:t>
      </w:r>
    </w:p>
    <w:p>
      <w:pPr>
        <w:spacing w:after="0" w:line="184" w:lineRule="exact"/>
        <w:rPr>
          <w:rFonts w:ascii="Times New Roman" w:cs="Times New Roman" w:eastAsia="Times New Roman" w:hAnsi="Times New Roman"/>
          <w:sz w:val="22"/>
          <w:szCs w:val="22"/>
          <w:color w:val="auto"/>
        </w:rPr>
      </w:pPr>
    </w:p>
    <w:p>
      <w:pPr>
        <w:jc w:val="both"/>
        <w:ind w:firstLine="439"/>
        <w:spacing w:after="0" w:line="239" w:lineRule="auto"/>
        <w:tabs>
          <w:tab w:leader="none" w:pos="86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Insurance prior to the Commencement Date and upon renewal of such insurance coverage. No deductible or self-insured retention for Tenant’s Insurance shall exceed $25,000 without prior written approval of the Landlord, which approval may be withheld in Landlord’s sole discretion. All deductibles and/or retentions shall be paid by, assumed by, for the account of, and at the Tenant’s sole risk, and Tenant shall not be reimbursed for same. If Tenant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4" w:name="page205"/>
    <w:bookmarkEnd w:id="204"/>
    <w:p>
      <w:pPr>
        <w:ind w:right="300" w:firstLine="8"/>
        <w:spacing w:after="0" w:line="286" w:lineRule="auto"/>
        <w:tabs>
          <w:tab w:leader="none" w:pos="315"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fails to maintain the insurance coverage required by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Landlord may, upon 7 days advance written notice to Tenant (unless such coverage will lapse, in which event no such notice will be necessary), procure such policies of insurance and Tenant will promptly pay Landlord 105% of the cost of such policies. Landlord reserves the right to require Tenant to procure insurance in amounts and against such other risks as may be customarily insured from time to time during the Term by prudent owners or mortgagees of similar properties.</w:t>
      </w:r>
    </w:p>
    <w:p>
      <w:pPr>
        <w:spacing w:after="0" w:line="176" w:lineRule="exact"/>
        <w:rPr>
          <w:sz w:val="20"/>
          <w:szCs w:val="20"/>
          <w:color w:val="auto"/>
        </w:rPr>
      </w:pPr>
    </w:p>
    <w:p>
      <w:pPr>
        <w:ind w:left="440" w:hanging="432"/>
        <w:spacing w:after="0"/>
        <w:tabs>
          <w:tab w:leader="none" w:pos="4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 and Waiver</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jc w:val="both"/>
        <w:ind w:firstLine="757"/>
        <w:spacing w:after="0" w:line="257" w:lineRule="auto"/>
        <w:tabs>
          <w:tab w:leader="none" w:pos="1086" w:val="left"/>
        </w:tabs>
        <w:numPr>
          <w:ilvl w:val="2"/>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xml:space="preserve"> Tenant shall indemnify, defend and hold the Landlord Parties harmless against all Losses arising out of, relating to or resulting from: (i) any matter pertaining to any of the Premises, the Data Center or any other Improvements or the use, non-use, occupancy, condition, design, construction, maintenance, repair or rebuilding of any of the Premises, the Data Center or any other Improvements, except to the extent caused by the gross negligence or willful misconduct of the Landlord Indemnified Parties; (ii) any injury to or death of any person or any loss of or damage to any property in any manner arising from the Premises, the Data Center or any other Improvements, or connected therewith or occurring thereon or thereat, except to the extent caused by the gross negligence or willful misconduct of the Landlord Parties; (iii) the negligence or willful misconduct of Tenant or Tenant’s Affiliates, or (iv) any violation by Tenant or Tenant’s Affiliates of any provision of this Lease. The obligations of Tenant under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shall survive the Expiration Date. For purposes of this Section and the Lease: (i) the term “</w:t>
      </w:r>
      <w:r>
        <w:rPr>
          <w:rFonts w:ascii="Times New Roman" w:cs="Times New Roman" w:eastAsia="Times New Roman" w:hAnsi="Times New Roman"/>
          <w:sz w:val="20"/>
          <w:szCs w:val="20"/>
          <w:b w:val="1"/>
          <w:bCs w:val="1"/>
          <w:u w:val="single" w:color="auto"/>
          <w:color w:val="auto"/>
        </w:rPr>
        <w:t>Losses</w:t>
      </w:r>
      <w:r>
        <w:rPr>
          <w:rFonts w:ascii="Times New Roman" w:cs="Times New Roman" w:eastAsia="Times New Roman" w:hAnsi="Times New Roman"/>
          <w:sz w:val="20"/>
          <w:szCs w:val="20"/>
          <w:color w:val="auto"/>
        </w:rPr>
        <w:t>” shall mean, collectively, all fines, penalties, losses, liabilities, settlements, judgments, fees, expenses, costs (including sampling, monitoring and remediation costs, consultants’ and engineering fees and disbursements, Legal Costs (as hereafter defined) and interest) and damages (including damages on account of personal injury or death, property damage or damage to natural resources); and (ii) the terms “</w:t>
      </w:r>
      <w:r>
        <w:rPr>
          <w:rFonts w:ascii="Times New Roman" w:cs="Times New Roman" w:eastAsia="Times New Roman" w:hAnsi="Times New Roman"/>
          <w:sz w:val="20"/>
          <w:szCs w:val="20"/>
          <w:b w:val="1"/>
          <w:bCs w:val="1"/>
          <w:u w:val="single" w:color="auto"/>
          <w:color w:val="auto"/>
        </w:rPr>
        <w:t>Landlord Party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u w:val="single" w:color="auto"/>
          <w:color w:val="auto"/>
        </w:rPr>
        <w:t>Landlord Parties</w:t>
      </w:r>
      <w:r>
        <w:rPr>
          <w:rFonts w:ascii="Times New Roman" w:cs="Times New Roman" w:eastAsia="Times New Roman" w:hAnsi="Times New Roman"/>
          <w:sz w:val="20"/>
          <w:szCs w:val="20"/>
          <w:color w:val="auto"/>
        </w:rPr>
        <w:t>” shall mean, individually or collectively as the context requires, any or all of Landlord and Landlord’s members, agents, partners (general and limited), shareholders, officers, directors, beneficiaries, employees, affiliates, agents, representatives, contractors, servants, employees, licensees and invitees, as well as the holder of any Mortgage or of any underlying lease then encumbering the Premises.</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jc w:val="both"/>
        <w:ind w:firstLine="439"/>
        <w:spacing w:after="0" w:line="237" w:lineRule="auto"/>
        <w:tabs>
          <w:tab w:leader="none" w:pos="89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Landlord will not be liable to Tenant or Tenant’s Affiliates for: (i) any damage to, or loss or theft of, any of Tenant’s Personal Property for any reason; or (ii) for any bodily or personal injury, illness or death of any person in, on or about the Premises arising at any time and from any cause whatsoever, except to the extent caused by the gross negligence or willful misconduct of Landlord. To the fullest extent permitted by law, Tenant waives (and will cause Tenant’s Affiliates to waive) all claims against Landlord arising from any liability described in this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8"/>
        <w:spacing w:after="0" w:line="259" w:lineRule="auto"/>
        <w:tabs>
          <w:tab w:leader="none" w:pos="45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Mutual Waiver of Subrogation</w:t>
      </w:r>
      <w:r>
        <w:rPr>
          <w:rFonts w:ascii="Times New Roman" w:cs="Times New Roman" w:eastAsia="Times New Roman" w:hAnsi="Times New Roman"/>
          <w:sz w:val="20"/>
          <w:szCs w:val="20"/>
          <w:color w:val="auto"/>
        </w:rPr>
        <w:t>. Notwithstanding anything in this Lease to the contrary, Tenant waives, and shall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Tenant’s Affiliates, Tenant’s insurance carrier(s) and any other party claiming through or under such carrier(s), by way of subrogation or otherwise, to waive any and all rights of recovery, claim, action or causes of action against Landlord or any Landlord Party for any loss or damage to the Premises (including, without limitation, the Data Center and any other Improvements), Tenant’s business, any loss of use of the Premises, and any loss, theft or damage to Tenant’s Personal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including all rights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5"/>
          <w:szCs w:val="15"/>
          <w:b w:val="1"/>
          <w:bCs w:val="1"/>
          <w:color w:val="auto"/>
        </w:rPr>
        <w:t>by way of subrogation 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5" w:name="page206"/>
    <w:bookmarkEnd w:id="205"/>
    <w:p>
      <w:pPr>
        <w:ind w:right="300" w:firstLine="8"/>
        <w:spacing w:after="0" w:line="286" w:lineRule="auto"/>
        <w:tabs>
          <w:tab w:leader="none" w:pos="315"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otherwise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5"/>
          <w:szCs w:val="15"/>
          <w:b w:val="1"/>
          <w:bCs w:val="1"/>
          <w:color w:val="auto"/>
        </w:rPr>
        <w:t xml:space="preserve"> of recovery</w:t>
      </w:r>
      <w:r>
        <w:rPr>
          <w:rFonts w:ascii="Times New Roman" w:cs="Times New Roman" w:eastAsia="Times New Roman" w:hAnsi="Times New Roman"/>
          <w:sz w:val="21"/>
          <w:szCs w:val="21"/>
          <w:b w:val="1"/>
          <w:bCs w:val="1"/>
          <w:color w:val="auto"/>
        </w:rPr>
        <w:t>, C</w:t>
      </w:r>
      <w:r>
        <w:rPr>
          <w:rFonts w:ascii="Times New Roman" w:cs="Times New Roman" w:eastAsia="Times New Roman" w:hAnsi="Times New Roman"/>
          <w:sz w:val="15"/>
          <w:szCs w:val="15"/>
          <w:b w:val="1"/>
          <w:bCs w:val="1"/>
          <w:color w:val="auto"/>
        </w:rPr>
        <w:t>laims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5"/>
          <w:szCs w:val="15"/>
          <w:b w:val="1"/>
          <w:bCs w:val="1"/>
          <w:color w:val="auto"/>
        </w:rPr>
        <w:t xml:space="preserve"> actions or causes of action arising out of the negligence or willful misconduct of</w:t>
      </w:r>
    </w:p>
    <w:p>
      <w:pPr>
        <w:spacing w:after="0" w:line="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andlord or</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andlord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agents or 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loss or damage is (or would have been, had the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required by this Lease been maintained) covered by insurance. In addition, Landlord shall cause its insurance carrier(s) and any other party claiming through or under such carrier(s), by way of subrogation or otherwise, to waive any and all rights of recovery, claim, action or causes of action against Tenant for any loss of or damage to or loss of use of the Premises (including, without limitation, the Data Center and any other Improvements), or any contents thereof, </w:t>
      </w:r>
      <w:r>
        <w:rPr>
          <w:rFonts w:ascii="Times New Roman" w:cs="Times New Roman" w:eastAsia="Times New Roman" w:hAnsi="Times New Roman"/>
          <w:sz w:val="14"/>
          <w:szCs w:val="14"/>
          <w:b w:val="1"/>
          <w:bCs w:val="1"/>
          <w:color w:val="auto"/>
        </w:rPr>
        <w:t>including all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by way of subrogation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b w:val="1"/>
          <w:bCs w:val="1"/>
          <w:color w:val="auto"/>
        </w:rPr>
        <w:t>or otherwise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 xml:space="preserve"> of recovery</w:t>
      </w:r>
      <w:r>
        <w:rPr>
          <w:rFonts w:ascii="Times New Roman" w:cs="Times New Roman" w:eastAsia="Times New Roman" w:hAnsi="Times New Roman"/>
          <w:sz w:val="21"/>
          <w:szCs w:val="21"/>
          <w:b w:val="1"/>
          <w:bCs w:val="1"/>
          <w:color w:val="auto"/>
        </w:rPr>
        <w:t>, C</w:t>
      </w:r>
      <w:r>
        <w:rPr>
          <w:rFonts w:ascii="Times New Roman" w:cs="Times New Roman" w:eastAsia="Times New Roman" w:hAnsi="Times New Roman"/>
          <w:sz w:val="14"/>
          <w:szCs w:val="14"/>
          <w:b w:val="1"/>
          <w:bCs w:val="1"/>
          <w:color w:val="auto"/>
        </w:rPr>
        <w:t>laims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 xml:space="preserve"> actions or causes of action arising out of the negligence of </w:t>
      </w: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 xml:space="preserve">enant or </w:t>
      </w: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enant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s</w:t>
      </w:r>
    </w:p>
    <w:p>
      <w:pPr>
        <w:jc w:val="both"/>
        <w:spacing w:after="0" w:line="257" w:lineRule="auto"/>
        <w:rPr>
          <w:sz w:val="20"/>
          <w:szCs w:val="20"/>
          <w:color w:val="auto"/>
        </w:rPr>
      </w:pPr>
      <w:r>
        <w:rPr>
          <w:rFonts w:ascii="Times New Roman" w:cs="Times New Roman" w:eastAsia="Times New Roman" w:hAnsi="Times New Roman"/>
          <w:sz w:val="15"/>
          <w:szCs w:val="15"/>
          <w:b w:val="1"/>
          <w:bCs w:val="1"/>
          <w:color w:val="auto"/>
        </w:rPr>
        <w:t>employees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5"/>
          <w:szCs w:val="15"/>
          <w:b w:val="1"/>
          <w:bCs w:val="1"/>
          <w:color w:val="auto"/>
        </w:rPr>
        <w:t xml:space="preserve"> agents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5"/>
          <w:szCs w:val="15"/>
          <w:b w:val="1"/>
          <w:bCs w:val="1"/>
          <w:color w:val="auto"/>
        </w:rPr>
        <w:t xml:space="preserve"> contractors or invitees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21"/>
          <w:szCs w:val="21"/>
          <w:color w:val="auto"/>
        </w:rPr>
        <w:t>which loss or damage is (or would have been, had the insurance required by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21"/>
          <w:szCs w:val="21"/>
          <w:color w:val="auto"/>
        </w:rPr>
        <w:t>Lease been maintained) covered by insurance.</w:t>
      </w:r>
    </w:p>
    <w:p>
      <w:pPr>
        <w:spacing w:after="0" w:line="156" w:lineRule="exact"/>
        <w:rPr>
          <w:sz w:val="20"/>
          <w:szCs w:val="20"/>
          <w:color w:val="auto"/>
        </w:rPr>
      </w:pPr>
    </w:p>
    <w:p>
      <w:pPr>
        <w:ind w:left="440" w:hanging="432"/>
        <w:spacing w:after="0"/>
        <w:tabs>
          <w:tab w:leader="none" w:pos="4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 Events of Default; Landlord Remedies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445"/>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Tenant Events of Default</w:t>
      </w:r>
      <w:r>
        <w:rPr>
          <w:rFonts w:ascii="Times New Roman" w:cs="Times New Roman" w:eastAsia="Times New Roman" w:hAnsi="Times New Roman"/>
          <w:sz w:val="22"/>
          <w:szCs w:val="22"/>
          <w:color w:val="auto"/>
        </w:rPr>
        <w:t>. The occurrence of any of the events listed below will constitute an “</w:t>
      </w:r>
      <w:r>
        <w:rPr>
          <w:rFonts w:ascii="Times New Roman" w:cs="Times New Roman" w:eastAsia="Times New Roman" w:hAnsi="Times New Roman"/>
          <w:sz w:val="22"/>
          <w:szCs w:val="22"/>
          <w:b w:val="1"/>
          <w:bCs w:val="1"/>
          <w:u w:val="single" w:color="auto"/>
          <w:color w:val="auto"/>
        </w:rPr>
        <w:t>Event of Default</w:t>
      </w:r>
      <w:r>
        <w:rPr>
          <w:rFonts w:ascii="Times New Roman" w:cs="Times New Roman" w:eastAsia="Times New Roman" w:hAnsi="Times New Roman"/>
          <w:sz w:val="22"/>
          <w:szCs w:val="22"/>
          <w:color w:val="auto"/>
        </w:rPr>
        <w:t>” by Tenant under this Lease:</w:t>
      </w:r>
    </w:p>
    <w:p>
      <w:pPr>
        <w:spacing w:after="0" w:line="154" w:lineRule="exact"/>
        <w:rPr>
          <w:rFonts w:ascii="Times New Roman" w:cs="Times New Roman" w:eastAsia="Times New Roman" w:hAnsi="Times New Roman"/>
          <w:sz w:val="22"/>
          <w:szCs w:val="22"/>
          <w:color w:val="auto"/>
        </w:rPr>
      </w:pPr>
    </w:p>
    <w:p>
      <w:pPr>
        <w:ind w:left="760" w:right="60" w:firstLine="111"/>
        <w:spacing w:after="0" w:line="258" w:lineRule="auto"/>
        <w:tabs>
          <w:tab w:leader="none" w:pos="1306"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pay Base Rent, any Additional Rent or Impositions when due, and such failure continues for more than 30 days after Landlord gives written notice to Tenant of such failure;</w:t>
      </w:r>
    </w:p>
    <w:p>
      <w:pPr>
        <w:spacing w:after="0" w:line="157" w:lineRule="exact"/>
        <w:rPr>
          <w:rFonts w:ascii="Times New Roman" w:cs="Times New Roman" w:eastAsia="Times New Roman" w:hAnsi="Times New Roman"/>
          <w:sz w:val="22"/>
          <w:szCs w:val="22"/>
          <w:color w:val="auto"/>
        </w:rPr>
      </w:pPr>
    </w:p>
    <w:p>
      <w:pPr>
        <w:ind w:left="1300" w:hanging="429"/>
        <w:spacing w:after="0"/>
        <w:tabs>
          <w:tab w:leader="none" w:pos="1300"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fails to discharge any lien against the Premises or the Building in accordance with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760" w:firstLine="111"/>
        <w:spacing w:after="0" w:line="244" w:lineRule="auto"/>
        <w:tabs>
          <w:tab w:leader="none" w:pos="1306"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maintain in force all policies of insurance required by this Lease or fails to provide Landlord with evidence of such insurance, and either of such failures continues for more than 7 days after Landlord gives Tenant written notice of such failure;</w:t>
      </w:r>
    </w:p>
    <w:p>
      <w:pPr>
        <w:spacing w:after="0" w:line="172" w:lineRule="exact"/>
        <w:rPr>
          <w:rFonts w:ascii="Times New Roman" w:cs="Times New Roman" w:eastAsia="Times New Roman" w:hAnsi="Times New Roman"/>
          <w:sz w:val="22"/>
          <w:szCs w:val="22"/>
          <w:color w:val="auto"/>
        </w:rPr>
      </w:pPr>
    </w:p>
    <w:p>
      <w:pPr>
        <w:ind w:left="760" w:firstLine="111"/>
        <w:spacing w:after="0" w:line="236" w:lineRule="auto"/>
        <w:tabs>
          <w:tab w:leader="none" w:pos="1306"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Tenant or any guarantor of this Lease is bankrupt (which, in the case of an involuntary proceeding, is not permanently discharged, dismissed, stayed, or vacated, as the case may be, within 60 days of commencement); (2) a receiver, custodian, or trustee is appointed for the Premises or for all or substantially all of the assets of Tenant or of any guarantor of this Lease, which appointment is not vacated within 60 days following the date of such appointment; or (3) Tenant or any guarantor of this Lease becomes insolvent or makes a transfer in fraud of creditors or makes an assignment for the benefit of creditors;</w:t>
      </w:r>
    </w:p>
    <w:p>
      <w:pPr>
        <w:spacing w:after="0" w:line="179" w:lineRule="exact"/>
        <w:rPr>
          <w:rFonts w:ascii="Times New Roman" w:cs="Times New Roman" w:eastAsia="Times New Roman" w:hAnsi="Times New Roman"/>
          <w:sz w:val="22"/>
          <w:szCs w:val="22"/>
          <w:color w:val="auto"/>
        </w:rPr>
      </w:pPr>
    </w:p>
    <w:p>
      <w:pPr>
        <w:jc w:val="both"/>
        <w:ind w:left="760" w:firstLine="111"/>
        <w:spacing w:after="0" w:line="239" w:lineRule="auto"/>
        <w:tabs>
          <w:tab w:leader="none" w:pos="1306"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fails to: (1) cease business operations within the Premises by the Expiration Date; (ii) promptly commence the Removal and Restoration Work (as defined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following the occurrence of the Expiration Date and thereafter diligently and continuously pursue the Removal and Restoration Work to completion in accordance with the terms and conditions of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or (3) complete the Removal and Restoration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6" w:name="page207"/>
    <w:bookmarkEnd w:id="206"/>
    <w:p>
      <w:pPr>
        <w:ind w:right="300" w:firstLine="8"/>
        <w:spacing w:after="0" w:line="286" w:lineRule="auto"/>
        <w:tabs>
          <w:tab w:leader="none" w:pos="315"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 xml:space="preserve">Work on or before the first anniversary of the Expiration Date (without regard to events of Force Majeure) in accordance with the terms and conditions of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and</w:t>
      </w:r>
    </w:p>
    <w:p>
      <w:pPr>
        <w:spacing w:after="0" w:line="157" w:lineRule="exact"/>
        <w:rPr>
          <w:sz w:val="20"/>
          <w:szCs w:val="20"/>
          <w:color w:val="auto"/>
        </w:rPr>
      </w:pPr>
    </w:p>
    <w:p>
      <w:pPr>
        <w:jc w:val="both"/>
        <w:ind w:left="760" w:firstLine="111"/>
        <w:spacing w:after="0" w:line="265" w:lineRule="auto"/>
        <w:tabs>
          <w:tab w:leader="none" w:pos="1306"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fails to perform or observe any other term of this Lease and such failure continues for more than thirty (30) days after Landlord gives Tenant written notice of such failure, or, if such failure cannot be corrected within such thirty</w:t>
      </w:r>
    </w:p>
    <w:p>
      <w:pPr>
        <w:spacing w:after="0" w:line="1" w:lineRule="exact"/>
        <w:rPr>
          <w:rFonts w:ascii="Times New Roman" w:cs="Times New Roman" w:eastAsia="Times New Roman" w:hAnsi="Times New Roman"/>
          <w:sz w:val="20"/>
          <w:szCs w:val="20"/>
          <w:color w:val="auto"/>
        </w:rPr>
      </w:pPr>
    </w:p>
    <w:p>
      <w:pPr>
        <w:ind w:left="760" w:hanging="3"/>
        <w:spacing w:after="0" w:line="237" w:lineRule="auto"/>
        <w:tabs>
          <w:tab w:leader="none" w:pos="119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if Tenant does not commence to correct such default within said thirty (30) day period and thereafter diligently prosecute the correction to completion within a reasonable period of time.</w:t>
      </w:r>
    </w:p>
    <w:p>
      <w:pPr>
        <w:spacing w:after="0" w:line="177" w:lineRule="exact"/>
        <w:rPr>
          <w:rFonts w:ascii="Times New Roman" w:cs="Times New Roman" w:eastAsia="Times New Roman" w:hAnsi="Times New Roman"/>
          <w:sz w:val="22"/>
          <w:szCs w:val="22"/>
          <w:color w:val="auto"/>
        </w:rPr>
      </w:pPr>
    </w:p>
    <w:p>
      <w:pPr>
        <w:ind w:left="760" w:right="20" w:firstLine="111"/>
        <w:spacing w:after="0" w:line="258" w:lineRule="auto"/>
        <w:tabs>
          <w:tab w:leader="none" w:pos="1387"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Landlord’s Remedies</w:t>
      </w:r>
      <w:r>
        <w:rPr>
          <w:rFonts w:ascii="Times New Roman" w:cs="Times New Roman" w:eastAsia="Times New Roman" w:hAnsi="Times New Roman"/>
          <w:sz w:val="22"/>
          <w:szCs w:val="22"/>
          <w:color w:val="auto"/>
        </w:rPr>
        <w:t xml:space="preserve">. Upon the occurrence of any Event of Default by Tenant, Landlord may, at Landlord’s option, without any demand or notice whatsoever (except as expressly required in this </w:t>
      </w:r>
      <w:r>
        <w:rPr>
          <w:rFonts w:ascii="Times New Roman" w:cs="Times New Roman" w:eastAsia="Times New Roman" w:hAnsi="Times New Roman"/>
          <w:sz w:val="22"/>
          <w:szCs w:val="22"/>
          <w:u w:val="single" w:color="auto"/>
          <w:color w:val="auto"/>
        </w:rPr>
        <w:t>Section 12.B</w:t>
      </w:r>
      <w:r>
        <w:rPr>
          <w:rFonts w:ascii="Times New Roman" w:cs="Times New Roman" w:eastAsia="Times New Roman" w:hAnsi="Times New Roman"/>
          <w:sz w:val="22"/>
          <w:szCs w:val="22"/>
          <w:color w:val="auto"/>
        </w:rPr>
        <w:t>):</w:t>
      </w:r>
    </w:p>
    <w:p>
      <w:pPr>
        <w:spacing w:after="0" w:line="399" w:lineRule="exact"/>
        <w:rPr>
          <w:rFonts w:ascii="Times New Roman" w:cs="Times New Roman" w:eastAsia="Times New Roman" w:hAnsi="Times New Roman"/>
          <w:sz w:val="22"/>
          <w:szCs w:val="22"/>
          <w:color w:val="auto"/>
        </w:rPr>
      </w:pPr>
    </w:p>
    <w:p>
      <w:pPr>
        <w:jc w:val="both"/>
        <w:ind w:left="760" w:firstLine="745"/>
        <w:spacing w:after="0" w:line="271" w:lineRule="auto"/>
        <w:tabs>
          <w:tab w:leader="none" w:pos="1940"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Tenant notice of termination, in which event (1) this Lease will terminate on the date specified in such notice and all rights of Tenant under this Lease and to the Premises will terminate, and Tenant will remain liable for all obligations under this Lease arising up to the date of such termination, together with Tenant’s obligations to perform the Restoration Work; and (2) Tenant will surrender the Premises to Landlord on the date specified in such notice.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4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Terminate this Lease as provided in </w:t>
      </w:r>
      <w:r>
        <w:rPr>
          <w:rFonts w:ascii="Times New Roman" w:cs="Times New Roman" w:eastAsia="Times New Roman" w:hAnsi="Times New Roman"/>
          <w:sz w:val="22"/>
          <w:szCs w:val="22"/>
          <w:u w:val="single" w:color="auto"/>
          <w:color w:val="auto"/>
        </w:rPr>
        <w:t>Section 12.B(i)</w:t>
      </w:r>
      <w:r>
        <w:rPr>
          <w:rFonts w:ascii="Times New Roman" w:cs="Times New Roman" w:eastAsia="Times New Roman" w:hAnsi="Times New Roman"/>
          <w:sz w:val="22"/>
          <w:szCs w:val="22"/>
          <w:color w:val="auto"/>
        </w:rPr>
        <w:t xml:space="preserve"> and recover from Tenant all damages Landlord may incur by reason of Tenant’s default, including, without limitation, an amount which, at the date of such termination, is calculated as follows (and which will be immediately due and payable):</w:t>
      </w:r>
    </w:p>
    <w:p>
      <w:pPr>
        <w:spacing w:after="0" w:line="199" w:lineRule="exact"/>
        <w:rPr>
          <w:rFonts w:ascii="Times New Roman" w:cs="Times New Roman" w:eastAsia="Times New Roman" w:hAnsi="Times New Roman"/>
          <w:sz w:val="22"/>
          <w:szCs w:val="22"/>
          <w:color w:val="auto"/>
        </w:rPr>
      </w:pPr>
    </w:p>
    <w:p>
      <w:pPr>
        <w:jc w:val="both"/>
        <w:ind w:left="1500" w:firstLine="1129"/>
        <w:spacing w:after="0" w:line="236" w:lineRule="auto"/>
        <w:tabs>
          <w:tab w:leader="none" w:pos="3055" w:val="left"/>
        </w:tabs>
        <w:numPr>
          <w:ilvl w:val="3"/>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positive difference, if any, of: (a) the Base Rent, Additional Rent and all other sums which would have been payable hereunder by Tenant for the period commencing with the day following the date of such termination and ending with the scheduled Expiration Date had this Lease not been terminated (the “</w:t>
      </w:r>
      <w:r>
        <w:rPr>
          <w:rFonts w:ascii="Times New Roman" w:cs="Times New Roman" w:eastAsia="Times New Roman" w:hAnsi="Times New Roman"/>
          <w:sz w:val="22"/>
          <w:szCs w:val="22"/>
          <w:b w:val="1"/>
          <w:bCs w:val="1"/>
          <w:u w:val="single" w:color="auto"/>
          <w:color w:val="auto"/>
        </w:rPr>
        <w:t>Remaining Term</w:t>
      </w:r>
      <w:r>
        <w:rPr>
          <w:rFonts w:ascii="Times New Roman" w:cs="Times New Roman" w:eastAsia="Times New Roman" w:hAnsi="Times New Roman"/>
          <w:sz w:val="22"/>
          <w:szCs w:val="22"/>
          <w:color w:val="auto"/>
        </w:rPr>
        <w:t>”), minus (b) the aggregate reasonable rental value of the Premises for the Remaining Term (which positive difference, if any will be discounted to present value at the Treasury Yield for the Remaining Term); plus</w:t>
      </w:r>
    </w:p>
    <w:p>
      <w:pPr>
        <w:spacing w:after="0" w:line="206" w:lineRule="exact"/>
        <w:rPr>
          <w:rFonts w:ascii="Times New Roman" w:cs="Times New Roman" w:eastAsia="Times New Roman" w:hAnsi="Times New Roman"/>
          <w:sz w:val="22"/>
          <w:szCs w:val="22"/>
          <w:color w:val="auto"/>
        </w:rPr>
      </w:pPr>
    </w:p>
    <w:p>
      <w:pPr>
        <w:jc w:val="both"/>
        <w:ind w:left="1500" w:firstLine="1129"/>
        <w:spacing w:after="0" w:line="237" w:lineRule="auto"/>
        <w:tabs>
          <w:tab w:leader="none" w:pos="3055" w:val="left"/>
        </w:tabs>
        <w:numPr>
          <w:ilvl w:val="3"/>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costs of recovering possession of the Premises and all other expenses incurred by Landlord due to Tenant’s default, including, without limitation, the cost of performance of the Removal and Restoration Work and all reasonable and actual attorneys’ fees, paralegal fees, disbursements and mediation, arbitration and court costs and expenses, including litigation through all trial and appellate levels (collectively, “</w:t>
      </w:r>
      <w:r>
        <w:rPr>
          <w:rFonts w:ascii="Times New Roman" w:cs="Times New Roman" w:eastAsia="Times New Roman" w:hAnsi="Times New Roman"/>
          <w:sz w:val="22"/>
          <w:szCs w:val="22"/>
          <w:b w:val="1"/>
          <w:bCs w:val="1"/>
          <w:u w:val="single" w:color="auto"/>
          <w:color w:val="auto"/>
        </w:rPr>
        <w:t>Legal Costs</w:t>
      </w:r>
      <w:r>
        <w:rPr>
          <w:rFonts w:ascii="Times New Roman" w:cs="Times New Roman" w:eastAsia="Times New Roman" w:hAnsi="Times New Roman"/>
          <w:sz w:val="22"/>
          <w:szCs w:val="22"/>
          <w:color w:val="auto"/>
        </w:rPr>
        <w:t>”); plus</w:t>
      </w:r>
    </w:p>
    <w:p>
      <w:pPr>
        <w:spacing w:after="0" w:line="207" w:lineRule="exact"/>
        <w:rPr>
          <w:rFonts w:ascii="Times New Roman" w:cs="Times New Roman" w:eastAsia="Times New Roman" w:hAnsi="Times New Roman"/>
          <w:sz w:val="22"/>
          <w:szCs w:val="22"/>
          <w:color w:val="auto"/>
        </w:rPr>
      </w:pPr>
    </w:p>
    <w:p>
      <w:pPr>
        <w:jc w:val="both"/>
        <w:ind w:left="1500" w:firstLine="1129"/>
        <w:spacing w:after="0" w:line="244" w:lineRule="auto"/>
        <w:tabs>
          <w:tab w:leader="none" w:pos="3055" w:val="left"/>
        </w:tabs>
        <w:numPr>
          <w:ilvl w:val="3"/>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unpaid Base Rent and Additional Rent owed as of the date of termination plus any interest and late fees due hereunder, plus other amounts owing on the date of termination by Tenant to Landlord under this Lease or in connection with the Premises.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7" w:name="page208"/>
    <w:bookmarkEnd w:id="207"/>
    <w:p>
      <w:pPr>
        <w:ind w:right="300" w:firstLine="8"/>
        <w:spacing w:after="0" w:line="286" w:lineRule="auto"/>
        <w:tabs>
          <w:tab w:leader="none" w:pos="315"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jc w:val="both"/>
        <w:ind w:left="760" w:firstLine="940"/>
        <w:spacing w:after="0" w:line="257" w:lineRule="auto"/>
        <w:tabs>
          <w:tab w:leader="none" w:pos="2135"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terminating this Lease, in its own name but as agent for Tenant, enter into and upon and take possession of the Premises or any part thereof. Any property remaining in the Premises may be removed and stored at the cost of, and for the account of, Tenant without Landlord becoming liable for any loss or damage which may be occasioned thereby unless caused by Landlord’s gross negligence. Thereafter, Landlord may, but will not be obligated to (except as required to meet any duty to mitigate its damages in accordance with applicable law), lease to a third party the Premises or any portion thereof upon such terms and conditions as Landlord may deem or desirable in order to relet the Premises, but without relieving Tenant of its liability. The remainder of any rentals received by Landlord from such reletting (after the payment of any indebtedness due hereunder from Tenant to Landlord, and the payment of any costs and expenses of such reletting), will be held by Landlord to the extent of and for application in payment of future rent owed by Tenant, if any, as the same may become due and payable hereunder. If the rentals received from such reletting will at any time be less than sufficient to pay to Landlord the entire sums then due from Tenant hereunder, Tenant will pay any such deficiency to Landlord. Notwithstanding any such reletting without termination, Landlord may at any time thereafter elect to terminate this Lease for any such previous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same has not been cured.</w:t>
      </w:r>
    </w:p>
    <w:p>
      <w:pPr>
        <w:spacing w:after="0" w:line="200" w:lineRule="exact"/>
        <w:rPr>
          <w:rFonts w:ascii="Times New Roman" w:cs="Times New Roman" w:eastAsia="Times New Roman" w:hAnsi="Times New Roman"/>
          <w:sz w:val="20"/>
          <w:szCs w:val="20"/>
          <w:color w:val="auto"/>
        </w:rPr>
      </w:pPr>
    </w:p>
    <w:p>
      <w:pPr>
        <w:spacing w:after="0" w:line="242" w:lineRule="exact"/>
        <w:rPr>
          <w:rFonts w:ascii="Times New Roman" w:cs="Times New Roman" w:eastAsia="Times New Roman" w:hAnsi="Times New Roman"/>
          <w:sz w:val="20"/>
          <w:szCs w:val="20"/>
          <w:color w:val="auto"/>
        </w:rPr>
      </w:pPr>
    </w:p>
    <w:p>
      <w:pPr>
        <w:ind w:left="3440" w:hanging="437"/>
        <w:spacing w:after="0"/>
        <w:tabs>
          <w:tab w:leader="none" w:pos="3440"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Pursue such other remedies as are available at law or equity.</w:t>
      </w:r>
    </w:p>
    <w:p>
      <w:pPr>
        <w:spacing w:after="0" w:line="228" w:lineRule="exact"/>
        <w:rPr>
          <w:sz w:val="20"/>
          <w:szCs w:val="20"/>
          <w:color w:val="auto"/>
        </w:rPr>
      </w:pPr>
    </w:p>
    <w:p>
      <w:pPr>
        <w:ind w:left="440" w:hanging="432"/>
        <w:spacing w:after="0"/>
        <w:tabs>
          <w:tab w:leader="none" w:pos="44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 Events of Default; Tenant Remedies</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both"/>
        <w:ind w:left="1500" w:hanging="743"/>
        <w:spacing w:after="0" w:line="236" w:lineRule="auto"/>
        <w:tabs>
          <w:tab w:leader="none" w:pos="150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If Landlord fails to perform or observe or otherwise breaches any term of this Lease and such failure shall continue for more than 30 days after Tenant gives Landlord written notice of such failure, or, if such failure does not arise out of a failure by Landlord to pay a sum of money and cannot reasonably be corrected within such 30-day period, if Landlord does not commence to correct such default within such 30-day period and thereafter diligently prosecute the correction of same to completion within a reasonable time, a “</w:t>
      </w: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Event of Default</w:t>
      </w:r>
      <w:r>
        <w:rPr>
          <w:rFonts w:ascii="Times New Roman" w:cs="Times New Roman" w:eastAsia="Times New Roman" w:hAnsi="Times New Roman"/>
          <w:sz w:val="22"/>
          <w:szCs w:val="22"/>
          <w:color w:val="auto"/>
        </w:rPr>
        <w:t>” shall exist under this Lease.</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Right to Cure</w:t>
      </w:r>
      <w:r>
        <w:rPr>
          <w:rFonts w:ascii="Times New Roman" w:cs="Times New Roman" w:eastAsia="Times New Roman" w:hAnsi="Times New Roman"/>
          <w:sz w:val="22"/>
          <w:szCs w:val="22"/>
          <w:color w:val="auto"/>
        </w:rPr>
        <w:t>. Upon the occurrence of a Landlord Event of Default, Tenant may at Tenant’s option, cure the Landlord Event of Default and the actual cost of such cure shall be payable by Landlord to Tenant within 30 calendar days after written demand; provided, however, that if a failure by Landlord to perform or observe any term of this Lease gives rise to circumstances or conditions which constitute an emergency threatening human health or safety or substantial damage to the Premises or Tenant’s personal property, or materially impeding the conduct of the business of Tenant at the Premises, Tenant shall be entitled to take immediate curative action (prior to the expiration of any notice and cure period set forth above) to the extent necessary to eliminate the emergency.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8" w:name="page209"/>
    <w:bookmarkEnd w:id="208"/>
    <w:p>
      <w:pPr>
        <w:ind w:right="300" w:firstLine="8"/>
        <w:spacing w:after="0" w:line="286" w:lineRule="auto"/>
        <w:tabs>
          <w:tab w:leader="none" w:pos="315"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jc w:val="both"/>
        <w:ind w:left="1500" w:hanging="743"/>
        <w:spacing w:after="0" w:line="233" w:lineRule="auto"/>
        <w:tabs>
          <w:tab w:leader="none" w:pos="15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Costs</w:t>
      </w:r>
      <w:r>
        <w:rPr>
          <w:rFonts w:ascii="Times New Roman" w:cs="Times New Roman" w:eastAsia="Times New Roman" w:hAnsi="Times New Roman"/>
          <w:sz w:val="22"/>
          <w:szCs w:val="22"/>
          <w:color w:val="auto"/>
        </w:rPr>
        <w:t xml:space="preserve">. All costs incurred by Tenant hereunder must be reasonable in amount and reasonably incurred and must not exceed the scope of the Landlord Event of Default in question; and if such costs are chargeable as a result of labor or materials provided directly by Tenant, rather than by unrelated third parties, the costs shall not exceed the amount which would have been charged by a qualified third party unrelated to Tenant. All work performed by Tenant must be of first-class quality. Such costs must be reasonably documented and copies of such documentation must be delivered to Landlord with the written demand for reimbursement. If Tenant elects to exercise its self-help right, as provided in this </w:t>
      </w:r>
      <w:r>
        <w:rPr>
          <w:rFonts w:ascii="Times New Roman" w:cs="Times New Roman" w:eastAsia="Times New Roman" w:hAnsi="Times New Roman"/>
          <w:sz w:val="22"/>
          <w:szCs w:val="22"/>
          <w:u w:val="single" w:color="auto"/>
          <w:color w:val="auto"/>
        </w:rPr>
        <w:t>Section 13.C</w:t>
      </w:r>
      <w:r>
        <w:rPr>
          <w:rFonts w:ascii="Times New Roman" w:cs="Times New Roman" w:eastAsia="Times New Roman" w:hAnsi="Times New Roman"/>
          <w:sz w:val="22"/>
          <w:szCs w:val="22"/>
          <w:color w:val="auto"/>
        </w:rPr>
        <w:t xml:space="preserve">, such right is intended to be the exclusive remedy available to Tenant with respect to the Landlord Event of Default and once Landlord has reimbursed Tenant for the permissible cost of curing the Landlord Event of Default, Landlord shall no longer be deemed to be in default under this Lease with respect to the Landlord Event of Default that was the subject of the cure. Nothing contained in this </w:t>
      </w:r>
      <w:r>
        <w:rPr>
          <w:rFonts w:ascii="Times New Roman" w:cs="Times New Roman" w:eastAsia="Times New Roman" w:hAnsi="Times New Roman"/>
          <w:sz w:val="22"/>
          <w:szCs w:val="22"/>
          <w:u w:val="single" w:color="auto"/>
          <w:color w:val="auto"/>
        </w:rPr>
        <w:t>Section 13.C</w:t>
      </w:r>
      <w:r>
        <w:rPr>
          <w:rFonts w:ascii="Times New Roman" w:cs="Times New Roman" w:eastAsia="Times New Roman" w:hAnsi="Times New Roman"/>
          <w:sz w:val="22"/>
          <w:szCs w:val="22"/>
          <w:color w:val="auto"/>
        </w:rPr>
        <w:t xml:space="preserve"> shall create or imply the existence of any obligation by Tenant to cure any Landlord Event of Default.</w:t>
      </w:r>
    </w:p>
    <w:p>
      <w:pPr>
        <w:spacing w:after="0" w:line="204" w:lineRule="exact"/>
        <w:rPr>
          <w:sz w:val="20"/>
          <w:szCs w:val="20"/>
          <w:color w:val="auto"/>
        </w:rPr>
      </w:pPr>
    </w:p>
    <w:p>
      <w:pPr>
        <w:jc w:val="both"/>
        <w:ind w:firstLine="8"/>
        <w:spacing w:after="0" w:line="236" w:lineRule="auto"/>
        <w:tabs>
          <w:tab w:leader="none" w:pos="45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 Liability</w:t>
      </w:r>
      <w:r>
        <w:rPr>
          <w:rFonts w:ascii="Times New Roman" w:cs="Times New Roman" w:eastAsia="Times New Roman" w:hAnsi="Times New Roman"/>
          <w:sz w:val="22"/>
          <w:szCs w:val="22"/>
          <w:color w:val="auto"/>
        </w:rPr>
        <w:t>. No owner of the Premises, whether or not named herein, will have liability under this Lease after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ceases to hold title to the Premises. Neither Landlord nor any employee, representative, officer, director, security holder, manager, equity holder, trustee, partner or principal of Landlord, whether disclosed or undisclosed, will have any personal liability with respect to any of the provisions of this Lease. In the event Landlord is in breach or default with respect to Landlord’s obligations or otherwise under this Lease, Tenant will look solely to the equity of Landlord in the Premises for the satisfaction of Tenant’s remedies. Landlord’s liability under the terms, covenants, conditions, warranties and obligations of this Lease will in no event exceed Landlord’s equity interest in the Premises.</w:t>
      </w:r>
    </w:p>
    <w:p>
      <w:pPr>
        <w:spacing w:after="0" w:line="200" w:lineRule="exact"/>
        <w:rPr>
          <w:rFonts w:ascii="Times New Roman" w:cs="Times New Roman" w:eastAsia="Times New Roman" w:hAnsi="Times New Roman"/>
          <w:sz w:val="22"/>
          <w:szCs w:val="22"/>
          <w:color w:val="auto"/>
        </w:rPr>
      </w:pPr>
    </w:p>
    <w:p>
      <w:pPr>
        <w:jc w:val="both"/>
        <w:ind w:firstLine="8"/>
        <w:spacing w:after="0" w:line="233" w:lineRule="auto"/>
        <w:tabs>
          <w:tab w:leader="none" w:pos="45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Subordination to Mortgages; Estoppel Certificates</w:t>
      </w:r>
      <w:r>
        <w:rPr>
          <w:rFonts w:ascii="Times New Roman" w:cs="Times New Roman" w:eastAsia="Times New Roman" w:hAnsi="Times New Roman"/>
          <w:sz w:val="22"/>
          <w:szCs w:val="22"/>
          <w:color w:val="auto"/>
        </w:rPr>
        <w:t>. Landlord shall have the unrestricted right to mortgage its fee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ground leasehold interest in the Premises. Subject to the terms of the last sentence of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Tenant accepts this Lease subject and subordinate to any mortgage(s), deed(s) of trust, ground lease(s) or other lien(s) now or subsequently affecting the Premises, and to renewals, modifications, refinancings and extensions thereof (collectively, a “</w:t>
      </w:r>
      <w:r>
        <w:rPr>
          <w:rFonts w:ascii="Times New Roman" w:cs="Times New Roman" w:eastAsia="Times New Roman" w:hAnsi="Times New Roman"/>
          <w:sz w:val="22"/>
          <w:szCs w:val="22"/>
          <w:b w:val="1"/>
          <w:bCs w:val="1"/>
          <w:u w:val="single" w:color="auto"/>
          <w:color w:val="auto"/>
        </w:rPr>
        <w:t>Mortgage</w:t>
      </w:r>
      <w:r>
        <w:rPr>
          <w:rFonts w:ascii="Times New Roman" w:cs="Times New Roman" w:eastAsia="Times New Roman" w:hAnsi="Times New Roman"/>
          <w:sz w:val="22"/>
          <w:szCs w:val="22"/>
          <w:color w:val="auto"/>
        </w:rPr>
        <w:t>”). The party having the benefit of a Mortgage shall be referred to as a “</w:t>
      </w:r>
      <w:r>
        <w:rPr>
          <w:rFonts w:ascii="Times New Roman" w:cs="Times New Roman" w:eastAsia="Times New Roman" w:hAnsi="Times New Roman"/>
          <w:sz w:val="22"/>
          <w:szCs w:val="22"/>
          <w:b w:val="1"/>
          <w:bCs w:val="1"/>
          <w:u w:val="single" w:color="auto"/>
          <w:color w:val="auto"/>
        </w:rPr>
        <w:t>Mortgagee</w:t>
      </w:r>
      <w:r>
        <w:rPr>
          <w:rFonts w:ascii="Times New Roman" w:cs="Times New Roman" w:eastAsia="Times New Roman" w:hAnsi="Times New Roman"/>
          <w:sz w:val="22"/>
          <w:szCs w:val="22"/>
          <w:color w:val="auto"/>
        </w:rPr>
        <w:t>.” This clause shall be self-operative, but upon request from a Mortgagee, Tenant shall execute a commercially reasonable subordination agreement in favor of the Mortgagee. Tenant agrees, promptly after submission, to execute, acknowledge and deliver any amendment to this Lease or other agreement requested by any fee or ground leasehold Mortgagee, provided that such amendment or other agreement does not decrease Landlord’s obligations in any manner whatsoever or decrease Tenant’s rights or increase Tenant’s obligations pursuant to this Lease (other than as to ministerial matters, such as sending copies of notices to the Mortgagee). In lieu of having the Mortgage be superior to this Lease, a Mortgagee shall have the right at any time to subordinate its Mortgage to this Lease. If requested by a successor-in-interest to all or a part of Landlord’s interest in this Lease, Tenant shall, without charge, attorn to the successor-in-interest. Tenant shall, within 10 Business Days after receipt of a written request from Landlord, execute and deliver to Landlord and/or its designee an estoppel certificate to those parties as are reasonably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9" w:name="page210"/>
    <w:bookmarkEnd w:id="209"/>
    <w:p>
      <w:pPr>
        <w:ind w:right="300" w:firstLine="8"/>
        <w:spacing w:after="0" w:line="286" w:lineRule="auto"/>
        <w:tabs>
          <w:tab w:leader="none" w:pos="315"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requested by Landlord (including a Mortgagee or prospective purchaser). The estoppel certificate shall include a statement certifying that this Lease is unmodified (except as identified in the estoppel certificate) and in full force and effect, describing the dates to which Rent and other charges have been paid, representing that, to Tenant’s knowledge, there is no default (or stating with specificity the nature of the alleged default) and certifying other matters with respect to this Lease that may reasonably be requested. Notwithstanding anything to the contrary contained hereinabove, Tenant shall not be required to subordinate or to execute any subordination document, unless the party seeking such subordination executes a document which includes a commercially reasonably non-disturbance agreement (“</w:t>
      </w:r>
      <w:r>
        <w:rPr>
          <w:rFonts w:ascii="Times New Roman" w:cs="Times New Roman" w:eastAsia="Times New Roman" w:hAnsi="Times New Roman"/>
          <w:sz w:val="22"/>
          <w:szCs w:val="22"/>
          <w:b w:val="1"/>
          <w:bCs w:val="1"/>
          <w:u w:val="single" w:color="auto"/>
          <w:color w:val="auto"/>
        </w:rPr>
        <w:t>SNDA</w:t>
      </w:r>
      <w:r>
        <w:rPr>
          <w:rFonts w:ascii="Times New Roman" w:cs="Times New Roman" w:eastAsia="Times New Roman" w:hAnsi="Times New Roman"/>
          <w:sz w:val="22"/>
          <w:szCs w:val="22"/>
          <w:color w:val="auto"/>
        </w:rPr>
        <w:t>”) stating substantially that, so long as Tenant is not in default under this Lease beyond any applicable notice and cure periods, Tenant’s right to possession of the Premises shall not be disturbed. Simultaneously with the execution of this Lease and as a condition to the effectiveness of this Lease, Landlord shall deliver to Tenant an SNDA executed by Landlord’s current Mortgagee in a form reasonably acceptable to Tenant and such Mortgagee.</w:t>
      </w:r>
    </w:p>
    <w:p>
      <w:pPr>
        <w:spacing w:after="0" w:line="207" w:lineRule="exact"/>
        <w:rPr>
          <w:sz w:val="20"/>
          <w:szCs w:val="20"/>
          <w:color w:val="auto"/>
        </w:rPr>
      </w:pPr>
    </w:p>
    <w:p>
      <w:pPr>
        <w:ind w:left="440" w:hanging="432"/>
        <w:spacing w:after="0"/>
        <w:tabs>
          <w:tab w:leader="none" w:pos="4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Hazardous Substances</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Tenant will conduct all the activities of Tenant and Tenant’s Affiliates, at the Project in compliance with Environmental Laws.</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Tenant covenants that it will obtain prior to commencement of construction of the Data Center, all permits, licenses or approvals required by any applicable Environmental Laws necessary for Tenant’s operation of its business at the Premises for the Permitted Use.</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Hazardous Substances</w:t>
      </w:r>
      <w:r>
        <w:rPr>
          <w:rFonts w:ascii="Times New Roman" w:cs="Times New Roman" w:eastAsia="Times New Roman" w:hAnsi="Times New Roman"/>
          <w:sz w:val="22"/>
          <w:szCs w:val="22"/>
          <w:color w:val="auto"/>
        </w:rPr>
        <w:t>. Tenant will not cause or permit any Hazardous Substances to be brought upon, kept or used at the Premises without the prior written approval of Landlord; provided, however, that the approval of Landlord will not be required for the use of cleaning supplies, toner for photocopying machines and other similar materials, in containers and quantities reasonably necessary for and consistent with ordinary office use or routine janitorial service, or the use of Hazardous Substances reasonably required for the operation of Tenant’s business for the Permitted Use, provided that in no event shall Tenant cause or permit the use or storage at the Premises of:</w:t>
      </w:r>
    </w:p>
    <w:p>
      <w:pPr>
        <w:spacing w:after="0" w:line="179"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0"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radioactive, explosive, highly flammable or biohazardous materials at the Premises or any materials which emit a noticeable odor or fumes;</w:t>
      </w:r>
    </w:p>
    <w:p>
      <w:pPr>
        <w:spacing w:after="0" w:line="184" w:lineRule="exact"/>
        <w:rPr>
          <w:rFonts w:ascii="Times New Roman" w:cs="Times New Roman" w:eastAsia="Times New Roman" w:hAnsi="Times New Roman"/>
          <w:sz w:val="22"/>
          <w:szCs w:val="22"/>
          <w:color w:val="auto"/>
        </w:rPr>
      </w:pPr>
    </w:p>
    <w:p>
      <w:pPr>
        <w:ind w:left="760" w:firstLine="745"/>
        <w:spacing w:after="0" w:line="244" w:lineRule="auto"/>
        <w:tabs>
          <w:tab w:leader="none" w:pos="2372"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 or material which, under applicable Governmental Requirements, would require any alteration of the Premises (e.g., special safety measures for explosive or highly flammable materials or special security measures for controlled substances);</w:t>
      </w:r>
    </w:p>
    <w:p>
      <w:pPr>
        <w:spacing w:after="0" w:line="199"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0"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bulk quantities of chemicals (which is not intended to prohibit the use or storage of products having one or more chemicals as components, unless such product is otherwise prohibited by the provisions of this Special Stipulation); and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0" w:name="page211"/>
    <w:bookmarkEnd w:id="210"/>
    <w:p>
      <w:pPr>
        <w:ind w:right="300" w:firstLine="8"/>
        <w:spacing w:after="0" w:line="286" w:lineRule="auto"/>
        <w:tabs>
          <w:tab w:leader="none" w:pos="315"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ind w:left="760" w:firstLine="745"/>
        <w:spacing w:after="0" w:line="258" w:lineRule="auto"/>
        <w:tabs>
          <w:tab w:leader="none" w:pos="19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 or material which, in the reasonable judgment of Landlord, will result in a material increase in the risk of Contamination at the Premises.</w:t>
      </w:r>
    </w:p>
    <w:p>
      <w:pPr>
        <w:spacing w:after="0" w:line="184"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2"/>
          <w:szCs w:val="22"/>
          <w:color w:val="auto"/>
        </w:rPr>
        <w:t>Notwithstanding the foregoing, the Parties acknowledge that Tenant utilizes backup power generators that use diesel as fuel and that use and storage of such fuel on the Premises by Tenant shall not be in violation of this Section; provided however, such fuel is stored as required by law.</w:t>
      </w:r>
    </w:p>
    <w:p>
      <w:pPr>
        <w:spacing w:after="0" w:line="199" w:lineRule="exact"/>
        <w:rPr>
          <w:sz w:val="20"/>
          <w:szCs w:val="20"/>
          <w:color w:val="auto"/>
        </w:rPr>
      </w:pPr>
    </w:p>
    <w:p>
      <w:pPr>
        <w:jc w:val="both"/>
        <w:ind w:firstLine="439"/>
        <w:spacing w:after="0" w:line="244" w:lineRule="auto"/>
        <w:tabs>
          <w:tab w:leader="none" w:pos="87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xml:space="preserve">. In addition to the limitations set forth in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above, Landlord’s consent to the use and storage of Hazardous Substances used by Tenant as part of the Permitted Uses is conditioned upon Tenant’s compliance with the following requirements:</w:t>
      </w:r>
    </w:p>
    <w:p>
      <w:pPr>
        <w:spacing w:after="0" w:line="199" w:lineRule="exact"/>
        <w:rPr>
          <w:rFonts w:ascii="Times New Roman" w:cs="Times New Roman" w:eastAsia="Times New Roman" w:hAnsi="Times New Roman"/>
          <w:sz w:val="22"/>
          <w:szCs w:val="22"/>
          <w:color w:val="auto"/>
        </w:rPr>
      </w:pPr>
    </w:p>
    <w:p>
      <w:pPr>
        <w:ind w:left="760" w:firstLine="745"/>
        <w:spacing w:after="0" w:line="258" w:lineRule="auto"/>
        <w:tabs>
          <w:tab w:leader="none" w:pos="1981"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All use and storage must at all times be in compliance with all applicable Governmental Requirements, including without limitation, Environmental Laws.</w:t>
      </w:r>
    </w:p>
    <w:p>
      <w:pPr>
        <w:spacing w:after="0" w:line="184"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Tenant must obtain all necessary permits and approvals required under applicable Environmental Laws and all use and storage must at all times be in compliance with those permits and approvals.</w:t>
      </w:r>
    </w:p>
    <w:p>
      <w:pPr>
        <w:spacing w:after="0" w:line="184"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0"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MSDS Sheets</w:t>
      </w:r>
      <w:r>
        <w:rPr>
          <w:rFonts w:ascii="Times New Roman" w:cs="Times New Roman" w:eastAsia="Times New Roman" w:hAnsi="Times New Roman"/>
          <w:sz w:val="22"/>
          <w:szCs w:val="22"/>
          <w:color w:val="auto"/>
        </w:rPr>
        <w:t>. All use and storage must be conducted in accordance with the Materials Safety Data Sheets which Tenant has provided to Landlord.</w:t>
      </w:r>
    </w:p>
    <w:p>
      <w:pPr>
        <w:spacing w:after="0" w:line="184"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54"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Any use or storage may not be conducted in a manner that would cause the Premises to become subject to regulation as a hazardous waste treatment, storage or disposal facility under RCRA or the regulations promulgated thereunder.</w:t>
      </w:r>
    </w:p>
    <w:p>
      <w:pPr>
        <w:spacing w:after="0" w:line="199"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54"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RCRA Generator</w:t>
      </w:r>
      <w:r>
        <w:rPr>
          <w:rFonts w:ascii="Times New Roman" w:cs="Times New Roman" w:eastAsia="Times New Roman" w:hAnsi="Times New Roman"/>
          <w:sz w:val="22"/>
          <w:szCs w:val="22"/>
          <w:color w:val="auto"/>
        </w:rPr>
        <w:t>. Any use or storage may not be conducted in a manner as to cause Tenant to become regulated as a generator under RCRA other than as a Conditionally Exempt Small Quantity Generator as defined by RCRA.</w:t>
      </w:r>
    </w:p>
    <w:p>
      <w:pPr>
        <w:spacing w:after="0" w:line="19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deleted</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Hazardous Substances</w:t>
      </w:r>
      <w:r>
        <w:rPr>
          <w:rFonts w:ascii="Times New Roman" w:cs="Times New Roman" w:eastAsia="Times New Roman" w:hAnsi="Times New Roman"/>
          <w:sz w:val="22"/>
          <w:szCs w:val="22"/>
          <w:color w:val="auto"/>
        </w:rPr>
        <w:t>. Tenant will not cause or permit the release of any Hazardous Substances by Tenant or Tenant's Affiliates into the air, water or land, or into the Premises or any adjacent properties in any manner that violates any Environmental Laws. If such release of any Hazardous Substances occurs, Tenant will do the following:</w:t>
      </w:r>
    </w:p>
    <w:p>
      <w:pPr>
        <w:spacing w:after="0" w:line="199" w:lineRule="exact"/>
        <w:rPr>
          <w:rFonts w:ascii="Times New Roman" w:cs="Times New Roman" w:eastAsia="Times New Roman" w:hAnsi="Times New Roman"/>
          <w:sz w:val="22"/>
          <w:szCs w:val="22"/>
          <w:color w:val="auto"/>
        </w:rPr>
      </w:pPr>
    </w:p>
    <w:p>
      <w:pPr>
        <w:ind w:left="2140" w:hanging="440"/>
        <w:spacing w:after="0"/>
        <w:tabs>
          <w:tab w:leader="none" w:pos="2140" w:val="left"/>
        </w:tabs>
        <w:numPr>
          <w:ilvl w:val="3"/>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take all steps reasonably necessary to contain and control such release and any associated</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Contamination;</w:t>
      </w:r>
    </w:p>
    <w:p>
      <w:pPr>
        <w:spacing w:after="0" w:line="208" w:lineRule="exact"/>
        <w:rPr>
          <w:rFonts w:ascii="Times New Roman" w:cs="Times New Roman" w:eastAsia="Times New Roman" w:hAnsi="Times New Roman"/>
          <w:sz w:val="22"/>
          <w:szCs w:val="22"/>
          <w:color w:val="auto"/>
        </w:rPr>
      </w:pPr>
    </w:p>
    <w:p>
      <w:pPr>
        <w:ind w:left="760" w:right="60" w:firstLine="940"/>
        <w:spacing w:after="0" w:line="258" w:lineRule="auto"/>
        <w:tabs>
          <w:tab w:leader="none" w:pos="2135" w:val="left"/>
        </w:tabs>
        <w:numPr>
          <w:ilvl w:val="3"/>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investigate and clean up or otherwise remedy such release and any associated Contamination to the extent required by, and take any and all other actions required under, applicable Environmental Laws; and</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1" w:name="page212"/>
    <w:bookmarkEnd w:id="211"/>
    <w:p>
      <w:pPr>
        <w:ind w:right="300" w:firstLine="8"/>
        <w:spacing w:after="0" w:line="286" w:lineRule="auto"/>
        <w:tabs>
          <w:tab w:leader="none" w:pos="315"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5" w:lineRule="exact"/>
        <w:rPr>
          <w:rFonts w:ascii="Times New Roman" w:cs="Times New Roman" w:eastAsia="Times New Roman" w:hAnsi="Times New Roman"/>
          <w:sz w:val="18"/>
          <w:szCs w:val="18"/>
          <w:b w:val="1"/>
          <w:bCs w:val="1"/>
          <w:color w:val="auto"/>
        </w:rPr>
      </w:pPr>
    </w:p>
    <w:p>
      <w:pPr>
        <w:ind w:left="2140" w:hanging="440"/>
        <w:spacing w:after="0"/>
        <w:tabs>
          <w:tab w:leader="none" w:pos="2140" w:val="left"/>
        </w:tabs>
        <w:numPr>
          <w:ilvl w:val="6"/>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and keep Landlord reasonably informed of such release and response.</w:t>
      </w:r>
    </w:p>
    <w:p>
      <w:pPr>
        <w:spacing w:after="0" w:line="232" w:lineRule="exact"/>
        <w:rPr>
          <w:rFonts w:ascii="Times New Roman" w:cs="Times New Roman" w:eastAsia="Times New Roman" w:hAnsi="Times New Roman"/>
          <w:sz w:val="22"/>
          <w:szCs w:val="22"/>
          <w:color w:val="auto"/>
        </w:rPr>
      </w:pPr>
    </w:p>
    <w:p>
      <w:pPr>
        <w:ind w:left="1360" w:hanging="603"/>
        <w:spacing w:after="0"/>
        <w:tabs>
          <w:tab w:leader="none" w:pos="1360"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Hazardous Activities</w:t>
      </w:r>
      <w:r>
        <w:rPr>
          <w:rFonts w:ascii="Times New Roman" w:cs="Times New Roman" w:eastAsia="Times New Roman" w:hAnsi="Times New Roman"/>
          <w:sz w:val="22"/>
          <w:szCs w:val="22"/>
          <w:color w:val="auto"/>
        </w:rPr>
        <w:t>. Tenant will not cause or permit the following to occur:</w:t>
      </w:r>
    </w:p>
    <w:p>
      <w:pPr>
        <w:spacing w:after="0" w:line="232" w:lineRule="exact"/>
        <w:rPr>
          <w:rFonts w:ascii="Times New Roman" w:cs="Times New Roman" w:eastAsia="Times New Roman" w:hAnsi="Times New Roman"/>
          <w:sz w:val="22"/>
          <w:szCs w:val="22"/>
          <w:color w:val="auto"/>
        </w:rPr>
      </w:pPr>
    </w:p>
    <w:p>
      <w:pPr>
        <w:ind w:left="760" w:right="40" w:firstLine="940"/>
        <w:spacing w:after="0" w:line="258" w:lineRule="auto"/>
        <w:tabs>
          <w:tab w:leader="none" w:pos="2135" w:val="left"/>
        </w:tabs>
        <w:numPr>
          <w:ilvl w:val="6"/>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activity which would cause the Premises to become subject to regulation as a hazardous waste treatment, storage or disposal facility under applicable Environmental Laws (including, without limitation, RCRA);</w:t>
      </w:r>
    </w:p>
    <w:p>
      <w:pPr>
        <w:spacing w:after="0" w:line="184" w:lineRule="exact"/>
        <w:rPr>
          <w:rFonts w:ascii="Times New Roman" w:cs="Times New Roman" w:eastAsia="Times New Roman" w:hAnsi="Times New Roman"/>
          <w:sz w:val="22"/>
          <w:szCs w:val="22"/>
          <w:color w:val="auto"/>
        </w:rPr>
      </w:pPr>
    </w:p>
    <w:p>
      <w:pPr>
        <w:ind w:left="2140" w:hanging="440"/>
        <w:spacing w:after="0"/>
        <w:tabs>
          <w:tab w:leader="none" w:pos="2140" w:val="left"/>
        </w:tabs>
        <w:numPr>
          <w:ilvl w:val="6"/>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discharge of Hazardous Substances into the storm sewer system serving the Premises; or</w:t>
      </w:r>
    </w:p>
    <w:p>
      <w:pPr>
        <w:spacing w:after="0" w:line="232" w:lineRule="exact"/>
        <w:rPr>
          <w:rFonts w:ascii="Times New Roman" w:cs="Times New Roman" w:eastAsia="Times New Roman" w:hAnsi="Times New Roman"/>
          <w:sz w:val="22"/>
          <w:szCs w:val="22"/>
          <w:color w:val="auto"/>
        </w:rPr>
      </w:pPr>
    </w:p>
    <w:p>
      <w:pPr>
        <w:jc w:val="both"/>
        <w:ind w:left="760" w:firstLine="940"/>
        <w:spacing w:after="0" w:line="239" w:lineRule="auto"/>
        <w:tabs>
          <w:tab w:leader="none" w:pos="2135" w:val="left"/>
        </w:tabs>
        <w:numPr>
          <w:ilvl w:val="6"/>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installation of any underground storage tank or underground piping on or under the Premises, except as may be necessary for the efficient use of the Improvements, including, but not limited to, the installation of underground water piping for the purpose of cooling the Improvements and the installation of electrical conduit for the purpose of routing electrical conductors.</w:t>
      </w:r>
    </w:p>
    <w:p>
      <w:pPr>
        <w:spacing w:after="0" w:line="205" w:lineRule="exact"/>
        <w:rPr>
          <w:rFonts w:ascii="Times New Roman" w:cs="Times New Roman" w:eastAsia="Times New Roman" w:hAnsi="Times New Roman"/>
          <w:sz w:val="22"/>
          <w:szCs w:val="22"/>
          <w:color w:val="auto"/>
        </w:rPr>
      </w:pPr>
    </w:p>
    <w:p>
      <w:pPr>
        <w:jc w:val="both"/>
        <w:ind w:firstLine="439"/>
        <w:spacing w:after="0" w:line="237" w:lineRule="auto"/>
        <w:tabs>
          <w:tab w:leader="none" w:pos="89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Indemnity</w:t>
      </w:r>
      <w:r>
        <w:rPr>
          <w:rFonts w:ascii="Times New Roman" w:cs="Times New Roman" w:eastAsia="Times New Roman" w:hAnsi="Times New Roman"/>
          <w:sz w:val="22"/>
          <w:szCs w:val="22"/>
          <w:color w:val="auto"/>
        </w:rPr>
        <w:t xml:space="preserve">. Tenant will indemnify Landlord and hold Landlord harmless from and against any and all Losses suffered by Landlord (except to the extent arising out of Landlord's own negligence or willful act), by reason of the storage, generation, release, handling, treatment, transportation, disposal, or arrangement for transportation or disposal, of any Hazardous Substances by Tenant or Tenant's Affiliates or by reason of Tenant's breach of any of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Such Losses will include, without limitation, the following:</w:t>
      </w:r>
    </w:p>
    <w:p>
      <w:pPr>
        <w:spacing w:after="0" w:line="207" w:lineRule="exact"/>
        <w:rPr>
          <w:rFonts w:ascii="Times New Roman" w:cs="Times New Roman" w:eastAsia="Times New Roman" w:hAnsi="Times New Roman"/>
          <w:sz w:val="22"/>
          <w:szCs w:val="22"/>
          <w:color w:val="auto"/>
        </w:rPr>
      </w:pPr>
    </w:p>
    <w:p>
      <w:pPr>
        <w:ind w:left="1740" w:hanging="438"/>
        <w:spacing w:after="0"/>
        <w:tabs>
          <w:tab w:leader="none" w:pos="1740" w:val="left"/>
        </w:tabs>
        <w:numPr>
          <w:ilvl w:val="4"/>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expenses to comply with any Environmental Laws;</w:t>
      </w:r>
    </w:p>
    <w:p>
      <w:pPr>
        <w:spacing w:after="0" w:line="232" w:lineRule="exact"/>
        <w:rPr>
          <w:rFonts w:ascii="Times New Roman" w:cs="Times New Roman" w:eastAsia="Times New Roman" w:hAnsi="Times New Roman"/>
          <w:sz w:val="22"/>
          <w:szCs w:val="22"/>
          <w:color w:val="auto"/>
        </w:rPr>
      </w:pPr>
    </w:p>
    <w:p>
      <w:pPr>
        <w:ind w:left="560" w:right="140" w:firstLine="872"/>
        <w:spacing w:after="0" w:line="258" w:lineRule="auto"/>
        <w:tabs>
          <w:tab w:leader="none" w:pos="1854" w:val="left"/>
        </w:tabs>
        <w:numPr>
          <w:ilvl w:val="5"/>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that Landlord may incur in studying, remedying, removing, disposing or otherwise addressing any Contamination or Hazardous Substances at or arising from the Premises;</w:t>
      </w:r>
    </w:p>
    <w:p>
      <w:pPr>
        <w:spacing w:after="0" w:line="184" w:lineRule="exact"/>
        <w:rPr>
          <w:rFonts w:ascii="Times New Roman" w:cs="Times New Roman" w:eastAsia="Times New Roman" w:hAnsi="Times New Roman"/>
          <w:sz w:val="22"/>
          <w:szCs w:val="22"/>
          <w:color w:val="auto"/>
        </w:rPr>
      </w:pPr>
    </w:p>
    <w:p>
      <w:pPr>
        <w:ind w:left="560" w:right="120" w:firstLine="872"/>
        <w:spacing w:after="0" w:line="258" w:lineRule="auto"/>
        <w:tabs>
          <w:tab w:leader="none" w:pos="1854" w:val="left"/>
        </w:tabs>
        <w:numPr>
          <w:ilvl w:val="5"/>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fines, penalties or other sanctions and any liens or claims, including but not limited to natural resource damages claims, assessed upon Landlord; and</w:t>
      </w:r>
    </w:p>
    <w:p>
      <w:pPr>
        <w:spacing w:after="0" w:line="184" w:lineRule="exact"/>
        <w:rPr>
          <w:rFonts w:ascii="Times New Roman" w:cs="Times New Roman" w:eastAsia="Times New Roman" w:hAnsi="Times New Roman"/>
          <w:sz w:val="22"/>
          <w:szCs w:val="22"/>
          <w:color w:val="auto"/>
        </w:rPr>
      </w:pPr>
    </w:p>
    <w:p>
      <w:pPr>
        <w:ind w:left="1860" w:hanging="428"/>
        <w:spacing w:after="0"/>
        <w:tabs>
          <w:tab w:leader="none" w:pos="1860" w:val="left"/>
        </w:tabs>
        <w:numPr>
          <w:ilvl w:val="5"/>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and professional fees and costs incurred by Landlord in connection with the foregoing.</w:t>
      </w:r>
    </w:p>
    <w:p>
      <w:pPr>
        <w:spacing w:after="0" w:line="232"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 xml:space="preserve">Survival. </w:t>
      </w:r>
      <w:r>
        <w:rPr>
          <w:rFonts w:ascii="Times New Roman" w:cs="Times New Roman" w:eastAsia="Times New Roman" w:hAnsi="Times New Roman"/>
          <w:sz w:val="22"/>
          <w:szCs w:val="22"/>
          <w:color w:val="auto"/>
        </w:rPr>
        <w:t>The indemnification obligations of Tenant contained in this</w:t>
      </w:r>
      <w:r>
        <w:rPr>
          <w:rFonts w:ascii="Times New Roman" w:cs="Times New Roman" w:eastAsia="Times New Roman" w:hAnsi="Times New Roman"/>
          <w:sz w:val="22"/>
          <w:szCs w:val="22"/>
          <w:u w:val="single" w:color="auto"/>
          <w:color w:val="auto"/>
        </w:rPr>
        <w:t xml:space="preserve"> Section 23 </w:t>
      </w:r>
      <w:r>
        <w:rPr>
          <w:rFonts w:ascii="Times New Roman" w:cs="Times New Roman" w:eastAsia="Times New Roman" w:hAnsi="Times New Roman"/>
          <w:sz w:val="22"/>
          <w:szCs w:val="22"/>
          <w:color w:val="auto"/>
        </w:rPr>
        <w:t>will survive the Expiration</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p>
    <w:p>
      <w:pPr>
        <w:spacing w:after="0" w:line="204" w:lineRule="exact"/>
        <w:rPr>
          <w:sz w:val="20"/>
          <w:szCs w:val="20"/>
          <w:color w:val="auto"/>
        </w:rPr>
      </w:pPr>
    </w:p>
    <w:p>
      <w:pPr>
        <w:jc w:val="both"/>
        <w:ind w:firstLine="8"/>
        <w:spacing w:after="0"/>
        <w:tabs>
          <w:tab w:leader="none" w:pos="43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Prevailing Party</w:t>
      </w:r>
      <w:r>
        <w:rPr>
          <w:rFonts w:ascii="Times New Roman" w:cs="Times New Roman" w:eastAsia="Times New Roman" w:hAnsi="Times New Roman"/>
          <w:sz w:val="22"/>
          <w:szCs w:val="22"/>
          <w:color w:val="auto"/>
        </w:rPr>
        <w:t>. In the event of a dispute between Landlord and Tenant regarding the terms of this Lease,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regarding the enforcement of this Lease or the interpretation of any provision of this Lease, whether arising in a lawsuit filed by either Landlord or Tenant, an arbitration, bankruptcy or otherwise, the prevailing party in such dispute will be entitled to recover from the other its Legal Costs in connection with such dispute.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2" w:name="page213"/>
    <w:bookmarkEnd w:id="212"/>
    <w:p>
      <w:pPr>
        <w:ind w:right="300" w:firstLine="8"/>
        <w:spacing w:after="0" w:line="286" w:lineRule="auto"/>
        <w:tabs>
          <w:tab w:leader="none" w:pos="31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jc w:val="both"/>
        <w:ind w:firstLine="8"/>
        <w:spacing w:after="0" w:line="237" w:lineRule="auto"/>
        <w:tabs>
          <w:tab w:leader="none" w:pos="43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If a demand, request, approval, consent or notice (collectively, a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shall or may be given to either party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other, the notice shall be in writing and delivered by hand or sent by registered or certified mail with return receipt requested, or sent by overnight or same day courier service, at the party’s respective Notice Address(es)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u w:val="single" w:color="auto"/>
          <w:color w:val="0000FF"/>
        </w:rPr>
        <w:t>S</w:t>
      </w:r>
      <w:r>
        <w:rPr>
          <w:rFonts w:ascii="Times New Roman" w:cs="Times New Roman" w:eastAsia="Times New Roman" w:hAnsi="Times New Roman"/>
          <w:sz w:val="22"/>
          <w:szCs w:val="22"/>
          <w:color w:val="auto"/>
        </w:rPr>
        <w:t>. Each notice shall be deemed to have been received or given on the earlier to occur of actual delivery or the date on which delivery is first refused. Either party may, at any time, change its Notice Address by giving the other party written notice of the new address in the manner described in this Section.</w:t>
      </w:r>
    </w:p>
    <w:p>
      <w:pPr>
        <w:spacing w:after="0" w:line="173" w:lineRule="exact"/>
        <w:rPr>
          <w:rFonts w:ascii="Times New Roman" w:cs="Times New Roman" w:eastAsia="Times New Roman" w:hAnsi="Times New Roman"/>
          <w:sz w:val="22"/>
          <w:szCs w:val="22"/>
          <w:color w:val="auto"/>
        </w:rPr>
      </w:pPr>
    </w:p>
    <w:p>
      <w:pPr>
        <w:jc w:val="both"/>
        <w:ind w:firstLine="8"/>
        <w:spacing w:after="0" w:line="238" w:lineRule="auto"/>
        <w:tabs>
          <w:tab w:leader="none" w:pos="45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Existing Agreements</w:t>
      </w:r>
      <w:r>
        <w:rPr>
          <w:rFonts w:ascii="Times New Roman" w:cs="Times New Roman" w:eastAsia="Times New Roman" w:hAnsi="Times New Roman"/>
          <w:sz w:val="22"/>
          <w:szCs w:val="22"/>
          <w:color w:val="auto"/>
        </w:rPr>
        <w:t>. Tenant shall conduct its operations so as not to interfere with any existing Agreements, Right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Ways, Easements or Leases related to the Premises. Tenant shall not block any roads or interfere with any entities access to any existing Lease, Right of Way or Easement. Landlord may travel on any roads located within the Premises without interference from Tenant. Tenant shall seek agreements from any oil and gas operators or mineral interest owners as are necessary for Tenant to conduct its operations contemplated herein.</w:t>
      </w:r>
    </w:p>
    <w:p>
      <w:pPr>
        <w:spacing w:after="0" w:line="174" w:lineRule="exact"/>
        <w:rPr>
          <w:rFonts w:ascii="Times New Roman" w:cs="Times New Roman" w:eastAsia="Times New Roman" w:hAnsi="Times New Roman"/>
          <w:sz w:val="22"/>
          <w:szCs w:val="22"/>
          <w:color w:val="auto"/>
        </w:rPr>
      </w:pPr>
    </w:p>
    <w:p>
      <w:pPr>
        <w:jc w:val="both"/>
        <w:ind w:firstLine="8"/>
        <w:spacing w:after="0" w:line="234" w:lineRule="auto"/>
        <w:tabs>
          <w:tab w:leader="none" w:pos="43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Caliche and Fill Dirt.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shall purchase exclusively from Landlord all caliche and/or fill dirt from Landlord to be 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construct roads, locations and other facilities on the Subject Lands from Landlord at a price of SEVEN AND 50/100 DOLLARS ($7.50) per yard. Tenant shall notify Landlord no less than five (5) days before any caliche and/or fill dirt is extracted from the surface so that Landlord may be present. Measurement of amount of caliche and/or fill dirt is subject to review by Landlord. All caliche and/or fill dirt used in construction on the Subject Lands, regardless of the source of this caliche is a resource belonging to the surface estate and payment for the total amounts of caliche and/or fill dirt extracted from the surface for use in any construction or operations based on SEVEN AND 50/100 DOLLARS ($7.50) per yard. Unless the quantity and quality of caliche or fill dirt available from Landlord’s property is insufficient for Tenant’s purposes, no caliche or fill dirt shall be brought on the Subject Lands from outside sources without Landlord’s prior written consent. If caliche and fill dirt are brought onto the Premises, Tenant shall pay Landlord at a price of SEVEN AND 50/100 DOLLARS ($7.50) per yard.</w:t>
      </w:r>
    </w:p>
    <w:p>
      <w:pPr>
        <w:spacing w:after="0" w:line="176" w:lineRule="exact"/>
        <w:rPr>
          <w:rFonts w:ascii="Times New Roman" w:cs="Times New Roman" w:eastAsia="Times New Roman" w:hAnsi="Times New Roman"/>
          <w:sz w:val="22"/>
          <w:szCs w:val="22"/>
          <w:color w:val="auto"/>
        </w:rPr>
      </w:pPr>
    </w:p>
    <w:p>
      <w:pPr>
        <w:jc w:val="both"/>
        <w:ind w:firstLine="8"/>
        <w:spacing w:after="0" w:line="237" w:lineRule="auto"/>
        <w:tabs>
          <w:tab w:leader="none" w:pos="45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Water</w:t>
      </w:r>
      <w:r>
        <w:rPr>
          <w:rFonts w:ascii="Calibri" w:cs="Calibri" w:eastAsia="Calibri" w:hAnsi="Calibri"/>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shall be prohibited from drilling any water well on the property. However, Tenant shall be permitted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water from third-parties, including those third-parties operating on any Lands owned by the Landlord. Specifically, though not exclusively, Tenant is authorized by Landlord to purchase water from R Rig Energy and to utilize the R Rig Energy’s water pipeline that is located on or near the Land. Furthermore, Tenant is specifically allowed, with the consent of R Rig Energy or its successors or assigns, to connect to R Rig Energy’s water pipeline and divert such water from said pipeline as is specifically allowed by R Rig Energy pursuant to a separate agreement. In doing so, Tenant agrees that it shall not divert or utilize an amount of water from R Rig Energy that is commercially unreasonable.</w:t>
      </w:r>
    </w:p>
    <w:p>
      <w:pPr>
        <w:spacing w:after="0" w:line="177" w:lineRule="exact"/>
        <w:rPr>
          <w:rFonts w:ascii="Times New Roman" w:cs="Times New Roman" w:eastAsia="Times New Roman" w:hAnsi="Times New Roman"/>
          <w:sz w:val="22"/>
          <w:szCs w:val="22"/>
          <w:color w:val="auto"/>
        </w:rPr>
      </w:pPr>
    </w:p>
    <w:p>
      <w:pPr>
        <w:jc w:val="both"/>
        <w:ind w:firstLine="8"/>
        <w:spacing w:after="0" w:line="237" w:lineRule="auto"/>
        <w:tabs>
          <w:tab w:leader="none" w:pos="44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Roads</w:t>
      </w:r>
      <w:r>
        <w:rPr>
          <w:rFonts w:ascii="Times New Roman" w:cs="Times New Roman" w:eastAsia="Times New Roman" w:hAnsi="Times New Roman"/>
          <w:sz w:val="22"/>
          <w:szCs w:val="22"/>
          <w:color w:val="auto"/>
        </w:rPr>
        <w:t>. Tenant shall have the non-exclusive right to use Landlord’s existing roads by paying the one-time sum of FIFTY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DOLLARS ($50.00) per rod for such portion of such existing roads that is used by Tenant after the execution of this agreement. Such existing roads are as set forth on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attached hereto. Tenant shall have the right to construct a new road only with the prior, express and written consent of Landlord. Tenant shall pay Landlord the one-time sum of SEVENTY-FIVE DOLLARS ($75.00) per rod for all new road construction. All roads constructed by Tenant shall be at all times maintained to a maximum width of 20’, a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-3714115</wp:posOffset>
            </wp:positionV>
            <wp:extent cx="342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-186055</wp:posOffset>
            </wp:positionV>
            <wp:extent cx="4254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3" w:name="page214"/>
    <w:bookmarkEnd w:id="213"/>
    <w:p>
      <w:pPr>
        <w:ind w:right="300" w:firstLine="8"/>
        <w:spacing w:after="0" w:line="286" w:lineRule="auto"/>
        <w:tabs>
          <w:tab w:leader="none" w:pos="315"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width of 12’ and a minimum amount of FOUR INCHES (4”) of caliche or crushed limestone base on the road. </w:t>
      </w:r>
      <w:r>
        <w:rPr>
          <w:rFonts w:ascii="Times New Roman" w:cs="Times New Roman" w:eastAsia="Times New Roman" w:hAnsi="Times New Roman"/>
          <w:sz w:val="19"/>
          <w:szCs w:val="19"/>
          <w:color w:val="auto"/>
        </w:rPr>
        <w:t>Landlord</w:t>
      </w:r>
      <w:r>
        <w:rPr>
          <w:rFonts w:ascii="Times New Roman" w:cs="Times New Roman" w:eastAsia="Times New Roman" w:hAnsi="Times New Roman"/>
          <w:sz w:val="22"/>
          <w:szCs w:val="22"/>
          <w:color w:val="auto"/>
        </w:rPr>
        <w:t xml:space="preserve"> may travel on any roads located within the Premises without interference from Tenant.</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 speed limit of 30 m.p.h. will be in force and Tenant shall enforce such speed limit. All roads used and damaged by Tenant will be restored by Tenant to a good condition that permits the safe and comfortable travel under ordinary weather conditions by a (2) two-wheel drive passenger car. Driving into pastureland or off road for any reason, including but not limited to avoid mud holes, washouts, or speed bumps is expressly prohibited plus Tenant shall be required to restore the pastureland to its original condition.</w:t>
      </w:r>
    </w:p>
    <w:p>
      <w:pPr>
        <w:spacing w:after="0" w:line="20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All cattle guards and gates, including temporary gates or wired gaps, shall be locked at all times except when actually passing through same. Locks will be clearly labeled by the owner to identify those having access. Further, all cattle guards and gates will remain the property of Landlord upon abandonment of the right-of-way and easement at the sole discretion of Landlord. Subject to the terms of paragraph, Tenant will install and maintain gates at all fence crossings; such gates will be installed in a manner that will not weaken such fences. During all construction and maintenance operations by Tenant on the Premises and as reasonably requested by Landlord, Tenant, at its sole expense, shall maintain a guard presence within the fenced area of the Data Center, which guard is to take the name of each entrant, license number of the driver, company and license plate number, make and model of the vehicle. Tenant may not use the Premises solely as a means to access the surface estate of a third-party land owner without the express written consent of Landlord and of said third party land owner.</w:t>
      </w:r>
    </w:p>
    <w:p>
      <w:pPr>
        <w:spacing w:after="0" w:line="203" w:lineRule="exact"/>
        <w:rPr>
          <w:sz w:val="20"/>
          <w:szCs w:val="20"/>
          <w:color w:val="auto"/>
        </w:rPr>
      </w:pPr>
    </w:p>
    <w:p>
      <w:pPr>
        <w:jc w:val="both"/>
        <w:ind w:firstLine="8"/>
        <w:spacing w:after="0" w:line="234" w:lineRule="auto"/>
        <w:tabs>
          <w:tab w:leader="none" w:pos="48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Restoration Fund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such time as Tenant constructs any improvement on the premises, Tenant shall pay via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Bond or Letter of Credit, an amount equal to one-tenth (1/10) of the rent paid pursuant to Section 4. on an annual basis for the remainder of the initial Term to serve as a restoration fund (the “</w:t>
      </w:r>
      <w:r>
        <w:rPr>
          <w:rFonts w:ascii="Times New Roman" w:cs="Times New Roman" w:eastAsia="Times New Roman" w:hAnsi="Times New Roman"/>
          <w:sz w:val="22"/>
          <w:szCs w:val="22"/>
          <w:b w:val="1"/>
          <w:bCs w:val="1"/>
          <w:color w:val="auto"/>
        </w:rPr>
        <w:t>Restoration Fund</w:t>
      </w:r>
      <w:r>
        <w:rPr>
          <w:rFonts w:ascii="Times New Roman" w:cs="Times New Roman" w:eastAsia="Times New Roman" w:hAnsi="Times New Roman"/>
          <w:sz w:val="22"/>
          <w:szCs w:val="22"/>
          <w:color w:val="auto"/>
        </w:rPr>
        <w:t>”). In addition, at the time the initial construction, Tenant shall deposit into the Restoration Fund a sum equal to the number or years that the Lease was previously in effect times an amount equal to one-tenth (1/10) of the rent paid pursuant to Section 4. By way of example only, if improvements are completed in year three of the Lease and storage commences in year three, Tenant shall deposit three-tenth (3/10) of the rent paid pursuant to Section 4. into the Restoration Fund in year three, and then one-tenth (1/10) of the rent paid pursuant to Section 4. for each year beginning in year four until a total Restoration Fund equal to the total rent paid for the initial ten (10) year Term exists. In no event shall Tenant ever be required to deposit into the Restoration Fund more than an amount equal to the rent paid for the initial twenty (10) year Term while the Lease is in effect during the initial Term or any renewal terms.</w:t>
      </w:r>
    </w:p>
    <w:p>
      <w:pPr>
        <w:spacing w:after="0" w:line="176"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color w:val="auto"/>
        </w:rPr>
        <w:t>In the event that Tenant does not remove any improvements constructed by it within ninety (90) days of vacating the Premises at the end of the Term or upon earlier termination of the Lease, Landlord may withdraw funds from the Restoration Fund to pay the reasonable cost of removing and disposing of any of the following that may have been placed on the Premises by Tenant: buildings and structures, concrete foundations, and concrete or asphalt roadways, drives and parking areas; provided, however, that no amount shall be withdrawn from the Restoration Fund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4" w:name="page215"/>
    <w:bookmarkEnd w:id="214"/>
    <w:p>
      <w:pPr>
        <w:ind w:right="300" w:firstLine="8"/>
        <w:spacing w:after="0" w:line="286" w:lineRule="auto"/>
        <w:tabs>
          <w:tab w:leader="none" w:pos="315"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by Landlord in the event Landlord fails or refuses to consent to Tenant’s removal of such improvements as provided in this Lease. Fill dirt, if any, shall not be removed at the cost of Tenant or by use of the Restoration Funds, unless said fill dirt is contaminated with Hazardous Substances or is not of similar nature to the native soil. Any funds in the Restoration Fund not withdrawn for that purpose within six (6) months of the end of the Term (as may have been renewed or extended) shall be released to Tenant.</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22"/>
          <w:szCs w:val="22"/>
          <w:color w:val="auto"/>
        </w:rPr>
        <w:t>In the event that the Lease is terminated within the initial Term or Tenant no longer enjoys possession or use of the Premises for any reason, then Tenant’s obligation to pay into the Restoration Fund shall immediately end.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Cattle. Tenant shall promptly notify Landlord in the event cattle enter the Premises and shall cooperate with Landlord for the removal of such cattle. </w:t>
      </w:r>
      <w:r>
        <w:rPr>
          <w:rFonts w:ascii="Times New Roman" w:cs="Times New Roman" w:eastAsia="Times New Roman" w:hAnsi="Times New Roman"/>
          <w:sz w:val="20"/>
          <w:szCs w:val="20"/>
          <w:color w:val="auto"/>
        </w:rPr>
        <w:t>Tenant’s use of the surface shall be done with the due regard to all other uses of the property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due regard to the livestock present on such property. Tenant’s activities shall be done in such a manner as to not unreasonably disturb the livestock located on Subject Lands. If any livestock escapes the property as a result of the acts and/or omissions of Tenant, then in addition to other remedies available to Landlord, Tenant shall pay Landlord 100% of the cost and expense incurred in retrieving the escaped Livestock. In addition, if any livestock is killed or injured or lost under circumstances in which a reasonably prudent person would assume it was done by those entering the Subject Lands under authority of Tenant and this Agreement, then in addition to other remedies available to Landlord, Tenant shall pay Landlord the fair market value of such animal, using prevailing rates being paid for such animal in the County where Subject Lands are located, and, with respect to livestock, taking into consideration whether such animal is registered. In the event that any livestock are injured as a result to Tenant’s use, Tenant shall be responsible for 100% of all veterinary bills and expenses related to such injured livestock. In the event that any livestock are killed as a result to Tenant’s use of Subject Lands, Tenant shall pay such owner of the livestock the fair market value of such livestock. The owner of such livestock shall notify Tenant, in writing, of the fair market value of such livestock and such fair market value shall be conclusively presumed to be the fair market value of such livestock unless Tenant provides written notice to such livestock owner of its dispute concerning the value of such livestock within ten (10) business days from the receipt of such written notice. In the event that Tenant’s disputes the fair market value of such livestock, Tenant, at Tenant’s sole expense, shall employ an independent third-party appraiser, reasonably agreed to by the livestock owner to determine the fair market value of such livestock. All compensation for injured, killed, escaped or lost livestock shall be made within ten (10) business days from the determination as to the expenses and fair market value of such livestock. In the event that payment is not made by Tenant to such livestock owner within five (5) business days from the due date of such payment, any unpaid amount shall accrue interest at the lesser of five percent (5%) per annum or the maximum amount provided by law.</w:t>
      </w:r>
    </w:p>
    <w:p>
      <w:pPr>
        <w:spacing w:after="0" w:line="200" w:lineRule="exact"/>
        <w:rPr>
          <w:sz w:val="20"/>
          <w:szCs w:val="20"/>
          <w:color w:val="auto"/>
        </w:rPr>
      </w:pPr>
    </w:p>
    <w:p>
      <w:pPr>
        <w:spacing w:after="0" w:line="23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 xml:space="preserve">Activities. </w:t>
      </w:r>
      <w:r>
        <w:rPr>
          <w:rFonts w:ascii="Times New Roman" w:cs="Times New Roman" w:eastAsia="Times New Roman" w:hAnsi="Times New Roman"/>
          <w:sz w:val="22"/>
          <w:szCs w:val="22"/>
          <w:color w:val="auto"/>
        </w:rPr>
        <w:t>Tenant agrees that Tenant shall bring no firearms, illegal drugs, dogs or illegal or hazardous substances in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leased property. Tenant’s right of entry upon Landlord’s lands is limited to reasonable times and places for the carrying out the intent of this Agreement, and absolutely no hunting or fishing will be permitted by Tenant or others in the employ of Tenant upon Landlord’s lands; and it is further agreed that neither Tenant nor its agents, servants,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5" w:name="page216"/>
    <w:bookmarkEnd w:id="215"/>
    <w:p>
      <w:pPr>
        <w:ind w:right="300" w:firstLine="8"/>
        <w:spacing w:after="0" w:line="286" w:lineRule="auto"/>
        <w:tabs>
          <w:tab w:leader="none" w:pos="315"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employees, contractors nor subcontractors will be permitted to bring firearms, fishing equipment, camping equipment and dogs upon Landlord’s lands, nor shall Tenant be allowed to remove any arrowheads, artifacts and/or any other archeological materials, or any similar cultural/historical objects whatsoever from Landlord’s lands. The contents of any vehicle on the property may be inspected at any time by Landlord or Landlord’s representatives for the purpose of verifying compliance with the provisions of this Agreement and/or Texas Game Laws.</w:t>
      </w:r>
    </w:p>
    <w:p>
      <w:pPr>
        <w:spacing w:after="0" w:line="203" w:lineRule="exact"/>
        <w:rPr>
          <w:sz w:val="20"/>
          <w:szCs w:val="20"/>
          <w:color w:val="auto"/>
        </w:rPr>
      </w:pPr>
    </w:p>
    <w:p>
      <w:pPr>
        <w:jc w:val="both"/>
        <w:ind w:firstLine="8"/>
        <w:spacing w:after="0" w:line="258" w:lineRule="auto"/>
        <w:tabs>
          <w:tab w:leader="none" w:pos="43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Removal and Restoration Work</w:t>
      </w:r>
      <w:r>
        <w:rPr>
          <w:rFonts w:ascii="Times New Roman" w:cs="Times New Roman" w:eastAsia="Times New Roman" w:hAnsi="Times New Roman"/>
          <w:sz w:val="20"/>
          <w:szCs w:val="20"/>
          <w:color w:val="auto"/>
        </w:rPr>
        <w:t>. Upon any surrender, termination or expiration of this Agreement, Tenant shall, within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hundred eighty (180) days thereafter, commence decommissioning the Data Center, which shall include (collectively, the “</w:t>
      </w:r>
      <w:r>
        <w:rPr>
          <w:rFonts w:ascii="Times New Roman" w:cs="Times New Roman" w:eastAsia="Times New Roman" w:hAnsi="Times New Roman"/>
          <w:sz w:val="20"/>
          <w:szCs w:val="20"/>
          <w:b w:val="1"/>
          <w:bCs w:val="1"/>
          <w:color w:val="auto"/>
        </w:rPr>
        <w:t>Removal and Restoration Work</w:t>
      </w:r>
      <w:r>
        <w:rPr>
          <w:rFonts w:ascii="Times New Roman" w:cs="Times New Roman" w:eastAsia="Times New Roman" w:hAnsi="Times New Roman"/>
          <w:sz w:val="20"/>
          <w:szCs w:val="20"/>
          <w:color w:val="auto"/>
        </w:rPr>
        <w:t>”) the removal of the Data Center and all site improvements with the exception of native soils. Upon removal of the Data Center and site improvements, Tenant shall turn the Premises over to Landlord in a level, graded fashion matching the existing surrounding, adjacent elevation as is commercially reasonable and shall be reseeded with one application of native grasses reasonably designated by Landlord. Tenant shall use commercially reasonable efforts to complete the Removal and Restoration Work within eighteen (18) months after it commences decommissioning the Data Center. During the eighteen (18) month decommissioning period, for purposes of Tenant being able to meet the Removal and Restoration Work, Landlord shall grant to Tenant or any Affiliate, or any other entity designated thereby that is involved or intends to be involved in meeting the Removal and Restoration Work, recordable and assignable non-exclusive easements on, under, over and across the Property, for access to and from, and ingress to and egress from, the Data Center. Among other things, such access easements shall contain all of the rights and privileges for access, ingress, egress and roads as are set forth in this Lease.</w:t>
      </w: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8"/>
        <w:spacing w:after="0" w:line="237" w:lineRule="auto"/>
        <w:tabs>
          <w:tab w:leader="none" w:pos="50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Landlord and Tenant represent and warrant to each other that they have the full right, power and authority to enter into this Lease without the consent or approval of any other entity or person, and to make these representations, knowing that the other party shall rely thereon. Landlord and Tenant further represent and warrant to each other that their respective signatories to this Lease have the full right, power and authority to act for and on behalf of Landlord and Tenant, as applicable, in entering into this Lease.</w:t>
      </w:r>
    </w:p>
    <w:p>
      <w:pPr>
        <w:spacing w:after="0" w:line="180" w:lineRule="exact"/>
        <w:rPr>
          <w:rFonts w:ascii="Times New Roman" w:cs="Times New Roman" w:eastAsia="Times New Roman" w:hAnsi="Times New Roman"/>
          <w:sz w:val="20"/>
          <w:szCs w:val="20"/>
          <w:color w:val="auto"/>
        </w:rPr>
      </w:pPr>
    </w:p>
    <w:p>
      <w:pPr>
        <w:ind w:firstLine="8"/>
        <w:spacing w:after="0" w:line="258" w:lineRule="auto"/>
        <w:tabs>
          <w:tab w:leader="none" w:pos="50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Jurisdiction and Venue</w:t>
      </w:r>
      <w:r>
        <w:rPr>
          <w:rFonts w:ascii="Times New Roman" w:cs="Times New Roman" w:eastAsia="Times New Roman" w:hAnsi="Times New Roman"/>
          <w:sz w:val="22"/>
          <w:szCs w:val="22"/>
          <w:color w:val="auto"/>
        </w:rPr>
        <w:t>. In the event that it is necessary to bring suit to enforce the terms of the Lease, the parties hereto agree that any court of competent jurisdiction situated in the County of Ward, Texas shall have venue of such action.</w:t>
      </w:r>
    </w:p>
    <w:p>
      <w:pPr>
        <w:spacing w:after="0" w:line="157" w:lineRule="exact"/>
        <w:rPr>
          <w:rFonts w:ascii="Times New Roman" w:cs="Times New Roman" w:eastAsia="Times New Roman" w:hAnsi="Times New Roman"/>
          <w:sz w:val="20"/>
          <w:szCs w:val="20"/>
          <w:color w:val="auto"/>
        </w:rPr>
      </w:pPr>
    </w:p>
    <w:p>
      <w:pPr>
        <w:ind w:firstLine="8"/>
        <w:spacing w:after="0" w:line="258" w:lineRule="auto"/>
        <w:tabs>
          <w:tab w:leader="none" w:pos="50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Lease may be executed in two or more counterparts, including by electronic or PDF signature, each of which shall be deemed an original but all of which together shall constitute one and the same instrument.</w:t>
      </w:r>
    </w:p>
    <w:p>
      <w:pPr>
        <w:spacing w:after="0" w:line="157" w:lineRule="exact"/>
        <w:rPr>
          <w:rFonts w:ascii="Times New Roman" w:cs="Times New Roman" w:eastAsia="Times New Roman" w:hAnsi="Times New Roman"/>
          <w:sz w:val="20"/>
          <w:szCs w:val="20"/>
          <w:color w:val="auto"/>
        </w:rPr>
      </w:pPr>
    </w:p>
    <w:p>
      <w:pPr>
        <w:jc w:val="both"/>
        <w:ind w:firstLine="8"/>
        <w:spacing w:after="0" w:line="239" w:lineRule="auto"/>
        <w:tabs>
          <w:tab w:leader="none" w:pos="50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Landlord and Tenant each certifies, represents, warrants and covenants to the other party that it is not acting (and will not act) directly or indirectly, for or on behalf of any of the following, and it is not engaged in this transaction, directly or indirectly on behalf of, or instigating or facilitating this transaction, directly or indirectly on behalf of: (i) any person, group, entity, or nation named by any Executive Order or the United States Treasury Department as a terrorist; (ii)</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6" w:name="page217"/>
    <w:bookmarkEnd w:id="216"/>
    <w:p>
      <w:pPr>
        <w:ind w:right="300" w:firstLine="8"/>
        <w:spacing w:after="0" w:line="286" w:lineRule="auto"/>
        <w:tabs>
          <w:tab w:leader="none" w:pos="315"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6"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20"/>
          <w:szCs w:val="20"/>
          <w:color w:val="auto"/>
        </w:rPr>
        <w:t>any Specially Designated National or Blocked Person; or (iii) any other banned or blocked person, entity, nation or transaction pursuant to any law, order, rule, or regulation that is enforced or administered by the Office of Foreign Assets Control.</w:t>
      </w:r>
    </w:p>
    <w:p>
      <w:pPr>
        <w:spacing w:after="0" w:line="113" w:lineRule="exact"/>
        <w:rPr>
          <w:sz w:val="20"/>
          <w:szCs w:val="20"/>
          <w:color w:val="auto"/>
        </w:rPr>
      </w:pPr>
    </w:p>
    <w:p>
      <w:pPr>
        <w:jc w:val="both"/>
        <w:ind w:firstLine="8"/>
        <w:spacing w:after="0" w:line="244" w:lineRule="auto"/>
        <w:tabs>
          <w:tab w:leader="none" w:pos="50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Cumulative Rights</w:t>
      </w:r>
      <w:r>
        <w:rPr>
          <w:rFonts w:ascii="Times New Roman" w:cs="Times New Roman" w:eastAsia="Times New Roman" w:hAnsi="Times New Roman"/>
          <w:sz w:val="22"/>
          <w:szCs w:val="22"/>
          <w:color w:val="auto"/>
        </w:rPr>
        <w:t>. All rights, remedies, powers, and privileges conferred hereunder upon the parties hereto (i) will be cumulative, but not restrictive to those given by law, and (ii) will not be (or deemed to be) exclusive of those that may at any time be available Landlord under applicable law.</w:t>
      </w:r>
    </w:p>
    <w:p>
      <w:pPr>
        <w:spacing w:after="0" w:line="172" w:lineRule="exact"/>
        <w:rPr>
          <w:rFonts w:ascii="Times New Roman" w:cs="Times New Roman" w:eastAsia="Times New Roman" w:hAnsi="Times New Roman"/>
          <w:sz w:val="20"/>
          <w:szCs w:val="20"/>
          <w:color w:val="auto"/>
        </w:rPr>
      </w:pPr>
    </w:p>
    <w:p>
      <w:pPr>
        <w:jc w:val="both"/>
        <w:ind w:firstLine="8"/>
        <w:spacing w:after="0" w:line="237" w:lineRule="auto"/>
        <w:tabs>
          <w:tab w:leader="none" w:pos="50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of Landlord or Tenant to exercise any power given Landlord or Tenant hereunder or to insist upon strict compliance by Landlord or Tenant with its obligations hereunder, and no custom or practice of the parties at variance with the terms hereof will constitute a waiver of Landlord's or Tenant's rights to demand exact compliance with the terms hereof or lessen either party's right to insist upon strict performance of the terms of this Lease. No provision of this Lease will be deemed to have been waived by either party unless such waiver is made in writing by the party making such waiver.</w:t>
      </w:r>
    </w:p>
    <w:p>
      <w:pPr>
        <w:spacing w:after="0" w:line="180" w:lineRule="exact"/>
        <w:rPr>
          <w:rFonts w:ascii="Times New Roman" w:cs="Times New Roman" w:eastAsia="Times New Roman" w:hAnsi="Times New Roman"/>
          <w:sz w:val="20"/>
          <w:szCs w:val="20"/>
          <w:color w:val="auto"/>
        </w:rPr>
      </w:pPr>
    </w:p>
    <w:p>
      <w:pPr>
        <w:jc w:val="both"/>
        <w:ind w:firstLine="8"/>
        <w:spacing w:after="0" w:line="239" w:lineRule="auto"/>
        <w:tabs>
          <w:tab w:leader="none" w:pos="50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Time Periods</w:t>
      </w:r>
      <w:r>
        <w:rPr>
          <w:rFonts w:ascii="Times New Roman" w:cs="Times New Roman" w:eastAsia="Times New Roman" w:hAnsi="Times New Roman"/>
          <w:sz w:val="22"/>
          <w:szCs w:val="22"/>
          <w:color w:val="auto"/>
        </w:rPr>
        <w:t>. TIME IS OF THE ESSENCE OF THIS LEASE. If the time period by which any right, option or election provided under this Lease must be exercised, or by which any act required hereunder must be performed, expires on a Saturday, Sunday or any Holidays, then such time period will be automatically extended through the close of business on the next regularly scheduled Business Day.</w:t>
      </w:r>
    </w:p>
    <w:p>
      <w:pPr>
        <w:spacing w:after="0" w:line="178" w:lineRule="exact"/>
        <w:rPr>
          <w:rFonts w:ascii="Times New Roman" w:cs="Times New Roman" w:eastAsia="Times New Roman" w:hAnsi="Times New Roman"/>
          <w:sz w:val="20"/>
          <w:szCs w:val="20"/>
          <w:color w:val="auto"/>
        </w:rPr>
      </w:pPr>
    </w:p>
    <w:p>
      <w:pPr>
        <w:ind w:right="20" w:firstLine="8"/>
        <w:spacing w:after="0" w:line="258" w:lineRule="auto"/>
        <w:tabs>
          <w:tab w:leader="none" w:pos="50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Lease may be executed in multiple counterparts including by electronic or PDF signature, each of which will constitute an original, but all of which taken together will constitute one and the same agreement.</w:t>
      </w:r>
    </w:p>
    <w:p>
      <w:pPr>
        <w:spacing w:after="0" w:line="157" w:lineRule="exact"/>
        <w:rPr>
          <w:rFonts w:ascii="Times New Roman" w:cs="Times New Roman" w:eastAsia="Times New Roman" w:hAnsi="Times New Roman"/>
          <w:sz w:val="20"/>
          <w:szCs w:val="20"/>
          <w:color w:val="auto"/>
        </w:rPr>
      </w:pPr>
    </w:p>
    <w:p>
      <w:pPr>
        <w:jc w:val="both"/>
        <w:ind w:firstLine="8"/>
        <w:spacing w:after="0" w:line="236" w:lineRule="auto"/>
        <w:tabs>
          <w:tab w:leader="none" w:pos="50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matters relating to the interpretation, construction, validity and enforcement of this Lease, including all claims (whether in contract or tort) that may be based upon, arise out of or relate to this Lease or the negotiation, execution or performance of this Lease or the transactions contemplated thereby, will be governed by and construed in accordance with the domestic laws of the state where the Premises are located, without giving effect to any choice of law or conflict of law provision or rule (whether of such state or of any other jurisdiction) that would cause the application of laws of any jurisdiction other than such state.</w:t>
      </w:r>
    </w:p>
    <w:p>
      <w:pPr>
        <w:spacing w:after="0" w:line="175" w:lineRule="exact"/>
        <w:rPr>
          <w:rFonts w:ascii="Times New Roman" w:cs="Times New Roman" w:eastAsia="Times New Roman" w:hAnsi="Times New Roman"/>
          <w:sz w:val="20"/>
          <w:szCs w:val="20"/>
          <w:color w:val="auto"/>
        </w:rPr>
      </w:pPr>
    </w:p>
    <w:p>
      <w:pPr>
        <w:jc w:val="both"/>
        <w:ind w:firstLine="8"/>
        <w:spacing w:after="0"/>
        <w:tabs>
          <w:tab w:leader="none" w:pos="50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 TO THE EXTENT PERMITTED BY APPLICABLE LAW, THE PARTIES HERETO WAIVE TRIAL BY JURY IN ANY ACTION, PROCEEDING OR COUNTERCLAIM BROUGHT BY ANY PARTY AGAINST ANY OTHER PARTY ON ANY MATTER ARISING OUT OF OR IN ANY WAY CONNECTED WITH THIS LEASE OR THE RELATIONSHIP OF THE PARTIES HEREUNDER</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0"/>
          <w:szCs w:val="20"/>
          <w:color w:val="auto"/>
        </w:rPr>
      </w:pPr>
    </w:p>
    <w:p>
      <w:pPr>
        <w:jc w:val="both"/>
        <w:ind w:firstLine="8"/>
        <w:spacing w:after="0"/>
        <w:tabs>
          <w:tab w:leader="none" w:pos="50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Except as may be otherwise expressly set forth in this Lease (including, without limitation, the 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whenever a period of time is prescribed for the taking of an action by Landlord or Tenant, the period of time for the performance of such action shall be extended by the number of days that the performance is actually delayed due to strikes, acts of God, shortages of labor or materials, war, terrorist attacks (including bio-chemical attacks), civil</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7" w:name="page218"/>
    <w:bookmarkEnd w:id="217"/>
    <w:p>
      <w:pPr>
        <w:ind w:right="300" w:firstLine="8"/>
        <w:spacing w:after="0" w:line="286" w:lineRule="auto"/>
        <w:tabs>
          <w:tab w:leader="none" w:pos="315"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17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2"/>
          <w:szCs w:val="22"/>
          <w:color w:val="auto"/>
        </w:rPr>
        <w:t>disturbances and other causes beyond the reasonable control of the performing party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However, events of Force Majeure shall not extend any period of time for the payment of Rent or other sums payable by either party or any period of time for the written exercise of an option or right by either party. In the event a party claims an event of Force Majeure, such parties shall notify the other party in writing of the underlying facts constituting the event of Force Majeure and the anticipated time such Force Majeure event may extend.</w:t>
      </w:r>
    </w:p>
    <w:p>
      <w:pPr>
        <w:spacing w:after="0" w:line="175" w:lineRule="exact"/>
        <w:rPr>
          <w:sz w:val="20"/>
          <w:szCs w:val="20"/>
          <w:color w:val="auto"/>
        </w:rPr>
      </w:pPr>
    </w:p>
    <w:p>
      <w:pPr>
        <w:ind w:right="20" w:firstLine="8"/>
        <w:spacing w:after="0" w:line="261" w:lineRule="auto"/>
        <w:tabs>
          <w:tab w:leader="none" w:pos="45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EXHIBITS AND SCHEDULES</w:t>
      </w:r>
      <w:r>
        <w:rPr>
          <w:rFonts w:ascii="Times New Roman" w:cs="Times New Roman" w:eastAsia="Times New Roman" w:hAnsi="Times New Roman"/>
          <w:sz w:val="22"/>
          <w:szCs w:val="22"/>
          <w:color w:val="auto"/>
        </w:rPr>
        <w:t>. The following exhibits and schedules attached to this Lease are hereby 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by this reference.</w:t>
      </w:r>
    </w:p>
    <w:p>
      <w:pPr>
        <w:sectPr>
          <w:pgSz w:w="11900" w:h="16838" w:orient="portrait"/>
          <w:cols w:equalWidth="0" w:num="1">
            <w:col w:w="11240"/>
          </w:cols>
          <w:pgMar w:left="320" w:top="980" w:right="339" w:bottom="1440" w:gutter="0" w:footer="0" w:header="0"/>
        </w:sectPr>
      </w:pP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EXHIBIT A</w:t>
      </w:r>
    </w:p>
    <w:p>
      <w:pPr>
        <w:spacing w:after="0" w:line="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EXHIBIT B</w:t>
      </w:r>
    </w:p>
    <w:p>
      <w:pPr>
        <w:spacing w:after="0" w:line="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EXHIBIT C</w:t>
      </w:r>
    </w:p>
    <w:p>
      <w:pPr>
        <w:spacing w:after="0" w:line="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EXHIBIT 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Description of Land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Work Letter</w:t>
      </w:r>
    </w:p>
    <w:p>
      <w:pPr>
        <w:spacing w:after="0"/>
        <w:rPr>
          <w:sz w:val="20"/>
          <w:szCs w:val="20"/>
          <w:color w:val="auto"/>
        </w:rPr>
      </w:pPr>
      <w:r>
        <w:rPr>
          <w:rFonts w:ascii="Times New Roman" w:cs="Times New Roman" w:eastAsia="Times New Roman" w:hAnsi="Times New Roman"/>
          <w:sz w:val="20"/>
          <w:szCs w:val="20"/>
          <w:color w:val="auto"/>
        </w:rPr>
        <w:t>Form Memorandum of Lease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Roads</w:t>
      </w:r>
    </w:p>
    <w:p>
      <w:pPr>
        <w:spacing w:after="0" w:line="200" w:lineRule="exact"/>
        <w:rPr>
          <w:sz w:val="20"/>
          <w:szCs w:val="20"/>
          <w:color w:val="auto"/>
        </w:rPr>
      </w:pPr>
    </w:p>
    <w:p>
      <w:pPr>
        <w:sectPr>
          <w:pgSz w:w="11900" w:h="16838" w:orient="portrait"/>
          <w:cols w:equalWidth="0" w:num="2">
            <w:col w:w="2580" w:space="660"/>
            <w:col w:w="8000"/>
          </w:cols>
          <w:pgMar w:left="320" w:top="980" w:right="339" w:bottom="1440" w:gutter="0" w:footer="0" w:header="0"/>
          <w:type w:val="continuous"/>
        </w:sectPr>
      </w:pPr>
    </w:p>
    <w:p>
      <w:pPr>
        <w:spacing w:after="0" w:line="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[SIGNATURES COMMENCE ON FOLLOWING PAGE]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color w:val="auto"/>
        </w:rPr>
        <w:t>Landlord and Tenant have executed this Lease in counterparts as of the date specified below each signature.</w:t>
      </w:r>
    </w:p>
    <w:p>
      <w:pPr>
        <w:sectPr>
          <w:pgSz w:w="11900" w:h="16838" w:orient="portrait"/>
          <w:cols w:equalWidth="0" w:num="1">
            <w:col w:w="9379"/>
          </w:cols>
          <w:pgMar w:left="1080" w:top="1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-13970</wp:posOffset>
            </wp:positionV>
            <wp:extent cx="6242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5">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-22860</wp:posOffset>
            </wp:positionV>
            <wp:extent cx="4565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-29210</wp:posOffset>
            </wp:positionV>
            <wp:extent cx="8039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7">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8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Date Executed: December 7, 2023</w:t>
      </w:r>
    </w:p>
    <w:p>
      <w:pPr>
        <w:spacing w:after="0" w:line="200" w:lineRule="exact"/>
        <w:rPr>
          <w:sz w:val="20"/>
          <w:szCs w:val="20"/>
          <w:color w:val="auto"/>
        </w:rPr>
      </w:pPr>
    </w:p>
    <w:p>
      <w:pPr>
        <w:spacing w:after="0" w:line="2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TRINITY MINING GROUP, INC.</w:t>
      </w:r>
      <w:r>
        <w:rPr>
          <w:rFonts w:ascii="Times New Roman" w:cs="Times New Roman" w:eastAsia="Times New Roman" w:hAnsi="Times New Roman"/>
          <w:sz w:val="20"/>
          <w:szCs w:val="20"/>
          <w:color w:val="auto"/>
        </w:rPr>
        <w:t>, a Delaware corporation</w:t>
      </w:r>
    </w:p>
    <w:p>
      <w:pPr>
        <w:spacing w:after="0" w:line="25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Parker Handlin</w:t>
      </w:r>
    </w:p>
    <w:p>
      <w:pPr>
        <w:spacing w:after="0" w:line="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Parker Handlin</w:t>
      </w:r>
    </w:p>
    <w:p>
      <w:pPr>
        <w:ind w:left="3740"/>
        <w:spacing w:after="0"/>
        <w:rPr>
          <w:sz w:val="20"/>
          <w:szCs w:val="20"/>
          <w:color w:val="auto"/>
        </w:rPr>
      </w:pPr>
      <w:r>
        <w:rPr>
          <w:rFonts w:ascii="Times New Roman" w:cs="Times New Roman" w:eastAsia="Times New Roman" w:hAnsi="Times New Roman"/>
          <w:sz w:val="22"/>
          <w:szCs w:val="22"/>
          <w:color w:val="auto"/>
        </w:rPr>
        <w:t>Title: Manager</w:t>
      </w:r>
    </w:p>
    <w:p>
      <w:pPr>
        <w:spacing w:after="0" w:line="20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Date Executed: December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[Signature Page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575945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7" w:right="1440" w:bottom="1440" w:gutter="0" w:footer="0" w:header="0"/>
          <w:type w:val="continuous"/>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Legal Description of Land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1299845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220" w:name="page221"/>
    <w:bookmarkEnd w:id="220"/>
    <w:p>
      <w:pPr>
        <w:ind w:left="5052"/>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5" w:lineRule="exact"/>
        <w:rPr>
          <w:sz w:val="20"/>
          <w:szCs w:val="20"/>
          <w:color w:val="auto"/>
        </w:rPr>
      </w:pPr>
    </w:p>
    <w:p>
      <w:pPr>
        <w:ind w:left="5032"/>
        <w:spacing w:after="0"/>
        <w:rPr>
          <w:sz w:val="20"/>
          <w:szCs w:val="20"/>
          <w:color w:val="auto"/>
        </w:rPr>
      </w:pPr>
      <w:r>
        <w:rPr>
          <w:rFonts w:ascii="Times New Roman" w:cs="Times New Roman" w:eastAsia="Times New Roman" w:hAnsi="Times New Roman"/>
          <w:sz w:val="22"/>
          <w:szCs w:val="22"/>
          <w:b w:val="1"/>
          <w:bCs w:val="1"/>
          <w:color w:val="auto"/>
        </w:rPr>
        <w:t>Work Letter</w:t>
      </w:r>
    </w:p>
    <w:p>
      <w:pPr>
        <w:spacing w:after="0" w:line="205" w:lineRule="exact"/>
        <w:rPr>
          <w:sz w:val="20"/>
          <w:szCs w:val="20"/>
          <w:color w:val="auto"/>
        </w:rPr>
      </w:pPr>
    </w:p>
    <w:p>
      <w:pPr>
        <w:jc w:val="both"/>
        <w:ind w:left="-8" w:firstLine="8"/>
        <w:spacing w:after="0"/>
        <w:tabs>
          <w:tab w:leader="none" w:pos="501" w:val="left"/>
        </w:tabs>
        <w:numPr>
          <w:ilvl w:val="0"/>
          <w:numId w:val="20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Construction of Data Center</w:t>
      </w:r>
      <w:r>
        <w:rPr>
          <w:rFonts w:ascii="Times New Roman" w:cs="Times New Roman" w:eastAsia="Times New Roman" w:hAnsi="Times New Roman"/>
          <w:sz w:val="22"/>
          <w:szCs w:val="22"/>
          <w:color w:val="auto"/>
        </w:rPr>
        <w:t>. Tenant shall be responsible, at its sole cost and expense, for the construction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installation of the Data Center in accordance with, and subject to, the terms and conditions of this Work Letter and the Lease. The preliminary plans and specifications and/or drawings for the Data Center are set forth on </w:t>
      </w:r>
      <w:r>
        <w:rPr>
          <w:rFonts w:ascii="Times New Roman" w:cs="Times New Roman" w:eastAsia="Times New Roman" w:hAnsi="Times New Roman"/>
          <w:sz w:val="22"/>
          <w:szCs w:val="22"/>
          <w:u w:val="single" w:color="auto"/>
          <w:color w:val="auto"/>
        </w:rPr>
        <w:t>Schedule B-1</w:t>
      </w:r>
      <w:r>
        <w:rPr>
          <w:rFonts w:ascii="Times New Roman" w:cs="Times New Roman" w:eastAsia="Times New Roman" w:hAnsi="Times New Roman"/>
          <w:sz w:val="22"/>
          <w:szCs w:val="22"/>
          <w:color w:val="auto"/>
        </w:rPr>
        <w:t xml:space="preserve"> attached hereto and incorporated herein (the “</w:t>
      </w:r>
      <w:r>
        <w:rPr>
          <w:rFonts w:ascii="Times New Roman" w:cs="Times New Roman" w:eastAsia="Times New Roman" w:hAnsi="Times New Roman"/>
          <w:sz w:val="22"/>
          <w:szCs w:val="22"/>
          <w:b w:val="1"/>
          <w:bCs w:val="1"/>
          <w:u w:val="single" w:color="auto"/>
          <w:color w:val="auto"/>
        </w:rPr>
        <w:t>Preliminary Plans</w:t>
      </w:r>
      <w:r>
        <w:rPr>
          <w:rFonts w:ascii="Times New Roman" w:cs="Times New Roman" w:eastAsia="Times New Roman" w:hAnsi="Times New Roman"/>
          <w:sz w:val="22"/>
          <w:szCs w:val="22"/>
          <w:color w:val="auto"/>
        </w:rPr>
        <w:t>”).</w:t>
      </w:r>
    </w:p>
    <w:p>
      <w:pPr>
        <w:spacing w:after="0" w:line="201" w:lineRule="exact"/>
        <w:rPr>
          <w:rFonts w:ascii="Times New Roman" w:cs="Times New Roman" w:eastAsia="Times New Roman" w:hAnsi="Times New Roman"/>
          <w:sz w:val="22"/>
          <w:szCs w:val="22"/>
          <w:b w:val="1"/>
          <w:bCs w:val="1"/>
          <w:u w:val="single" w:color="auto"/>
          <w:color w:val="auto"/>
        </w:rPr>
      </w:pPr>
    </w:p>
    <w:p>
      <w:pPr>
        <w:jc w:val="both"/>
        <w:ind w:left="-8" w:firstLine="8"/>
        <w:spacing w:after="0" w:line="237" w:lineRule="auto"/>
        <w:tabs>
          <w:tab w:leader="none" w:pos="501" w:val="left"/>
        </w:tabs>
        <w:numPr>
          <w:ilvl w:val="0"/>
          <w:numId w:val="20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Preparation of Plans and Specifications</w:t>
      </w:r>
      <w:r>
        <w:rPr>
          <w:rFonts w:ascii="Times New Roman" w:cs="Times New Roman" w:eastAsia="Times New Roman" w:hAnsi="Times New Roman"/>
          <w:sz w:val="22"/>
          <w:szCs w:val="22"/>
          <w:color w:val="auto"/>
        </w:rPr>
        <w:t>. Tenant, at its sole cost and expense, shall obtain a final and complete set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and specifications and construction drawings based on the Preliminary Plans (the “</w:t>
      </w:r>
      <w:r>
        <w:rPr>
          <w:rFonts w:ascii="Times New Roman" w:cs="Times New Roman" w:eastAsia="Times New Roman" w:hAnsi="Times New Roman"/>
          <w:sz w:val="22"/>
          <w:szCs w:val="22"/>
          <w:b w:val="1"/>
          <w:bCs w:val="1"/>
          <w:color w:val="auto"/>
        </w:rPr>
        <w:t>Final Plans</w:t>
      </w:r>
      <w:r>
        <w:rPr>
          <w:rFonts w:ascii="Times New Roman" w:cs="Times New Roman" w:eastAsia="Times New Roman" w:hAnsi="Times New Roman"/>
          <w:sz w:val="22"/>
          <w:szCs w:val="22"/>
          <w:color w:val="auto"/>
        </w:rPr>
        <w:t>”), covering all work to be performed by Tenant in constructing the Data Center. The Final Plans shall be in compliance with all applicable Governmental Requirements. Tenant shall provide Landlord with the Final Plans within five (5) business days of receipt by Tenant. In the event that Tenant deviates from or updates the Final Plans, Tenant shall provide Landlord with such updated or revised set of plans within five (5) Business Days of receipt by Tenant.</w:t>
      </w:r>
    </w:p>
    <w:p>
      <w:pPr>
        <w:spacing w:after="0" w:line="200" w:lineRule="exact"/>
        <w:rPr>
          <w:rFonts w:ascii="Times New Roman" w:cs="Times New Roman" w:eastAsia="Times New Roman" w:hAnsi="Times New Roman"/>
          <w:sz w:val="22"/>
          <w:szCs w:val="22"/>
          <w:b w:val="1"/>
          <w:bCs w:val="1"/>
          <w:u w:val="single" w:color="auto"/>
          <w:color w:val="auto"/>
        </w:rPr>
      </w:pPr>
    </w:p>
    <w:p>
      <w:pPr>
        <w:jc w:val="both"/>
        <w:ind w:left="-8" w:firstLine="8"/>
        <w:spacing w:after="0" w:line="256" w:lineRule="auto"/>
        <w:tabs>
          <w:tab w:leader="none" w:pos="501" w:val="left"/>
        </w:tabs>
        <w:numPr>
          <w:ilvl w:val="0"/>
          <w:numId w:val="20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Grant of Landlord Easements</w:t>
      </w:r>
      <w:r>
        <w:rPr>
          <w:rFonts w:ascii="Times New Roman" w:cs="Times New Roman" w:eastAsia="Times New Roman" w:hAnsi="Times New Roman"/>
          <w:sz w:val="20"/>
          <w:szCs w:val="20"/>
          <w:color w:val="auto"/>
        </w:rPr>
        <w:t>. Landlord covenants and agrees that it shall reasonably cooperate with Tenant to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easements across, under and over the Land as are reasonably required for the construction and operation of the Data Center, including, without limitation, easements for the installation, construction, maintenance, repair and replacement of utility lines, for rights of way and for other means of ingress and egress (collectively, “</w:t>
      </w:r>
      <w:r>
        <w:rPr>
          <w:rFonts w:ascii="Times New Roman" w:cs="Times New Roman" w:eastAsia="Times New Roman" w:hAnsi="Times New Roman"/>
          <w:sz w:val="20"/>
          <w:szCs w:val="20"/>
          <w:b w:val="1"/>
          <w:bCs w:val="1"/>
          <w:color w:val="auto"/>
        </w:rPr>
        <w:t>Landlord Easements</w:t>
      </w:r>
      <w:r>
        <w:rPr>
          <w:rFonts w:ascii="Times New Roman" w:cs="Times New Roman" w:eastAsia="Times New Roman" w:hAnsi="Times New Roman"/>
          <w:sz w:val="20"/>
          <w:szCs w:val="20"/>
          <w:color w:val="auto"/>
        </w:rPr>
        <w:t xml:space="preserve">”), on the condition, however, that all such Landlord Easements are in a form reasonably acceptable to Landlord and do not: (i) interfere with Landlord’s operation, use and development of its property adjacent to the Land; (ii) materially adversely affect the value of the Land and/or Landlord’s adjacent property; (iii) violate the provisions of any Restrictions in effect as of the Lease Date; and/or (iv) impose any liability on Landlord as the owner of the Land that would continue following the expiration or earlier termination of the Lease. Tenant shall compensate Landlord for such easements at </w:t>
      </w:r>
      <w:r>
        <w:rPr>
          <w:rFonts w:ascii="Times New Roman" w:cs="Times New Roman" w:eastAsia="Times New Roman" w:hAnsi="Times New Roman"/>
          <w:sz w:val="18"/>
          <w:szCs w:val="18"/>
          <w:color w:val="auto"/>
        </w:rPr>
        <w:t>Landlord’s</w:t>
      </w:r>
      <w:r>
        <w:rPr>
          <w:rFonts w:ascii="Times New Roman" w:cs="Times New Roman" w:eastAsia="Times New Roman" w:hAnsi="Times New Roman"/>
          <w:sz w:val="20"/>
          <w:szCs w:val="20"/>
          <w:color w:val="auto"/>
        </w:rPr>
        <w:t xml:space="preserve"> standard rate charges for similar easements. Landlord will reasonably cooperate with Tenant to cause any Mortgagee to consent to and join in the execution of such easements satisfying the foregoing requirements. If Landlord is unwilling, in the exercise of its reasonable discretion, to grant any Landlord Easements that Tenant reasonably believes are required for the construction and operation of the Data Center, Tenant’s sole remedy shall be to terminate this Lease by providing Landlord with written notice within five (5) days of Landlord’s decision not to grant Tenant such easement (the “</w:t>
      </w:r>
      <w:r>
        <w:rPr>
          <w:rFonts w:ascii="Times New Roman" w:cs="Times New Roman" w:eastAsia="Times New Roman" w:hAnsi="Times New Roman"/>
          <w:sz w:val="20"/>
          <w:szCs w:val="20"/>
          <w:b w:val="1"/>
          <w:bCs w:val="1"/>
          <w:color w:val="auto"/>
        </w:rPr>
        <w:t>Termination Notice</w:t>
      </w:r>
      <w:r>
        <w:rPr>
          <w:rFonts w:ascii="Times New Roman" w:cs="Times New Roman" w:eastAsia="Times New Roman" w:hAnsi="Times New Roman"/>
          <w:sz w:val="20"/>
          <w:szCs w:val="20"/>
          <w:color w:val="auto"/>
        </w:rPr>
        <w:t>”). In the event Tenant fails to timely provide Landlord with the Termination Notice, then Tenant shall have waived its right to terminate the Lease pursuant to this Section. Landlord shall reasonably cooperate with Tenant, at no cost to Landlord, in the application for and obtaining of the necessary permits, construction agreements, or other required agreements from relevant governmental or semi-governmental authorities or agencies for the construction, operation, use and maintenance of the Data Center. Tenant shall reimburse Landlord any reasonable and necessary attorney fees incurred in such cooperation. Notwithstanding the foregoing, the Parties acknowledge and agree that Tenant requires non-exclusive access to the Data Center, an exclusive right to construct, operate, maintain, reconstruct, relocate, remove, and/or repair on, under, over and across the Land dry and wet utility services, which shall include electrical, natural gas, telephone, cable and communication utility services and water, sewer and drainage utility services (“</w:t>
      </w:r>
      <w:r>
        <w:rPr>
          <w:rFonts w:ascii="Times New Roman" w:cs="Times New Roman" w:eastAsia="Times New Roman" w:hAnsi="Times New Roman"/>
          <w:sz w:val="20"/>
          <w:szCs w:val="20"/>
          <w:b w:val="1"/>
          <w:bCs w:val="1"/>
          <w:color w:val="auto"/>
        </w:rPr>
        <w:t>Dry and Wet Utility Services</w:t>
      </w:r>
      <w:r>
        <w:rPr>
          <w:rFonts w:ascii="Times New Roman" w:cs="Times New Roman" w:eastAsia="Times New Roman" w:hAnsi="Times New Roman"/>
          <w:sz w:val="20"/>
          <w:szCs w:val="20"/>
          <w:color w:val="auto"/>
        </w:rPr>
        <w:t>”),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940435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68" w:right="339" w:bottom="1440" w:gutter="0" w:footer="0" w:header="0"/>
        </w:sectPr>
      </w:pPr>
    </w:p>
    <w:bookmarkStart w:id="221" w:name="page222"/>
    <w:bookmarkEnd w:id="221"/>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Tenant shall require third-parties to provide Dry and Wet Utility Services to the Data Center, including, but not limited to, electricity delivery from Oncor Electric Delivery Company LLC (“</w:t>
      </w:r>
      <w:r>
        <w:rPr>
          <w:rFonts w:ascii="Times New Roman" w:cs="Times New Roman" w:eastAsia="Times New Roman" w:hAnsi="Times New Roman"/>
          <w:sz w:val="22"/>
          <w:szCs w:val="22"/>
          <w:b w:val="1"/>
          <w:bCs w:val="1"/>
          <w:color w:val="auto"/>
        </w:rPr>
        <w:t>Oncor</w:t>
      </w:r>
      <w:r>
        <w:rPr>
          <w:rFonts w:ascii="Times New Roman" w:cs="Times New Roman" w:eastAsia="Times New Roman" w:hAnsi="Times New Roman"/>
          <w:sz w:val="22"/>
          <w:szCs w:val="22"/>
          <w:color w:val="auto"/>
        </w:rPr>
        <w:t>”), for which Landlord shall grant the required easements with separate easement forms and additional compensation at Landlord’s standard rate charges for similar easements, except in the instance that said easements are to be provided within the Land. Should Oncor require fee title to that portion of the Land which is to be encumbered by Oncor’s transmission line that shall service the Data Center, Landlord agrees to enter into good faith negotiations with Oncor for same, but shall in no event be under obligation to sell that portion of the Land to Oncor. In the event Tenant requires a septic system, Landlord shall have the right to approve the location and such septic system shall be installed as required by law. In the event Tenant desire to construct a water pit, the Parties shall work together in good faith to locate the water pit a mutually agreeable location. In addition, Landlord shall have the option to retain such water pit upon expiration of the Lease.</w:t>
      </w:r>
    </w:p>
    <w:p>
      <w:pPr>
        <w:spacing w:after="0" w:line="200" w:lineRule="exact"/>
        <w:rPr>
          <w:sz w:val="20"/>
          <w:szCs w:val="20"/>
          <w:color w:val="auto"/>
        </w:rPr>
      </w:pPr>
    </w:p>
    <w:p>
      <w:pPr>
        <w:spacing w:after="0" w:line="242" w:lineRule="exact"/>
        <w:rPr>
          <w:sz w:val="20"/>
          <w:szCs w:val="20"/>
          <w:color w:val="auto"/>
        </w:rPr>
      </w:pPr>
    </w:p>
    <w:p>
      <w:pPr>
        <w:jc w:val="both"/>
        <w:ind w:firstLine="8"/>
        <w:spacing w:after="0" w:line="257" w:lineRule="auto"/>
        <w:tabs>
          <w:tab w:leader="none" w:pos="509" w:val="left"/>
        </w:tabs>
        <w:numPr>
          <w:ilvl w:val="0"/>
          <w:numId w:val="20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TENANT INDEMNITY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INDEMNIFY, DEFEND AND HOLD HARMLESS LANDLORD,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AFFILIATES, SUBSIDIARIES, RELATED ENTITIES AND THE OFFICERS, DIRECTORS, SHAREHOLDERS AND EMPLOYEES THEREOF, AND THE LANDLORD'S ARCHITECT, FROM AND AGAINST ANY AND ALL CLAIMS, LIABILITIES, LOSSES, DAMAGES, COST OR EXPENSE (INCLUDING BUT NOT LIMITED TO REASONABLE ATTORNEYS' FEES ACTUALLY INCURRED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ARISING OUT OF, RESULTING FROM OR OCCURRING IN CONNECTION WITH THE PERFORMANCE OF THE WORK ON THE LAND, AND SPECIFICALLY INCLUDING THAT WHICH IS (i) ATTRIBUTABLE TO ANY BODILY OR PERSONAL INJURY, SICKNESS, DISEASES OR DEATH OF ANY PERSON OR ANY DAMAGE OR INJURY TO OR DESTRUCTION OF REAL OR PERSONAL PROPERTY (OTHER THAN THE WORK ITSELF), AND (ii) CAUSED IN WHOLE OR IN PART BY ANY NEGLIGENT, STRICT LIABILITY OR OTHER ACT OR OMISSION OF TENANT, ANY PERSON ENGAGED BY TENANT IN CONNECTION WITH THE PROJECT, THEIR RESPECTIVE AGENTS OR EMPLOYEES OTHER THAN THE NEGLIGENT, STRICT LIABILITY OR OTHER ACT OR OMISSION OF A PARTY OR PARTIES INDEMNIFIED HEREUNDER. THE FOREGOING INDEMNIFICATION OBLIGATION BY TENANT SHALL NOT BE LIMITED IN ANY WAY BY ANY LIMITATION ON THE AMOUNT OR TYPE OF DAMAGES, COMPENSATION OR BENEFITS PAYABLE UNDER WORKERS' OR WORKERS' COMPENSATION ACTS, DISABILITY BENEFIT ACTS OR OTHER EMPLOYEE BENEFIT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1405890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342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Memorandum of Lease</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1222375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Depiction of Roads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1470660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224" w:name="page225"/>
    <w:bookmarkEnd w:id="224"/>
    <w:p>
      <w:pPr>
        <w:ind w:right="300" w:firstLine="8"/>
        <w:spacing w:after="0" w:line="286" w:lineRule="auto"/>
        <w:tabs>
          <w:tab w:leader="none" w:pos="315"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AND ASSUMPTION AGREEMENT</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ASSIGNMENT AND ASSUMPTION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December 7, 2023, by and between TRINITY MINING GROUP, INC., a Delaware corporation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CIPHER BLACK PEARL LLC, a Delaware limited liability company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WHEREAS, Assignor holds 100% of the right, title and interest in and to the agreements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Assumed Contracts</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pursuant to the Purchase Agreement (as defined below), the Assignor has agreed to sell, convey, assign, transfer and deliver to the Assignee, and the Assignee has agreed to purchase and acquire from the Assignor, the Assumed Contracts.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set forth in the Purchase Agreement and herein, and for other good and valuable consideration, the receipt and sufficiency of which are hereby acknowledged by the parties hereto, the parties hereto hereby agree as follows:</w:t>
      </w:r>
    </w:p>
    <w:p>
      <w:pPr>
        <w:spacing w:after="0" w:line="172" w:lineRule="exact"/>
        <w:rPr>
          <w:sz w:val="20"/>
          <w:szCs w:val="20"/>
          <w:color w:val="auto"/>
        </w:rPr>
      </w:pPr>
    </w:p>
    <w:p>
      <w:pPr>
        <w:jc w:val="both"/>
        <w:ind w:firstLine="757"/>
        <w:spacing w:after="0" w:line="244" w:lineRule="auto"/>
        <w:tabs>
          <w:tab w:leader="none" w:pos="101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All capitalized terms used but not defined in this Agreement shall have the meanings set forth in that certain Purchase and Sale Agreement, dated as of November 6, 2023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by and among the Assignor, the Assignee and Cipher Mining Inc. (f/k/a Good Works Acquisition Corp.), a Delaware corporation.</w:t>
      </w:r>
    </w:p>
    <w:p>
      <w:pPr>
        <w:spacing w:after="0" w:line="172"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01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The Assignor hereby sells, conveys, assigns, transfers and delivers to the Assignee all of the Assignor’s right, title and interest in and to, and the Assignee hereby purchases and accepts such assignment and assumes all of the Assignor’s duties and obligations under, the Assumed Contracts.</w:t>
      </w:r>
    </w:p>
    <w:p>
      <w:pPr>
        <w:spacing w:after="0" w:line="172"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the Purchase Agreement</w:t>
      </w:r>
      <w:r>
        <w:rPr>
          <w:rFonts w:ascii="Times New Roman" w:cs="Times New Roman" w:eastAsia="Times New Roman" w:hAnsi="Times New Roman"/>
          <w:sz w:val="22"/>
          <w:szCs w:val="22"/>
          <w:color w:val="auto"/>
        </w:rPr>
        <w:t>. The representations, warranties, covenants, agreements and indemnities contained in the Purchase Agreement shall not be deemed to be expanded, diminished, modified or altered in any way by this instrument, and the Purchase Agreement shall supersede this Agreement but shall remain in full force and effect to the full extent provided therein. The Purchase Agreement, this Agreement and the other Transaction Documents embody the entire agreement and understanding of the parties hereto in respect of the subject matter contained herein, and supersede all other prior agreements and understandings among the parties hereto with respect to such subject matter. This Agreement is expressly made subject to the terms and provisions of the Purchase Agreement, including all disclaimers, acknowledgements and waivers contained in the Purchase Agreement, and nothing in this Agreement will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5" w:name="page226"/>
    <w:bookmarkEnd w:id="225"/>
    <w:p>
      <w:pPr>
        <w:ind w:right="300" w:firstLine="8"/>
        <w:spacing w:after="0" w:line="286" w:lineRule="auto"/>
        <w:tabs>
          <w:tab w:leader="none" w:pos="315"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to modify the Purchase Agreement or affect the rights of the parties to the Purchase Agreement. In the event of a conflict between this Agreement and the Purchase Agreement, the Purchase Agreement will control. This Agreement may not be modified, amended or superseded except in a writing signed by both the Assignor and the Assignee. This Agreement is binding upon, inures to the benefit of and is enforceable by each of the parties hereto and their respective successors and permitted assigns.</w:t>
      </w:r>
    </w:p>
    <w:p>
      <w:pPr>
        <w:spacing w:after="0" w:line="148" w:lineRule="exact"/>
        <w:rPr>
          <w:sz w:val="20"/>
          <w:szCs w:val="20"/>
          <w:color w:val="auto"/>
        </w:rPr>
      </w:pPr>
    </w:p>
    <w:p>
      <w:pPr>
        <w:jc w:val="both"/>
        <w:ind w:firstLine="757"/>
        <w:spacing w:after="0" w:line="255" w:lineRule="auto"/>
        <w:tabs>
          <w:tab w:leader="none" w:pos="10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Waiver of Jury Trial</w:t>
      </w:r>
      <w:r>
        <w:rPr>
          <w:rFonts w:ascii="Times New Roman" w:cs="Times New Roman" w:eastAsia="Times New Roman" w:hAnsi="Times New Roman"/>
          <w:sz w:val="20"/>
          <w:szCs w:val="20"/>
          <w:color w:val="auto"/>
        </w:rPr>
        <w:t>. This Agreement shall be governed by and interpreted and enforced in accordance with the Laws of the State of New York, without giving effect to principles of conflicts of law other than Sections 5-1401 and 5-1402 of the General Obligations Law of the State of New York. The parties hereto (a) hereby irrevocably and unconditionally submit to the jurisdiction of the United States District Court for the Southern District of New York for the purpose of any suit, action or other proceeding arising out of or based upon this Agreement, or, solely to the extent federal jurisdiction is not available with respect to all or portion of such suit, action or other proceeding, the courts of the State of New York located in the Borough of Manhattan, New York City, New York, (b) agree not to commence any suit, action or other proceeding arising out of or based upon this Agreement except in the United States District Court for the Southern District of New York, or, solely to the extent federal jurisdiction is not available with respect to all or portion of such suit, action or other proceeding, the courts of the State of New York located in the Borough of Manhattan, New York City, New York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courts. Each of the parties to this Agreement consents to personal jurisdiction for any equitable action sought in the U.S. District Court for the Southern District of New York or, as applicable and subject to the above, the courts of the State of New York located in the Borough of Manhattan, New York City, New York, with subject matter jurisdiction. EACH PARTY HEREBY IRREVOCABLY WAIVES ALL RIGHT TO A JURY TRIAL IN ANY ACTION, PROCEEDING OR COUNTERCLAIM (WHETHER AT LAW, IN EQUITY, BASED ON CONTRACT, TORT OR OTHERWISE) ARISING OUT OF OR RELATING TO THE PURCHASE AGREEMENT, THIS AGREEMENT, ANY OF THE OTHER TRANSACTION DOCUMENTS, THE TRANSACTIONS CONTEMPLATED HEREBY OR THEREBY OR THE ACTIONS OF SUCH PARTY IN THE NEGOTIATION, ADMINISTRATION, PERFORMANCE AND ENFORCEMENT HEREOF OR THEREOF.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but all of which together shall constitute one and the same instrument. Any facsimile or electronic copies hereof or signatures hereon shall, for all purposes, be deemed originals.</w:t>
      </w:r>
    </w:p>
    <w:p>
      <w:pPr>
        <w:spacing w:after="0" w:line="172"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At the request of either party hereto, and without further consideration, the other party shall execute and deliver to the requesting party such other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26" w:name="page227"/>
    <w:bookmarkEnd w:id="226"/>
    <w:p>
      <w:pPr>
        <w:ind w:right="300" w:firstLine="8"/>
        <w:spacing w:after="0" w:line="286" w:lineRule="auto"/>
        <w:tabs>
          <w:tab w:leader="none" w:pos="315"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instruments of sale, transfer, conveyance, assignment and confirmation and provide such materials and information and take such other actions and execute and deliver such other documents as the requesting party may reasonably request in order to consummate and to make effective the transactions contemplated by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27" w:name="page228"/>
    <w:bookmarkEnd w:id="227"/>
    <w:p>
      <w:pPr>
        <w:ind w:left="7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as of the date first above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7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TRINITY MINING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By: /s/ Austin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-13970</wp:posOffset>
            </wp:positionV>
            <wp:extent cx="141160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22"/>
          <w:szCs w:val="22"/>
          <w:color w:val="auto"/>
        </w:rPr>
        <w:t>Name: Austin Davis</w:t>
      </w:r>
    </w:p>
    <w:p>
      <w:pPr>
        <w:ind w:left="3760"/>
        <w:spacing w:after="0"/>
        <w:rPr>
          <w:sz w:val="20"/>
          <w:szCs w:val="20"/>
          <w:color w:val="auto"/>
        </w:rPr>
      </w:pPr>
      <w:r>
        <w:rPr>
          <w:rFonts w:ascii="Times New Roman" w:cs="Times New Roman" w:eastAsia="Times New Roman" w:hAnsi="Times New Roman"/>
          <w:sz w:val="22"/>
          <w:szCs w:val="22"/>
          <w:color w:val="auto"/>
        </w:rPr>
        <w:t>Title: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Assignment and Assumption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8" w:name="page229"/>
    <w:bookmarkEnd w:id="228"/>
    <w:p>
      <w:pPr>
        <w:ind w:left="2640"/>
        <w:spacing w:after="0"/>
        <w:rPr>
          <w:sz w:val="20"/>
          <w:szCs w:val="20"/>
          <w:color w:val="auto"/>
        </w:rPr>
      </w:pPr>
      <w:r>
        <w:rPr>
          <w:rFonts w:ascii="Times New Roman" w:cs="Times New Roman" w:eastAsia="Times New Roman" w:hAnsi="Times New Roman"/>
          <w:sz w:val="22"/>
          <w:szCs w:val="22"/>
          <w:b w:val="1"/>
          <w:bCs w:val="1"/>
          <w:color w:val="auto"/>
        </w:rPr>
        <w:t>CIPHER BLACK PEARL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By: /s/ William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-13970</wp:posOffset>
            </wp:positionV>
            <wp:extent cx="16859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0">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22"/>
          <w:szCs w:val="22"/>
          <w:color w:val="auto"/>
        </w:rPr>
        <w:t>Name: William Iwaschuk</w:t>
      </w:r>
    </w:p>
    <w:p>
      <w:pPr>
        <w:ind w:left="2640"/>
        <w:spacing w:after="0"/>
        <w:rPr>
          <w:sz w:val="20"/>
          <w:szCs w:val="20"/>
          <w:color w:val="auto"/>
        </w:rPr>
      </w:pPr>
      <w:r>
        <w:rPr>
          <w:rFonts w:ascii="Times New Roman" w:cs="Times New Roman" w:eastAsia="Times New Roman" w:hAnsi="Times New Roman"/>
          <w:sz w:val="22"/>
          <w:szCs w:val="22"/>
          <w:color w:val="auto"/>
        </w:rPr>
        <w:t>Title: Co-President &amp;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Assignment and Assumption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494665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229" w:name="page230"/>
    <w:bookmarkEnd w:id="229"/>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Assumed Contracts</w:t>
      </w:r>
    </w:p>
    <w:p>
      <w:pPr>
        <w:spacing w:after="0" w:line="2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230" w:name="page231"/>
    <w:bookmarkEnd w:id="230"/>
    <w:p>
      <w:pPr>
        <w:ind w:right="300" w:firstLine="8"/>
        <w:spacing w:after="0" w:line="286" w:lineRule="auto"/>
        <w:tabs>
          <w:tab w:leader="none" w:pos="315"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DATED 2023-12-15</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FUTURE</w:t>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SALES AND PURCHASE AGREEMENT (ANTMINER T21)</w:t>
      </w:r>
    </w:p>
    <w:p>
      <w:pPr>
        <w:spacing w:after="0" w:line="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 (“BITMAIN”)</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4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1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BM Ref: T21-XS-00120231215005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31" w:name="page232"/>
    <w:bookmarkEnd w:id="231"/>
    <w:p>
      <w:pPr>
        <w:ind w:right="300" w:firstLine="8"/>
        <w:spacing w:after="0" w:line="286" w:lineRule="auto"/>
        <w:tabs>
          <w:tab w:leader="none" w:pos="315"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THIS AGREEMENT (the “Agreement”) </w:t>
      </w:r>
      <w:r>
        <w:rPr>
          <w:rFonts w:ascii="Times New Roman" w:cs="Times New Roman" w:eastAsia="Times New Roman" w:hAnsi="Times New Roman"/>
          <w:sz w:val="22"/>
          <w:szCs w:val="22"/>
          <w:color w:val="auto"/>
        </w:rPr>
        <w:t>is made on 2023-12-15.</w:t>
      </w:r>
    </w:p>
    <w:p>
      <w:pPr>
        <w:spacing w:after="0" w:line="3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340" w:lineRule="exact"/>
        <w:rPr>
          <w:sz w:val="20"/>
          <w:szCs w:val="20"/>
          <w:color w:val="auto"/>
        </w:rPr>
      </w:pPr>
    </w:p>
    <w:p>
      <w:pPr>
        <w:ind w:left="540" w:hanging="413"/>
        <w:spacing w:after="0"/>
        <w:tabs>
          <w:tab w:leader="none" w:pos="5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BITMAIN TECHNOLOGIES DELAWARE LIMITED</w:t>
      </w:r>
      <w:r>
        <w:rPr>
          <w:rFonts w:ascii="Times New Roman" w:cs="Times New Roman" w:eastAsia="Times New Roman" w:hAnsi="Times New Roman"/>
          <w:sz w:val="22"/>
          <w:szCs w:val="22"/>
          <w:color w:val="auto"/>
        </w:rPr>
        <w:t>, a company incorporated under the</w:t>
      </w:r>
    </w:p>
    <w:p>
      <w:pPr>
        <w:spacing w:after="0" w:line="115" w:lineRule="exact"/>
        <w:rPr>
          <w:sz w:val="20"/>
          <w:szCs w:val="20"/>
          <w:color w:val="auto"/>
        </w:rPr>
      </w:pPr>
    </w:p>
    <w:p>
      <w:pPr>
        <w:ind w:left="140" w:right="640"/>
        <w:spacing w:after="0" w:line="258" w:lineRule="auto"/>
        <w:rPr>
          <w:sz w:val="20"/>
          <w:szCs w:val="20"/>
          <w:color w:val="auto"/>
        </w:rPr>
      </w:pPr>
      <w:r>
        <w:rPr>
          <w:rFonts w:ascii="Times New Roman" w:cs="Times New Roman" w:eastAsia="Times New Roman" w:hAnsi="Times New Roman"/>
          <w:sz w:val="22"/>
          <w:szCs w:val="22"/>
          <w:color w:val="auto"/>
        </w:rPr>
        <w:t>laws of the State of Delaware, the United States (File Number: 6096946), having its principal address at 840 New Burton Street, Suite 201, Dover, Kent, DE 19904(“</w:t>
      </w:r>
      <w:r>
        <w:rPr>
          <w:rFonts w:ascii="Times New Roman" w:cs="Times New Roman" w:eastAsia="Times New Roman" w:hAnsi="Times New Roman"/>
          <w:sz w:val="22"/>
          <w:szCs w:val="22"/>
          <w:b w:val="1"/>
          <w:bCs w:val="1"/>
          <w:color w:val="auto"/>
        </w:rPr>
        <w:t>BITMAIN</w:t>
      </w:r>
      <w:r>
        <w:rPr>
          <w:rFonts w:ascii="Times New Roman" w:cs="Times New Roman" w:eastAsia="Times New Roman" w:hAnsi="Times New Roman"/>
          <w:sz w:val="22"/>
          <w:szCs w:val="22"/>
          <w:color w:val="auto"/>
        </w:rPr>
        <w:t>”); and</w:t>
      </w:r>
    </w:p>
    <w:p>
      <w:pPr>
        <w:spacing w:after="0" w:line="167" w:lineRule="exact"/>
        <w:rPr>
          <w:sz w:val="20"/>
          <w:szCs w:val="20"/>
          <w:color w:val="auto"/>
        </w:rPr>
      </w:pPr>
    </w:p>
    <w:p>
      <w:pPr>
        <w:ind w:left="540" w:hanging="413"/>
        <w:spacing w:after="0" w:line="261" w:lineRule="auto"/>
        <w:tabs>
          <w:tab w:leader="none" w:pos="5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Cipher Mining Infrastructure LLC</w:t>
      </w:r>
      <w:r>
        <w:rPr>
          <w:rFonts w:ascii="Times New Roman" w:cs="Times New Roman" w:eastAsia="Times New Roman" w:hAnsi="Times New Roman"/>
          <w:sz w:val="22"/>
          <w:szCs w:val="22"/>
          <w:color w:val="auto"/>
        </w:rPr>
        <w:t>, a Delaware limited liability company (Company Registration No. 93-4777486)</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having its principal address at One Vanderbilt Avenue, Suite 54C, New York, NY 10017, USA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Each of the parties to this Agreement is referred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344" w:lineRule="exact"/>
        <w:rPr>
          <w:sz w:val="20"/>
          <w:szCs w:val="20"/>
          <w:color w:val="auto"/>
        </w:rPr>
      </w:pPr>
    </w:p>
    <w:p>
      <w:pPr>
        <w:ind w:left="760" w:right="360"/>
        <w:spacing w:after="0" w:line="239" w:lineRule="auto"/>
        <w:rPr>
          <w:sz w:val="20"/>
          <w:szCs w:val="20"/>
          <w:color w:val="auto"/>
        </w:rPr>
      </w:pPr>
      <w:r>
        <w:rPr>
          <w:rFonts w:ascii="Times New Roman" w:cs="Times New Roman" w:eastAsia="Times New Roman" w:hAnsi="Times New Roman"/>
          <w:sz w:val="22"/>
          <w:szCs w:val="22"/>
          <w:color w:val="auto"/>
        </w:rPr>
        <w:t>(A)Purchaser fully understands the market risks, the price-setting principles and the market fluctuations relating to the products of BITMAIN and is familiar with the purchase and ordering process of products of BITMAIN. (B)Purchaser agrees to purchase and BITMAIN agrees to supply the Products (as defined below) in accordance with the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firstLine="9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premises and the mutual covenants set forth in this Agreement, the Parties agree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follows: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1. Definitions and Interpretations</w:t>
      </w: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1.1 The following terms, as used herein, have the following meanings:</w:t>
      </w: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“Affiliate(s)” </w:t>
      </w:r>
      <w:r>
        <w:rPr>
          <w:rFonts w:ascii="Times New Roman" w:cs="Times New Roman" w:eastAsia="Times New Roman" w:hAnsi="Times New Roman"/>
          <w:sz w:val="22"/>
          <w:szCs w:val="22"/>
          <w:color w:val="auto"/>
        </w:rPr>
        <w:t>means, with respect to any Person, any other Person directly or indirectly Controlling,</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32" w:name="page233"/>
    <w:bookmarkEnd w:id="232"/>
    <w:p>
      <w:pPr>
        <w:ind w:right="120" w:firstLine="8"/>
        <w:spacing w:after="0" w:line="286" w:lineRule="auto"/>
        <w:tabs>
          <w:tab w:leader="none" w:pos="315"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Controlled by, or under common Control with such Person.</w:t>
      </w:r>
    </w:p>
    <w:p>
      <w:pPr>
        <w:spacing w:after="0" w:line="228" w:lineRule="exact"/>
        <w:rPr>
          <w:sz w:val="20"/>
          <w:szCs w:val="20"/>
          <w:color w:val="auto"/>
        </w:rPr>
      </w:pPr>
    </w:p>
    <w:p>
      <w:pPr>
        <w:jc w:val="both"/>
        <w:ind w:left="140" w:right="18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“Applicable Law(s)” </w:t>
      </w:r>
      <w:r>
        <w:rPr>
          <w:rFonts w:ascii="Times New Roman" w:cs="Times New Roman" w:eastAsia="Times New Roman" w:hAnsi="Times New Roman"/>
          <w:sz w:val="20"/>
          <w:szCs w:val="20"/>
          <w:color w:val="auto"/>
        </w:rPr>
        <w:t>means any treaty, law, decree, order, regulation, decision, statute, ordinance, rule, directive, code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document that has legal force under any system of law, including, without limitation, local law, law of any other state or part thereof or international law, and which creates or purports to create any requirement or rule that may affect, restrict, prohibit or expressly allow the terms of this Agreement or any activity contemplated or carried out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9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“Business Day(s)” </w:t>
      </w:r>
      <w:r>
        <w:rPr>
          <w:rFonts w:ascii="Times New Roman" w:cs="Times New Roman" w:eastAsia="Times New Roman" w:hAnsi="Times New Roman"/>
          <w:sz w:val="22"/>
          <w:szCs w:val="22"/>
          <w:color w:val="auto"/>
        </w:rPr>
        <w:t>means a day (other than Saturday or Sunday) on which banking institutions in the Relevant Jurisdiction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open generally for normal banking business.</w:t>
      </w: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97" w:right="519" w:bottom="1440" w:gutter="0" w:footer="0" w:header="0"/>
        </w:sectPr>
      </w:pPr>
    </w:p>
    <w:bookmarkStart w:id="233" w:name="page234"/>
    <w:bookmarkEnd w:id="233"/>
    <w:p>
      <w:pPr>
        <w:ind w:right="260" w:firstLine="8"/>
        <w:spacing w:after="0" w:line="286" w:lineRule="auto"/>
        <w:tabs>
          <w:tab w:leader="none" w:pos="315"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“Contracted Hashrate” </w:t>
      </w:r>
      <w:r>
        <w:rPr>
          <w:rFonts w:ascii="Times New Roman" w:cs="Times New Roman" w:eastAsia="Times New Roman" w:hAnsi="Times New Roman"/>
          <w:sz w:val="22"/>
          <w:szCs w:val="22"/>
          <w:color w:val="auto"/>
        </w:rPr>
        <w:t>means the aggregation of the hashrate of all the Products as set forth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“Control” </w:t>
      </w:r>
      <w:r>
        <w:rPr>
          <w:rFonts w:ascii="Times New Roman" w:cs="Times New Roman" w:eastAsia="Times New Roman" w:hAnsi="Times New Roman"/>
          <w:sz w:val="22"/>
          <w:szCs w:val="22"/>
          <w:color w:val="auto"/>
        </w:rPr>
        <w:t>means, with respect to any Person, the power or authority, whether exercised or not, to direct the business,</w:t>
      </w:r>
    </w:p>
    <w:p>
      <w:pPr>
        <w:spacing w:after="0" w:line="3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management and policies of such Person, directly or indirectly, whether through the ownership of voting securities, by contract or otherwise, provided that in the case of a Person that is an entity, such power or authority shall conclusively be presumed to exist upon possession of beneficial ownership or power to direct the vote of more than fifty percent (50%) of the votes entitled to be cast at a meeting of the holders of the shares or other equity interests or registered capital of such Person or power to control the composition of a majority of the board of directors or similar governing body of such Person. The terms “Controlled” and “Controlling” have meanings correlative to the foregoing.</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“Digital Currency” </w:t>
      </w:r>
      <w:r>
        <w:rPr>
          <w:rFonts w:ascii="Times New Roman" w:cs="Times New Roman" w:eastAsia="Times New Roman" w:hAnsi="Times New Roman"/>
          <w:sz w:val="22"/>
          <w:szCs w:val="22"/>
          <w:color w:val="auto"/>
        </w:rPr>
        <w:t>means Bitcoin, USDT, USDC or any other digital currency as agreed between the Parties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“Force Majeure” </w:t>
      </w:r>
      <w:r>
        <w:rPr>
          <w:rFonts w:ascii="Times New Roman" w:cs="Times New Roman" w:eastAsia="Times New Roman" w:hAnsi="Times New Roman"/>
          <w:sz w:val="22"/>
          <w:szCs w:val="22"/>
          <w:color w:val="auto"/>
        </w:rPr>
        <w:t>means in respect of either Party, any event or occurrence whatsoever beyond the reasonable control of that</w:t>
      </w:r>
    </w:p>
    <w:p>
      <w:pPr>
        <w:spacing w:after="0" w:line="34"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 xml:space="preserve">Party, non-foreseeable, or even if foreseen, was unavoidable and occurs after the date of this Agreement in or affecting the Relevant Jurisdictions. </w:t>
      </w:r>
      <w:r>
        <w:rPr>
          <w:rFonts w:ascii="Times New Roman" w:cs="Times New Roman" w:eastAsia="Times New Roman" w:hAnsi="Times New Roman"/>
          <w:sz w:val="22"/>
          <w:szCs w:val="22"/>
          <w:b w:val="1"/>
          <w:bCs w:val="1"/>
          <w:color w:val="auto"/>
        </w:rPr>
        <w:t>“Force Majeure Event(s)”</w:t>
      </w:r>
      <w:r>
        <w:rPr>
          <w:rFonts w:ascii="Times New Roman" w:cs="Times New Roman" w:eastAsia="Times New Roman" w:hAnsi="Times New Roman"/>
          <w:sz w:val="22"/>
          <w:szCs w:val="22"/>
          <w:color w:val="auto"/>
        </w:rPr>
        <w:t xml:space="preserve"> include, without limitation, war (declared or undeclared), terrorist activities, acts of sabotage, blockade, fire, lightning, acts of God, national strikes, riots, insurrections, civil commotions, quarantine restrictions, epidemics, earthquakes, landslides, avalanches, floods, hurricanes, explosions, acts of government, and other instances which are accepted as a force majeure event in general international commercial practice. For the avoidance of doubt, any prohibition or restriction in relation to the production and/or sale of cryptocurrency mining hardware declared by any Governmental Authority (other than the local Governmental Authority with competent authority over BITMAIN) shall not constitute a Force Majeure Event.</w:t>
      </w:r>
    </w:p>
    <w:p>
      <w:pPr>
        <w:spacing w:after="0" w:line="194" w:lineRule="exact"/>
        <w:rPr>
          <w:sz w:val="20"/>
          <w:szCs w:val="20"/>
          <w:color w:val="auto"/>
        </w:rPr>
      </w:pPr>
    </w:p>
    <w:p>
      <w:pPr>
        <w:ind w:left="140" w:right="2420"/>
        <w:spacing w:after="0" w:line="424" w:lineRule="auto"/>
        <w:rPr>
          <w:sz w:val="20"/>
          <w:szCs w:val="20"/>
          <w:color w:val="auto"/>
        </w:rPr>
      </w:pPr>
      <w:r>
        <w:rPr>
          <w:rFonts w:ascii="Times New Roman" w:cs="Times New Roman" w:eastAsia="Times New Roman" w:hAnsi="Times New Roman"/>
          <w:sz w:val="20"/>
          <w:szCs w:val="20"/>
          <w:b w:val="1"/>
          <w:bCs w:val="1"/>
          <w:color w:val="auto"/>
        </w:rPr>
        <w:t xml:space="preserve">“Governmental Authority” </w:t>
      </w:r>
      <w:r>
        <w:rPr>
          <w:rFonts w:ascii="Times New Roman" w:cs="Times New Roman" w:eastAsia="Times New Roman" w:hAnsi="Times New Roman"/>
          <w:sz w:val="20"/>
          <w:szCs w:val="20"/>
          <w:color w:val="auto"/>
        </w:rPr>
        <w:t>means any government of any nation, federation, province, state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locality or any other political subdivision thereof, any entity, authority or body exercising executive,</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7" w:right="379" w:bottom="1440" w:gutter="0" w:footer="0" w:header="0"/>
        </w:sectPr>
      </w:pPr>
    </w:p>
    <w:bookmarkStart w:id="234" w:name="page235"/>
    <w:bookmarkEnd w:id="234"/>
    <w:p>
      <w:pPr>
        <w:ind w:firstLine="8"/>
        <w:spacing w:after="0" w:line="286" w:lineRule="auto"/>
        <w:tabs>
          <w:tab w:leader="none" w:pos="315"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40" w:right="60"/>
        <w:spacing w:after="0" w:line="244" w:lineRule="auto"/>
        <w:rPr>
          <w:sz w:val="20"/>
          <w:szCs w:val="20"/>
          <w:color w:val="auto"/>
        </w:rPr>
      </w:pPr>
      <w:r>
        <w:rPr>
          <w:rFonts w:ascii="Times New Roman" w:cs="Times New Roman" w:eastAsia="Times New Roman" w:hAnsi="Times New Roman"/>
          <w:sz w:val="22"/>
          <w:szCs w:val="22"/>
          <w:color w:val="auto"/>
        </w:rPr>
        <w:t>legislative, judicial, regulatory or administrative functions of or pertaining to government, including any government authority, agency, department, board, commission or instrumentality of any country, or any political subdivision thereof, any court, tribunal or arbitrator, and any self-regulatory organization.</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“Intellectual Property Rights” </w:t>
      </w:r>
      <w:r>
        <w:rPr>
          <w:rFonts w:ascii="Times New Roman" w:cs="Times New Roman" w:eastAsia="Times New Roman" w:hAnsi="Times New Roman"/>
          <w:sz w:val="22"/>
          <w:szCs w:val="22"/>
          <w:color w:val="auto"/>
        </w:rPr>
        <w:t>means any and all intellectual property rights, including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firstLine="90"/>
        <w:spacing w:after="0" w:line="296" w:lineRule="auto"/>
        <w:rPr>
          <w:sz w:val="20"/>
          <w:szCs w:val="20"/>
          <w:color w:val="auto"/>
        </w:rPr>
      </w:pPr>
      <w:r>
        <w:rPr>
          <w:rFonts w:ascii="Times New Roman" w:cs="Times New Roman" w:eastAsia="Times New Roman" w:hAnsi="Times New Roman"/>
          <w:sz w:val="22"/>
          <w:szCs w:val="22"/>
          <w:color w:val="auto"/>
        </w:rPr>
        <w:t>limited to those concerning inventions, patents, utility models, registered designs and models, engineering or production materials, drawings, trademarks, service marks, domain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firstLine="90"/>
        <w:spacing w:after="0" w:line="350" w:lineRule="auto"/>
        <w:rPr>
          <w:sz w:val="20"/>
          <w:szCs w:val="20"/>
          <w:color w:val="auto"/>
        </w:rPr>
      </w:pPr>
      <w:r>
        <w:rPr>
          <w:rFonts w:ascii="Times New Roman" w:cs="Times New Roman" w:eastAsia="Times New Roman" w:hAnsi="Times New Roman"/>
          <w:sz w:val="20"/>
          <w:szCs w:val="20"/>
          <w:color w:val="auto"/>
        </w:rPr>
        <w:t>applications for any of the foregoing (and the rights to apply for any of the foregoing), proprietary or business sensitive information and/or technical know-how, copyright, authorship, whether registered or not, and any neighbor rights.</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any individual, corporation, partnership, limited partnership, proprietorship,</w:t>
      </w:r>
    </w:p>
    <w:p>
      <w:pPr>
        <w:spacing w:after="0" w:line="102" w:lineRule="exact"/>
        <w:rPr>
          <w:sz w:val="20"/>
          <w:szCs w:val="20"/>
          <w:color w:val="auto"/>
        </w:rPr>
      </w:pPr>
    </w:p>
    <w:p>
      <w:pPr>
        <w:ind w:left="140" w:right="340"/>
        <w:spacing w:after="0" w:line="258" w:lineRule="auto"/>
        <w:rPr>
          <w:sz w:val="20"/>
          <w:szCs w:val="20"/>
          <w:color w:val="auto"/>
        </w:rPr>
      </w:pPr>
      <w:r>
        <w:rPr>
          <w:rFonts w:ascii="Times New Roman" w:cs="Times New Roman" w:eastAsia="Times New Roman" w:hAnsi="Times New Roman"/>
          <w:sz w:val="22"/>
          <w:szCs w:val="22"/>
          <w:color w:val="auto"/>
        </w:rPr>
        <w:t>association, limited liability company, firm, trust, estate or other enterprise or entity (whether or not having separate legal personality).</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“Purchase Unit Price” </w:t>
      </w:r>
      <w:r>
        <w:rPr>
          <w:rFonts w:ascii="Times New Roman" w:cs="Times New Roman" w:eastAsia="Times New Roman" w:hAnsi="Times New Roman"/>
          <w:sz w:val="22"/>
          <w:szCs w:val="22"/>
          <w:color w:val="auto"/>
        </w:rPr>
        <w:t>the per Terahash (“T”) unit price of the Products, as set forth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firstLine="90"/>
        <w:spacing w:after="0" w:line="354" w:lineRule="auto"/>
        <w:rPr>
          <w:sz w:val="20"/>
          <w:szCs w:val="20"/>
          <w:color w:val="auto"/>
        </w:rPr>
      </w:pPr>
      <w:r>
        <w:rPr>
          <w:rFonts w:ascii="Times New Roman" w:cs="Times New Roman" w:eastAsia="Times New Roman" w:hAnsi="Times New Roman"/>
          <w:sz w:val="20"/>
          <w:szCs w:val="20"/>
          <w:b w:val="1"/>
          <w:bCs w:val="1"/>
          <w:color w:val="auto"/>
        </w:rPr>
        <w:t xml:space="preserve">“Product(s)” </w:t>
      </w:r>
      <w:r>
        <w:rPr>
          <w:rFonts w:ascii="Times New Roman" w:cs="Times New Roman" w:eastAsia="Times New Roman" w:hAnsi="Times New Roman"/>
          <w:sz w:val="20"/>
          <w:szCs w:val="20"/>
          <w:color w:val="auto"/>
        </w:rPr>
        <w:t>means the cryptocurrency mining hardware and other equipment or merchandise that BITMAIN will sell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Purchaser in accordance with this Agreement, details of which are set forth in Appendix A (and Appendix C, if applicable).</w:t>
      </w:r>
    </w:p>
    <w:p>
      <w:pPr>
        <w:spacing w:after="0" w:line="90" w:lineRule="exact"/>
        <w:rPr>
          <w:sz w:val="20"/>
          <w:szCs w:val="20"/>
          <w:color w:val="auto"/>
        </w:rPr>
      </w:pPr>
    </w:p>
    <w:p>
      <w:pPr>
        <w:jc w:val="both"/>
        <w:ind w:left="140" w:right="6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“Quantity of the Products” </w:t>
      </w:r>
      <w:r>
        <w:rPr>
          <w:rFonts w:ascii="Times New Roman" w:cs="Times New Roman" w:eastAsia="Times New Roman" w:hAnsi="Times New Roman"/>
          <w:sz w:val="20"/>
          <w:szCs w:val="20"/>
          <w:color w:val="auto"/>
        </w:rPr>
        <w:t>means 37,396, being the quotient of the Contracted Hashrate divided by Rated Hashrate per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 as set forth in Appendix A, excluding any Forward Deliverables pursuant to Appendix C, which is for reference only and shall not be deemed as any representation, warranty or covenant made by BITMAIN. The Quantity of the Products shall be automatically adjusted in accordance with the change (if any) of the Rated Hashrate per Unit of the delivered Products.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“Rated Hashrate per Unit” </w:t>
      </w:r>
      <w:r>
        <w:rPr>
          <w:rFonts w:ascii="Times New Roman" w:cs="Times New Roman" w:eastAsia="Times New Roman" w:hAnsi="Times New Roman"/>
          <w:sz w:val="22"/>
          <w:szCs w:val="22"/>
          <w:color w:val="auto"/>
        </w:rPr>
        <w:t>means the rated hashrate of each unit of the Products as set forth in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97" w:right="639" w:bottom="1440" w:gutter="0" w:footer="0" w:header="0"/>
        </w:sectPr>
      </w:pPr>
    </w:p>
    <w:bookmarkStart w:id="235" w:name="page236"/>
    <w:bookmarkEnd w:id="235"/>
    <w:p>
      <w:pPr>
        <w:ind w:right="60" w:firstLine="8"/>
        <w:spacing w:after="0" w:line="286" w:lineRule="auto"/>
        <w:tabs>
          <w:tab w:leader="none" w:pos="315"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0" w:right="120"/>
        <w:spacing w:after="0" w:line="258" w:lineRule="auto"/>
        <w:rPr>
          <w:sz w:val="20"/>
          <w:szCs w:val="20"/>
          <w:color w:val="auto"/>
        </w:rPr>
      </w:pPr>
      <w:r>
        <w:rPr>
          <w:rFonts w:ascii="Times New Roman" w:cs="Times New Roman" w:eastAsia="Times New Roman" w:hAnsi="Times New Roman"/>
          <w:sz w:val="22"/>
          <w:szCs w:val="22"/>
          <w:color w:val="auto"/>
        </w:rPr>
        <w:t>Appendix A, which is for reference only and shall not be deemed as any representation, warranty or covenant made by BITMAIN.</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“Relevant Jurisdiction” </w:t>
      </w:r>
      <w:r>
        <w:rPr>
          <w:rFonts w:ascii="Times New Roman" w:cs="Times New Roman" w:eastAsia="Times New Roman" w:hAnsi="Times New Roman"/>
          <w:sz w:val="22"/>
          <w:szCs w:val="22"/>
          <w:color w:val="auto"/>
        </w:rPr>
        <w:t>means the State of Delaware,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“Shipping Period” </w:t>
      </w:r>
      <w:r>
        <w:rPr>
          <w:rFonts w:ascii="Times New Roman" w:cs="Times New Roman" w:eastAsia="Times New Roman" w:hAnsi="Times New Roman"/>
          <w:sz w:val="20"/>
          <w:szCs w:val="20"/>
          <w:color w:val="auto"/>
        </w:rPr>
        <w:t>means the estimated time period when BITMAIN shall ship the applicable batch of Products on condition</w:t>
      </w:r>
    </w:p>
    <w:p>
      <w:pPr>
        <w:spacing w:after="0" w:line="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that the Purchaser has fulfilled its payment obligations hereunder, as set forth in Appendix A and Appendix C, as the case may be.</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“Total Purchase Price” </w:t>
      </w:r>
      <w:r>
        <w:rPr>
          <w:rFonts w:ascii="Times New Roman" w:cs="Times New Roman" w:eastAsia="Times New Roman" w:hAnsi="Times New Roman"/>
          <w:sz w:val="22"/>
          <w:szCs w:val="22"/>
          <w:color w:val="auto"/>
        </w:rPr>
        <w:t>means US$ 99,473,360.00, being the multiplication product of Purchase</w:t>
      </w:r>
    </w:p>
    <w:p>
      <w:pPr>
        <w:spacing w:after="0" w:line="115" w:lineRule="exact"/>
        <w:rPr>
          <w:sz w:val="20"/>
          <w:szCs w:val="20"/>
          <w:color w:val="auto"/>
        </w:rPr>
      </w:pPr>
    </w:p>
    <w:p>
      <w:pPr>
        <w:ind w:left="140" w:right="180"/>
        <w:spacing w:after="0" w:line="258" w:lineRule="auto"/>
        <w:rPr>
          <w:sz w:val="20"/>
          <w:szCs w:val="20"/>
          <w:color w:val="auto"/>
        </w:rPr>
      </w:pPr>
      <w:r>
        <w:rPr>
          <w:rFonts w:ascii="Times New Roman" w:cs="Times New Roman" w:eastAsia="Times New Roman" w:hAnsi="Times New Roman"/>
          <w:sz w:val="22"/>
          <w:szCs w:val="22"/>
          <w:color w:val="auto"/>
        </w:rPr>
        <w:t>Unit Price multiplied by Contracted Hashrate, but excluding the Call Purchase Fee and Call Purchase Price contemplated in Appendix C.</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“US$” or “US Dollar(s)” </w:t>
      </w:r>
      <w:r>
        <w:rPr>
          <w:rFonts w:ascii="Times New Roman" w:cs="Times New Roman" w:eastAsia="Times New Roman" w:hAnsi="Times New Roman"/>
          <w:sz w:val="22"/>
          <w:szCs w:val="22"/>
          <w:color w:val="auto"/>
        </w:rPr>
        <w:t>means the lawful currency of the United States of America.</w:t>
      </w:r>
    </w:p>
    <w:p>
      <w:pPr>
        <w:spacing w:after="0" w:line="354" w:lineRule="exact"/>
        <w:rPr>
          <w:sz w:val="20"/>
          <w:szCs w:val="20"/>
          <w:color w:val="auto"/>
        </w:rPr>
      </w:pPr>
    </w:p>
    <w:p>
      <w:pPr>
        <w:ind w:left="140" w:right="480"/>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“Warranty Period” </w:t>
      </w:r>
      <w:r>
        <w:rPr>
          <w:rFonts w:ascii="Times New Roman" w:cs="Times New Roman" w:eastAsia="Times New Roman" w:hAnsi="Times New Roman"/>
          <w:sz w:val="22"/>
          <w:szCs w:val="22"/>
          <w:color w:val="auto"/>
        </w:rPr>
        <w:t>means the period of time that the Products are covered by the warranty granted by BITMAIN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in accordance with Clause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9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“Warranty Start Date” </w:t>
      </w:r>
      <w:r>
        <w:rPr>
          <w:rFonts w:ascii="Times New Roman" w:cs="Times New Roman" w:eastAsia="Times New Roman" w:hAnsi="Times New Roman"/>
          <w:sz w:val="22"/>
          <w:szCs w:val="22"/>
          <w:color w:val="auto"/>
        </w:rPr>
        <w:t>means the date on which the Products are delivered pursuant to Clause 4.1 as recorded on BITMAIN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Website.</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1.2 In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60" w:right="120"/>
        <w:spacing w:after="0" w:line="241" w:lineRule="auto"/>
        <w:rPr>
          <w:sz w:val="20"/>
          <w:szCs w:val="20"/>
          <w:color w:val="auto"/>
        </w:rPr>
      </w:pPr>
      <w:r>
        <w:rPr>
          <w:rFonts w:ascii="Times New Roman" w:cs="Times New Roman" w:eastAsia="Times New Roman" w:hAnsi="Times New Roman"/>
          <w:sz w:val="22"/>
          <w:szCs w:val="22"/>
          <w:color w:val="auto"/>
        </w:rPr>
        <w:t>(a)Any singular term in this Agreement shall be deemed to include the plural and vice versa where the context so requires</w:t>
      </w:r>
    </w:p>
    <w:p>
      <w:pPr>
        <w:spacing w:after="0" w:line="1" w:lineRule="exact"/>
        <w:rPr>
          <w:sz w:val="20"/>
          <w:szCs w:val="20"/>
          <w:color w:val="auto"/>
        </w:rPr>
      </w:pPr>
    </w:p>
    <w:p>
      <w:pPr>
        <w:ind w:left="760" w:right="120"/>
        <w:spacing w:after="0" w:line="230" w:lineRule="auto"/>
        <w:rPr>
          <w:sz w:val="20"/>
          <w:szCs w:val="20"/>
          <w:color w:val="auto"/>
        </w:rPr>
      </w:pPr>
      <w:r>
        <w:rPr>
          <w:rFonts w:ascii="Times New Roman" w:cs="Times New Roman" w:eastAsia="Times New Roman" w:hAnsi="Times New Roman"/>
          <w:sz w:val="22"/>
          <w:szCs w:val="22"/>
          <w:color w:val="auto"/>
        </w:rPr>
        <w:t>(b)The headings in this Agreement are inserted for convenience only and shall not be taken into consideration in the interpretation or construction of this Agreement.</w:t>
      </w:r>
    </w:p>
    <w:p>
      <w:pPr>
        <w:spacing w:after="0" w:line="1" w:lineRule="exact"/>
        <w:rPr>
          <w:sz w:val="20"/>
          <w:szCs w:val="20"/>
          <w:color w:val="auto"/>
        </w:rPr>
      </w:pPr>
    </w:p>
    <w:p>
      <w:pPr>
        <w:ind w:left="760" w:right="140"/>
        <w:spacing w:after="0" w:line="230" w:lineRule="auto"/>
        <w:rPr>
          <w:sz w:val="20"/>
          <w:szCs w:val="20"/>
          <w:color w:val="auto"/>
        </w:rPr>
      </w:pPr>
      <w:r>
        <w:rPr>
          <w:rFonts w:ascii="Times New Roman" w:cs="Times New Roman" w:eastAsia="Times New Roman" w:hAnsi="Times New Roman"/>
          <w:sz w:val="22"/>
          <w:szCs w:val="22"/>
          <w:color w:val="auto"/>
        </w:rPr>
        <w:t>(c)References to Clause(s) and Appendix(es) are references to Clause(s) and Appendix(es) of this Agreement. (d)The Appendixes form part of this Agreement and shall have the same force and effect as if expressly set out in the body of this Agreement.</w:t>
      </w:r>
    </w:p>
    <w:p>
      <w:pPr>
        <w:spacing w:after="0" w:line="1" w:lineRule="exact"/>
        <w:rPr>
          <w:sz w:val="20"/>
          <w:szCs w:val="20"/>
          <w:color w:val="auto"/>
        </w:rPr>
      </w:pPr>
    </w:p>
    <w:p>
      <w:pPr>
        <w:ind w:left="1100" w:hanging="343"/>
        <w:spacing w:after="0"/>
        <w:tabs>
          <w:tab w:leader="none" w:pos="11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specifically stated otherwise, all references to days shall mean calendar days.</w:t>
      </w:r>
    </w:p>
    <w:p>
      <w:pPr>
        <w:spacing w:after="0" w:line="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code, law, statute, statutory provision, statutory instrument, order,</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697" w:right="579" w:bottom="1440" w:gutter="0" w:footer="0" w:header="0"/>
        </w:sectPr>
      </w:pPr>
    </w:p>
    <w:bookmarkStart w:id="236" w:name="page237"/>
    <w:bookmarkEnd w:id="236"/>
    <w:p>
      <w:pPr>
        <w:ind w:left="-8" w:firstLine="8"/>
        <w:spacing w:after="0" w:line="286" w:lineRule="auto"/>
        <w:tabs>
          <w:tab w:leader="none" w:pos="307"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52" w:right="60" w:firstLine="260"/>
        <w:spacing w:after="0" w:line="258" w:lineRule="auto"/>
        <w:rPr>
          <w:sz w:val="20"/>
          <w:szCs w:val="20"/>
          <w:color w:val="auto"/>
        </w:rPr>
      </w:pPr>
      <w:r>
        <w:rPr>
          <w:rFonts w:ascii="Times New Roman" w:cs="Times New Roman" w:eastAsia="Times New Roman" w:hAnsi="Times New Roman"/>
          <w:sz w:val="22"/>
          <w:szCs w:val="22"/>
          <w:color w:val="auto"/>
        </w:rPr>
        <w:t>regulation or other instrument of similar effect shall include any re-enactment or amendment thereof for the time being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2. Sales and Purchase of Products</w:t>
      </w:r>
    </w:p>
    <w:p>
      <w:pPr>
        <w:spacing w:after="0" w:line="358" w:lineRule="exact"/>
        <w:rPr>
          <w:sz w:val="20"/>
          <w:szCs w:val="20"/>
          <w:color w:val="auto"/>
        </w:rPr>
      </w:pPr>
    </w:p>
    <w:p>
      <w:pPr>
        <w:jc w:val="both"/>
        <w:ind w:left="112" w:right="60"/>
        <w:spacing w:after="0" w:line="239" w:lineRule="auto"/>
        <w:rPr>
          <w:sz w:val="20"/>
          <w:szCs w:val="20"/>
          <w:color w:val="auto"/>
        </w:rPr>
      </w:pPr>
      <w:r>
        <w:rPr>
          <w:rFonts w:ascii="Times New Roman" w:cs="Times New Roman" w:eastAsia="Times New Roman" w:hAnsi="Times New Roman"/>
          <w:sz w:val="22"/>
          <w:szCs w:val="22"/>
          <w:color w:val="auto"/>
        </w:rPr>
        <w:t>2.1 Subject to the terms and conditions set forth herein, the Purchaser agrees to purchase the batches of Products at the Total Purchase Price. In addition, the Parties acknowledge and agree that the Purchaser shall also have the option to purchase the Forward Deliverables pursuant to the terms and conditions of the Call Option set forth herein and in Appendix C.</w:t>
      </w:r>
    </w:p>
    <w:p>
      <w:pPr>
        <w:spacing w:after="0" w:line="202"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3. Price and Terms of Payment</w:t>
      </w:r>
    </w:p>
    <w:p>
      <w:pPr>
        <w:spacing w:after="0" w:line="358" w:lineRule="exact"/>
        <w:rPr>
          <w:sz w:val="20"/>
          <w:szCs w:val="20"/>
          <w:color w:val="auto"/>
        </w:rPr>
      </w:pPr>
    </w:p>
    <w:p>
      <w:pPr>
        <w:jc w:val="both"/>
        <w:ind w:left="132" w:right="60"/>
        <w:spacing w:after="0" w:line="258" w:lineRule="auto"/>
        <w:rPr>
          <w:sz w:val="20"/>
          <w:szCs w:val="20"/>
          <w:color w:val="auto"/>
        </w:rPr>
      </w:pPr>
      <w:r>
        <w:rPr>
          <w:rFonts w:ascii="Times New Roman" w:cs="Times New Roman" w:eastAsia="Times New Roman" w:hAnsi="Times New Roman"/>
          <w:sz w:val="22"/>
          <w:szCs w:val="22"/>
          <w:color w:val="auto"/>
        </w:rPr>
        <w:t>3.1. The Purchaser shall pay the Total Purchase Price of each batch of Products in tranches in accordance with the payment schedule as set forth in Appendix B.</w:t>
      </w:r>
    </w:p>
    <w:p>
      <w:pPr>
        <w:spacing w:after="0" w:line="184" w:lineRule="exact"/>
        <w:rPr>
          <w:sz w:val="20"/>
          <w:szCs w:val="20"/>
          <w:color w:val="auto"/>
        </w:rPr>
      </w:pPr>
    </w:p>
    <w:p>
      <w:pPr>
        <w:jc w:val="both"/>
        <w:ind w:left="112" w:right="40"/>
        <w:spacing w:after="0" w:line="236" w:lineRule="auto"/>
        <w:rPr>
          <w:sz w:val="20"/>
          <w:szCs w:val="20"/>
          <w:color w:val="auto"/>
        </w:rPr>
      </w:pPr>
      <w:r>
        <w:rPr>
          <w:rFonts w:ascii="Times New Roman" w:cs="Times New Roman" w:eastAsia="Times New Roman" w:hAnsi="Times New Roman"/>
          <w:sz w:val="22"/>
          <w:szCs w:val="22"/>
          <w:color w:val="auto"/>
        </w:rPr>
        <w:t>3.2 All sums payable by the Purchaser to BITMAIN shall not be subject to any abatement, set-off, claim, counterclaim, adjustment, reduction, or defense for any reason. Unless otherwise explicitly specified herein, any and all payments made by the Purchaser (including, without limitation, the payment of the Total Purchase Price) are not refundable. Without prejudice to the foregoing, the Parties acknowledge and agree that BITMAIN shall be entitled to deduct from, set-off and apply any and all deposits and balance of the Purchaser for any sums owed by the Purchaser to BITMAIN, including but not limited to any liquidated damages, indemnities, liabilities,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12" w:right="60"/>
        <w:spacing w:after="0" w:line="236" w:lineRule="auto"/>
        <w:rPr>
          <w:sz w:val="20"/>
          <w:szCs w:val="20"/>
          <w:color w:val="auto"/>
        </w:rPr>
      </w:pPr>
      <w:r>
        <w:rPr>
          <w:rFonts w:ascii="Times New Roman" w:cs="Times New Roman" w:eastAsia="Times New Roman" w:hAnsi="Times New Roman"/>
          <w:sz w:val="22"/>
          <w:szCs w:val="22"/>
          <w:color w:val="auto"/>
        </w:rPr>
        <w:t>3.3 In the event that the Purchaser fails to fully settle the respective percentage of the Total Purchase Price with respect to any applicable batch before the prescribed deadline(s) set forth in Appendix B without BITMAIN’s prior written consent, BITMAIN, at its sole discretion, shall be entitled to: (a) charge default interest on all unpaid amount with respect to each applicable batch, at the rate of twelve percent (12%) per annum; and (b) continue to perform its obligations with respect to such applicable batch, provided that, in each case, any and all the losses, claims, damages or liabilities that BITMAIN may suffer shall be fully indemnified by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37" w:name="page238"/>
    <w:bookmarkEnd w:id="237"/>
    <w:p>
      <w:pPr>
        <w:ind w:left="-8" w:firstLine="8"/>
        <w:spacing w:after="0" w:line="286" w:lineRule="auto"/>
        <w:tabs>
          <w:tab w:leader="none" w:pos="307"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12" w:right="60"/>
        <w:spacing w:after="0" w:line="239" w:lineRule="auto"/>
        <w:rPr>
          <w:sz w:val="20"/>
          <w:szCs w:val="20"/>
          <w:color w:val="auto"/>
        </w:rPr>
      </w:pPr>
      <w:r>
        <w:rPr>
          <w:rFonts w:ascii="Times New Roman" w:cs="Times New Roman" w:eastAsia="Times New Roman" w:hAnsi="Times New Roman"/>
          <w:sz w:val="22"/>
          <w:szCs w:val="22"/>
          <w:color w:val="auto"/>
        </w:rPr>
        <w:t>3.4 Before the Purchaser makes any payment on any batch of Product(s), the Parties shall confirm and agree on the batch of the Product(s) against which payment is being made. This confirmation shall be used to determine matters where different arrangements are applicable to different batches, including, but not limited to, defaults of the Purchaser and the product discount (if any) offered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2"/>
          <w:szCs w:val="22"/>
          <w:color w:val="auto"/>
        </w:rPr>
        <w:t>3.5 The Purchaser shall complete the relevant order processing procedures on the official website 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38" w:name="page239"/>
    <w:bookmarkEnd w:id="238"/>
    <w:p>
      <w:pPr>
        <w:ind w:left="-8" w:firstLine="8"/>
        <w:spacing w:after="0" w:line="286" w:lineRule="auto"/>
        <w:tabs>
          <w:tab w:leader="none" w:pos="307"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2"/>
          <w:szCs w:val="22"/>
          <w:color w:val="auto"/>
        </w:rPr>
        <w:t>BITMAIN:</w:t>
      </w:r>
    </w:p>
    <w:p>
      <w:pPr>
        <w:spacing w:after="0" w:line="98"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2"/>
          <w:szCs w:val="22"/>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39" w:name="page240"/>
    <w:bookmarkEnd w:id="239"/>
    <w:p>
      <w:pPr>
        <w:ind w:firstLine="8"/>
        <w:spacing w:after="0" w:line="286" w:lineRule="auto"/>
        <w:tabs>
          <w:tab w:leader="none" w:pos="315"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https://shop.bitmain.com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97" w:right="639" w:bottom="1440" w:gutter="0" w:footer="0" w:header="0"/>
        </w:sectPr>
      </w:pPr>
    </w:p>
    <w:bookmarkStart w:id="240" w:name="page241"/>
    <w:bookmarkEnd w:id="240"/>
    <w:p>
      <w:pPr>
        <w:ind w:left="-8" w:firstLine="8"/>
        <w:spacing w:after="0" w:line="286" w:lineRule="auto"/>
        <w:tabs>
          <w:tab w:leader="none" w:pos="307"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2"/>
          <w:szCs w:val="22"/>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41" w:name="page242"/>
    <w:bookmarkEnd w:id="241"/>
    <w:p>
      <w:pPr>
        <w:ind w:left="-8" w:firstLine="8"/>
        <w:spacing w:after="0" w:line="286" w:lineRule="auto"/>
        <w:tabs>
          <w:tab w:leader="none" w:pos="307"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2"/>
          <w:szCs w:val="22"/>
          <w:b w:val="1"/>
          <w:bCs w:val="1"/>
          <w:color w:val="auto"/>
        </w:rPr>
        <w:t>“BITMAIN Website”</w:t>
      </w:r>
      <w:r>
        <w:rPr>
          <w:rFonts w:ascii="Times New Roman" w:cs="Times New Roman" w:eastAsia="Times New Roman" w:hAnsi="Times New Roman"/>
          <w:sz w:val="22"/>
          <w:szCs w:val="22"/>
          <w:color w:val="auto"/>
        </w:rPr>
        <w:t>) in accordance with BITMAIN’s</w:t>
      </w:r>
    </w:p>
    <w:p>
      <w:pPr>
        <w:spacing w:after="0" w:line="200" w:lineRule="exact"/>
        <w:rPr>
          <w:sz w:val="20"/>
          <w:szCs w:val="20"/>
          <w:color w:val="auto"/>
        </w:rPr>
      </w:pPr>
    </w:p>
    <w:p>
      <w:pPr>
        <w:spacing w:after="0" w:line="2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42" w:name="page243"/>
    <w:bookmarkEnd w:id="242"/>
    <w:p>
      <w:pPr>
        <w:ind w:left="-8" w:firstLine="8"/>
        <w:spacing w:after="0" w:line="286" w:lineRule="auto"/>
        <w:tabs>
          <w:tab w:leader="none" w:pos="307"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12" w:right="60"/>
        <w:spacing w:after="0" w:line="237" w:lineRule="auto"/>
        <w:rPr>
          <w:sz w:val="20"/>
          <w:szCs w:val="20"/>
          <w:color w:val="auto"/>
        </w:rPr>
      </w:pPr>
      <w:r>
        <w:rPr>
          <w:rFonts w:ascii="Times New Roman" w:cs="Times New Roman" w:eastAsia="Times New Roman" w:hAnsi="Times New Roman"/>
          <w:sz w:val="22"/>
          <w:szCs w:val="22"/>
          <w:color w:val="auto"/>
        </w:rPr>
        <w:t>3.6 The Parties understand and agree that the Total Purchase Price is inclusive of the insurance (as set forth in Clause 2 of the Appendix A) fee and applicable bank transaction fee, but is exclusive of the logistics costs of shipping from BITMAIN's factory/warehouse to the designated place of the Purchaser, relevant maintenance or other applicable costs of the Purchaser to purchase the Products, and any and all applicable import duties, taxes (any value-added taxes, sales and use tax and other similar turnover tax) and governmental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12" w:right="40"/>
        <w:spacing w:after="0" w:line="236" w:lineRule="auto"/>
        <w:rPr>
          <w:sz w:val="20"/>
          <w:szCs w:val="20"/>
          <w:color w:val="auto"/>
        </w:rPr>
      </w:pPr>
      <w:r>
        <w:rPr>
          <w:rFonts w:ascii="Times New Roman" w:cs="Times New Roman" w:eastAsia="Times New Roman" w:hAnsi="Times New Roman"/>
          <w:sz w:val="22"/>
          <w:szCs w:val="22"/>
          <w:color w:val="auto"/>
        </w:rPr>
        <w:t>3.7 The Purchaser is responsible for being compliant with tax filing requirement regulated by any federal, state or local taxing authority in the United States regarding all applicable taxes, including, but not limited to sales and use tax, value added taxes and any other governmental charges and duties connected with the services provided by BITMAIN or the payment of any amounts hereunder. The Purchaser agrees to provide BITMAIN with the tax payment certificate or acknowledgement or the confirmation email issued by the relevant state tax authorities regarding the abovementioned taxes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12" w:right="60"/>
        <w:spacing w:after="0" w:line="280" w:lineRule="auto"/>
        <w:rPr>
          <w:sz w:val="20"/>
          <w:szCs w:val="20"/>
          <w:color w:val="auto"/>
        </w:rPr>
      </w:pPr>
      <w:r>
        <w:rPr>
          <w:rFonts w:ascii="Times New Roman" w:cs="Times New Roman" w:eastAsia="Times New Roman" w:hAnsi="Times New Roman"/>
          <w:sz w:val="20"/>
          <w:szCs w:val="20"/>
          <w:color w:val="auto"/>
        </w:rPr>
        <w:t>3.8 The Purchaser shall indemnify and hold BITMAIN harmless from and against any and all liability of tax filing, claims, late payment interest, fines, penalties in relation to sales and use tax, value- added taxes and any other governmental charges and duties connected with the services provided by BITMAIN or the payment of any amounts hereunder.</w:t>
      </w:r>
    </w:p>
    <w:p>
      <w:pPr>
        <w:spacing w:after="0" w:line="162"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4. Shipping of Products</w:t>
      </w:r>
    </w:p>
    <w:p>
      <w:pPr>
        <w:spacing w:after="0" w:line="358"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color w:val="auto"/>
        </w:rPr>
        <w:t>4.1 The Parties agree that the shipping of the Products shall be completed as follows:</w:t>
      </w:r>
    </w:p>
    <w:p>
      <w:pPr>
        <w:spacing w:after="0" w:line="340" w:lineRule="exact"/>
        <w:rPr>
          <w:sz w:val="20"/>
          <w:szCs w:val="20"/>
          <w:color w:val="auto"/>
        </w:rPr>
      </w:pPr>
    </w:p>
    <w:p>
      <w:pPr>
        <w:jc w:val="both"/>
        <w:ind w:left="752" w:right="40"/>
        <w:spacing w:after="0" w:line="271" w:lineRule="auto"/>
        <w:rPr>
          <w:sz w:val="20"/>
          <w:szCs w:val="20"/>
          <w:color w:val="auto"/>
        </w:rPr>
      </w:pPr>
      <w:r>
        <w:rPr>
          <w:rFonts w:ascii="Times New Roman" w:cs="Times New Roman" w:eastAsia="Times New Roman" w:hAnsi="Times New Roman"/>
          <w:sz w:val="20"/>
          <w:szCs w:val="20"/>
          <w:color w:val="auto"/>
        </w:rPr>
        <w:t>(a)BITMAIN shall notify the Purchaser when a batch or a portion of the batch of the Products is ready for shipment (“</w:t>
      </w:r>
      <w:r>
        <w:rPr>
          <w:rFonts w:ascii="Times New Roman" w:cs="Times New Roman" w:eastAsia="Times New Roman" w:hAnsi="Times New Roman"/>
          <w:sz w:val="20"/>
          <w:szCs w:val="20"/>
          <w:b w:val="1"/>
          <w:bCs w:val="1"/>
          <w:color w:val="auto"/>
        </w:rPr>
        <w:t>Ready-to-Ship Notification</w:t>
      </w:r>
      <w:r>
        <w:rPr>
          <w:rFonts w:ascii="Times New Roman" w:cs="Times New Roman" w:eastAsia="Times New Roman" w:hAnsi="Times New Roman"/>
          <w:sz w:val="20"/>
          <w:szCs w:val="20"/>
          <w:color w:val="auto"/>
        </w:rPr>
        <w:t>”) during or after the Shipping Period as set forth in Appendix A (in any event no later than 30th day after the expiration of the Shipping Period as set forth in Appendix A), provided that, the Purchaser shall have fulfilled its payment obligations in accordance with this Agreement. For each batch, BITMAIN shall be</w:t>
      </w:r>
    </w:p>
    <w:p>
      <w:pPr>
        <w:spacing w:after="0" w:line="6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entitled to ship by installments and send a Ready-to-Ship Notification for each installment. BITMAIN shall</w:t>
      </w:r>
    </w:p>
    <w:p>
      <w:pPr>
        <w:spacing w:after="0" w:line="200" w:lineRule="exact"/>
        <w:rPr>
          <w:sz w:val="20"/>
          <w:szCs w:val="20"/>
          <w:color w:val="auto"/>
        </w:rPr>
      </w:pPr>
    </w:p>
    <w:p>
      <w:pPr>
        <w:spacing w:after="0" w:line="33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43" w:name="page244"/>
    <w:bookmarkEnd w:id="243"/>
    <w:p>
      <w:pPr>
        <w:ind w:left="-8" w:firstLine="8"/>
        <w:spacing w:after="0" w:line="286" w:lineRule="auto"/>
        <w:tabs>
          <w:tab w:leader="none" w:pos="307"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52" w:right="60" w:firstLine="261"/>
        <w:spacing w:after="0" w:line="241" w:lineRule="auto"/>
        <w:rPr>
          <w:sz w:val="20"/>
          <w:szCs w:val="20"/>
          <w:color w:val="auto"/>
        </w:rPr>
      </w:pPr>
      <w:r>
        <w:rPr>
          <w:rFonts w:ascii="Times New Roman" w:cs="Times New Roman" w:eastAsia="Times New Roman" w:hAnsi="Times New Roman"/>
          <w:sz w:val="22"/>
          <w:szCs w:val="22"/>
          <w:color w:val="auto"/>
        </w:rPr>
        <w:t>be deemed to have fulfilled its obligation to deliver the Products once BITMAIN sends the Purchaser the Ready-to-Ship Notification.</w:t>
      </w:r>
    </w:p>
    <w:p>
      <w:pPr>
        <w:spacing w:after="0" w:line="1" w:lineRule="exact"/>
        <w:rPr>
          <w:sz w:val="20"/>
          <w:szCs w:val="20"/>
          <w:color w:val="auto"/>
        </w:rPr>
      </w:pPr>
    </w:p>
    <w:p>
      <w:pPr>
        <w:jc w:val="both"/>
        <w:ind w:left="752" w:right="40"/>
        <w:spacing w:after="0" w:line="230" w:lineRule="auto"/>
        <w:rPr>
          <w:sz w:val="20"/>
          <w:szCs w:val="20"/>
          <w:color w:val="auto"/>
        </w:rPr>
      </w:pPr>
      <w:r>
        <w:rPr>
          <w:rFonts w:ascii="Times New Roman" w:cs="Times New Roman" w:eastAsia="Times New Roman" w:hAnsi="Times New Roman"/>
          <w:sz w:val="22"/>
          <w:szCs w:val="22"/>
          <w:color w:val="auto"/>
        </w:rPr>
        <w:t>(b)Within three (3) days upon the receipt of the Ready-to-Ship Notification, the Purchaser shall inform BITMAIN of a shipping address or its intention to self-pick up the Products in a manner as agreed by the Parties (the “</w:t>
      </w:r>
      <w:r>
        <w:rPr>
          <w:rFonts w:ascii="Times New Roman" w:cs="Times New Roman" w:eastAsia="Times New Roman" w:hAnsi="Times New Roman"/>
          <w:sz w:val="22"/>
          <w:szCs w:val="22"/>
          <w:b w:val="1"/>
          <w:bCs w:val="1"/>
          <w:color w:val="auto"/>
        </w:rPr>
        <w:t>Confirmation</w:t>
      </w:r>
      <w:r>
        <w:rPr>
          <w:rFonts w:ascii="Times New Roman" w:cs="Times New Roman" w:eastAsia="Times New Roman" w:hAnsi="Times New Roman"/>
          <w:sz w:val="22"/>
          <w:szCs w:val="22"/>
          <w:color w:val="auto"/>
        </w:rPr>
        <w:t>”). The title and risk of loss or damage to the Products shall pass to the Purchaser when BITMAIN delivers the Products to the carrier, or when the Purchaser self-picks up the Products, whichever is applicable.</w:t>
      </w:r>
    </w:p>
    <w:p>
      <w:pPr>
        <w:spacing w:after="0" w:line="1" w:lineRule="exact"/>
        <w:rPr>
          <w:sz w:val="20"/>
          <w:szCs w:val="20"/>
          <w:color w:val="auto"/>
        </w:rPr>
      </w:pPr>
    </w:p>
    <w:p>
      <w:pPr>
        <w:jc w:val="both"/>
        <w:ind w:left="752" w:right="60"/>
        <w:spacing w:after="0" w:line="230" w:lineRule="auto"/>
        <w:rPr>
          <w:sz w:val="20"/>
          <w:szCs w:val="20"/>
          <w:color w:val="auto"/>
        </w:rPr>
      </w:pPr>
      <w:r>
        <w:rPr>
          <w:rFonts w:ascii="Times New Roman" w:cs="Times New Roman" w:eastAsia="Times New Roman" w:hAnsi="Times New Roman"/>
          <w:sz w:val="22"/>
          <w:szCs w:val="22"/>
          <w:color w:val="auto"/>
        </w:rPr>
        <w:t>(c)If the Purchaser fails to provide the Confirmation within thirty (30) days following receipt of the Ready-to-Ship Notification, BITMAIN shall be entitled to handle the Products (or the relevant portion of the Products, as applicable) in any manner it deems appropriate.</w:t>
      </w:r>
    </w:p>
    <w:p>
      <w:pPr>
        <w:spacing w:after="0" w:line="1" w:lineRule="exact"/>
        <w:rPr>
          <w:sz w:val="20"/>
          <w:szCs w:val="20"/>
          <w:color w:val="auto"/>
        </w:rPr>
      </w:pPr>
    </w:p>
    <w:p>
      <w:pPr>
        <w:jc w:val="both"/>
        <w:ind w:left="752" w:right="60"/>
        <w:spacing w:after="0" w:line="237" w:lineRule="auto"/>
        <w:rPr>
          <w:sz w:val="20"/>
          <w:szCs w:val="20"/>
          <w:color w:val="auto"/>
        </w:rPr>
      </w:pPr>
      <w:r>
        <w:rPr>
          <w:rFonts w:ascii="Times New Roman" w:cs="Times New Roman" w:eastAsia="Times New Roman" w:hAnsi="Times New Roman"/>
          <w:sz w:val="22"/>
          <w:szCs w:val="22"/>
          <w:color w:val="auto"/>
        </w:rPr>
        <w:t>(d)Under no circumstance shall BITMAIN be required to refund the payment already made if the Purchaser fails to provide the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12" w:right="40"/>
        <w:spacing w:after="0" w:line="239" w:lineRule="auto"/>
        <w:rPr>
          <w:sz w:val="20"/>
          <w:szCs w:val="20"/>
          <w:color w:val="auto"/>
        </w:rPr>
      </w:pPr>
      <w:r>
        <w:rPr>
          <w:rFonts w:ascii="Times New Roman" w:cs="Times New Roman" w:eastAsia="Times New Roman" w:hAnsi="Times New Roman"/>
          <w:sz w:val="22"/>
          <w:szCs w:val="22"/>
          <w:color w:val="auto"/>
        </w:rPr>
        <w:t>4.2 Subject to Clause 4.1 and the limitations stated in Appendix A, the terms of delivery of the Products shall be FCA (BITMAIN Factory or Warehouse) according to Incoterms 2020 to the place of delivery designated by the Purchaser. The Parties hereby acknowledge and agree that the delivery of the Products to the carrier shall occur outside of the jurisdiction of the Purchaser.</w:t>
      </w:r>
    </w:p>
    <w:p>
      <w:pPr>
        <w:spacing w:after="0" w:line="206"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4.3 In the event of any discrepancy between this Agreement and BITMAIN’s cargo insurance policy regarding the insurance coverage, the then effective BITMAIN cargo insurance policy shall prevail, and BITMAIN shall be required to provide the then effective insurance coverage to the Purchaser.</w:t>
      </w:r>
    </w:p>
    <w:p>
      <w:pPr>
        <w:spacing w:after="0" w:line="199" w:lineRule="exact"/>
        <w:rPr>
          <w:sz w:val="20"/>
          <w:szCs w:val="20"/>
          <w:color w:val="auto"/>
        </w:rPr>
      </w:pPr>
    </w:p>
    <w:p>
      <w:pPr>
        <w:jc w:val="both"/>
        <w:ind w:left="112" w:right="40"/>
        <w:spacing w:after="0" w:line="233" w:lineRule="auto"/>
        <w:rPr>
          <w:sz w:val="20"/>
          <w:szCs w:val="20"/>
          <w:color w:val="auto"/>
        </w:rPr>
      </w:pPr>
      <w:r>
        <w:rPr>
          <w:rFonts w:ascii="Times New Roman" w:cs="Times New Roman" w:eastAsia="Times New Roman" w:hAnsi="Times New Roman"/>
          <w:sz w:val="22"/>
          <w:szCs w:val="22"/>
          <w:color w:val="auto"/>
        </w:rPr>
        <w:t>4.4 If BITMAIN, at its own fault, fails to send the Ready-to-Ship Notification within thirty (30) days after the expiration of the Shipping Period as set forth in Appendix A, the Purchaser shall be entitled to cancel such batch of Products and request BITMAIN to refund the respective price of such undelivered batch of Products already paid by the Purchaser together with an interest at 0.0333% per day for the period from the next day of each payment of the price of such batch of Products to the date immediately prior to the request. In the event that the Purchaser does not cancel undelivered batch of Products and requests BITMAIN to perform its delivery obligation, BITMAIN shall continue to perform its delivery obligation and compensate the Purchaser in accordance with Clause</w:t>
      </w:r>
    </w:p>
    <w:p>
      <w:pPr>
        <w:spacing w:after="0" w:line="4"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color w:val="auto"/>
        </w:rPr>
        <w:t>4.5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12" w:right="60"/>
        <w:spacing w:after="0" w:line="258" w:lineRule="auto"/>
        <w:rPr>
          <w:sz w:val="20"/>
          <w:szCs w:val="20"/>
          <w:color w:val="auto"/>
        </w:rPr>
      </w:pPr>
      <w:r>
        <w:rPr>
          <w:rFonts w:ascii="Times New Roman" w:cs="Times New Roman" w:eastAsia="Times New Roman" w:hAnsi="Times New Roman"/>
          <w:sz w:val="22"/>
          <w:szCs w:val="22"/>
          <w:color w:val="auto"/>
        </w:rPr>
        <w:t>4.5 If BITMAIN, at its own fault, fails to send the Ready-to-Ship Notification within thirty (30) days after expiration of the Shipping Period as set forth in Appendix A and the Purchaser does not cancel</w:t>
      </w:r>
    </w:p>
    <w:p>
      <w:pPr>
        <w:spacing w:after="0" w:line="200" w:lineRule="exact"/>
        <w:rPr>
          <w:sz w:val="20"/>
          <w:szCs w:val="20"/>
          <w:color w:val="auto"/>
        </w:rPr>
      </w:pPr>
    </w:p>
    <w:p>
      <w:pPr>
        <w:spacing w:after="0" w:line="24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44" w:name="page245"/>
    <w:bookmarkEnd w:id="244"/>
    <w:p>
      <w:pPr>
        <w:ind w:left="-8" w:firstLine="8"/>
        <w:spacing w:after="0" w:line="286" w:lineRule="auto"/>
        <w:tabs>
          <w:tab w:leader="none" w:pos="307"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2" w:right="40" w:firstLine="377"/>
        <w:spacing w:after="0" w:line="244" w:lineRule="auto"/>
        <w:rPr>
          <w:sz w:val="20"/>
          <w:szCs w:val="20"/>
          <w:color w:val="auto"/>
        </w:rPr>
      </w:pPr>
      <w:r>
        <w:rPr>
          <w:rFonts w:ascii="Times New Roman" w:cs="Times New Roman" w:eastAsia="Times New Roman" w:hAnsi="Times New Roman"/>
          <w:sz w:val="22"/>
          <w:szCs w:val="22"/>
          <w:color w:val="auto"/>
        </w:rPr>
        <w:t>such batch of Products and requests BITMAIN to perform its delivery obligations, BITMAIN shall make a compensation to the Purchaser on daily basis, the amount of which shall equal to 0.0333% of the respective price of such undelivered batch of Products, which already paid by the Purchaser,</w:t>
      </w:r>
    </w:p>
    <w:p>
      <w:pPr>
        <w:spacing w:after="0" w:line="200" w:lineRule="exact"/>
        <w:rPr>
          <w:sz w:val="20"/>
          <w:szCs w:val="20"/>
          <w:color w:val="auto"/>
        </w:rPr>
      </w:pPr>
    </w:p>
    <w:p>
      <w:pPr>
        <w:spacing w:after="0" w:line="24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45" w:name="page246"/>
    <w:bookmarkEnd w:id="245"/>
    <w:p>
      <w:pPr>
        <w:ind w:right="240" w:firstLine="8"/>
        <w:spacing w:after="0" w:line="286" w:lineRule="auto"/>
        <w:tabs>
          <w:tab w:leader="none" w:pos="315"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90"/>
        <w:spacing w:after="0" w:line="296" w:lineRule="auto"/>
        <w:rPr>
          <w:sz w:val="20"/>
          <w:szCs w:val="20"/>
          <w:color w:val="auto"/>
        </w:rPr>
      </w:pPr>
      <w:r>
        <w:rPr>
          <w:rFonts w:ascii="Times New Roman" w:cs="Times New Roman" w:eastAsia="Times New Roman" w:hAnsi="Times New Roman"/>
          <w:sz w:val="22"/>
          <w:szCs w:val="22"/>
          <w:color w:val="auto"/>
        </w:rPr>
        <w:t>which compensation shall be made in the form of delivery of more Products increasing the total hashrate. Compensation amount less than the equivalence to the Rated Hashrate per Unit of Product shall be credited to the balance of the Purchaser.</w:t>
      </w:r>
    </w:p>
    <w:p>
      <w:pPr>
        <w:spacing w:after="0" w:line="145" w:lineRule="exact"/>
        <w:rPr>
          <w:sz w:val="20"/>
          <w:szCs w:val="20"/>
          <w:color w:val="auto"/>
        </w:rPr>
      </w:pPr>
    </w:p>
    <w:p>
      <w:pPr>
        <w:jc w:val="both"/>
        <w:ind w:left="120" w:right="300"/>
        <w:spacing w:after="0" w:line="237" w:lineRule="auto"/>
        <w:rPr>
          <w:sz w:val="20"/>
          <w:szCs w:val="20"/>
          <w:color w:val="auto"/>
        </w:rPr>
      </w:pPr>
      <w:r>
        <w:rPr>
          <w:rFonts w:ascii="Times New Roman" w:cs="Times New Roman" w:eastAsia="Times New Roman" w:hAnsi="Times New Roman"/>
          <w:sz w:val="22"/>
          <w:szCs w:val="22"/>
          <w:color w:val="auto"/>
        </w:rPr>
        <w:t>4.6 There is (1) batch of Products under this Agreement, excluding any batches that may become due as a result of the exercise of the Call Option by the Purchaser pursuant to Appendix C, and each batch shall constitute independent legal obligations of and shall be performed separately by the Parties. The delay of a particular batch shall not constitute waiver of the payment obligations of the Purchaser in respect of other batches. The Purchaser shall not terminate this Agreement solely on the ground of delay of delivery for a single batch of Products.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4.7 The Purchaser shall choose the following shipping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spacing w:after="0" w:line="253" w:lineRule="exact"/>
        <w:tabs>
          <w:tab w:leader="none" w:pos="6460" w:val="left"/>
        </w:tabs>
        <w:rPr>
          <w:sz w:val="20"/>
          <w:szCs w:val="20"/>
          <w:color w:val="auto"/>
        </w:rPr>
      </w:pPr>
      <w:r>
        <w:rPr>
          <w:rFonts w:ascii="Times New Roman" w:cs="Times New Roman" w:eastAsia="Times New Roman" w:hAnsi="Times New Roman"/>
          <w:sz w:val="22"/>
          <w:szCs w:val="22"/>
          <w:color w:val="auto"/>
        </w:rPr>
        <w:t>Shipping by BITMAIN via FedEx/DHL/UPS/other logistics company</w:t>
      </w:r>
      <w:r>
        <w:rPr>
          <w:sz w:val="20"/>
          <w:szCs w:val="20"/>
          <w:color w:val="auto"/>
        </w:rPr>
        <w:tab/>
      </w:r>
      <w:r>
        <w:rPr>
          <w:rFonts w:ascii="MS PGothic" w:cs="MS PGothic" w:eastAsia="MS PGothic" w:hAnsi="MS PGothic"/>
          <w:sz w:val="12"/>
          <w:szCs w:val="12"/>
          <w:color w:val="auto"/>
        </w:rPr>
        <w:t>✔</w:t>
      </w:r>
      <w:r>
        <w:rPr>
          <w:rFonts w:ascii="Times New Roman" w:cs="Times New Roman" w:eastAsia="Times New Roman" w:hAnsi="Times New Roman"/>
          <w:sz w:val="20"/>
          <w:szCs w:val="20"/>
          <w:color w:val="auto"/>
        </w:rPr>
        <w:t>Self-pick</w:t>
      </w:r>
    </w:p>
    <w:p>
      <w:pPr>
        <w:spacing w:after="0" w:line="381" w:lineRule="exact"/>
        <w:rPr>
          <w:sz w:val="20"/>
          <w:szCs w:val="20"/>
          <w:color w:val="auto"/>
        </w:rPr>
      </w:pPr>
    </w:p>
    <w:p>
      <w:pPr>
        <w:jc w:val="both"/>
        <w:ind w:left="140" w:right="300"/>
        <w:spacing w:after="0" w:line="239" w:lineRule="auto"/>
        <w:rPr>
          <w:sz w:val="20"/>
          <w:szCs w:val="20"/>
          <w:color w:val="auto"/>
        </w:rPr>
      </w:pPr>
      <w:r>
        <w:rPr>
          <w:rFonts w:ascii="Times New Roman" w:cs="Times New Roman" w:eastAsia="Times New Roman" w:hAnsi="Times New Roman"/>
          <w:sz w:val="22"/>
          <w:szCs w:val="22"/>
          <w:color w:val="auto"/>
        </w:rPr>
        <w:t>Logistics costs shall be borne by the Purchaser. BITMAIN shall be entitled to collect payments on behalf of the logistics service providers and issue logistics service invoices if the Purchaser requests BITMAIN to send the Products. If the Purchaser requests BITMAIN to send the Products on behalf of the Purchaser, BITMAIN will send a shipping confirmation to the Purchaser after it has delivered the Products to the carrier.</w:t>
      </w:r>
    </w:p>
    <w:p>
      <w:pPr>
        <w:spacing w:after="0" w:line="206" w:lineRule="exact"/>
        <w:rPr>
          <w:sz w:val="20"/>
          <w:szCs w:val="20"/>
          <w:color w:val="auto"/>
        </w:rPr>
      </w:pPr>
    </w:p>
    <w:p>
      <w:pPr>
        <w:jc w:val="both"/>
        <w:ind w:left="120" w:right="300"/>
        <w:spacing w:after="0" w:line="239" w:lineRule="auto"/>
        <w:rPr>
          <w:sz w:val="20"/>
          <w:szCs w:val="20"/>
          <w:color w:val="auto"/>
        </w:rPr>
      </w:pPr>
      <w:r>
        <w:rPr>
          <w:rFonts w:ascii="Times New Roman" w:cs="Times New Roman" w:eastAsia="Times New Roman" w:hAnsi="Times New Roman"/>
          <w:sz w:val="22"/>
          <w:szCs w:val="22"/>
          <w:color w:val="auto"/>
        </w:rPr>
        <w:t>4.8 Notwithstanding anything to the contrary contained in Clauses 4.4 and 4.5, under no circumstances, BITMAIN shall be responsible for any delivery delay caused by the Purchaser or any third party, including but not limited to the carrier, the customs, and the import brokers, nor shall it be liable for damages, whether direct, indirect, incidental, consequential, or otherwise, for any failure, delay or error in delivery of any Products for any reason whatsoever.</w:t>
      </w:r>
    </w:p>
    <w:p>
      <w:pPr>
        <w:spacing w:after="0" w:line="219" w:lineRule="exact"/>
        <w:rPr>
          <w:sz w:val="20"/>
          <w:szCs w:val="20"/>
          <w:color w:val="auto"/>
        </w:rPr>
      </w:pPr>
    </w:p>
    <w:p>
      <w:pPr>
        <w:jc w:val="both"/>
        <w:ind w:left="120" w:right="300"/>
        <w:spacing w:after="0" w:line="239" w:lineRule="auto"/>
        <w:rPr>
          <w:sz w:val="20"/>
          <w:szCs w:val="20"/>
          <w:color w:val="auto"/>
        </w:rPr>
      </w:pPr>
      <w:r>
        <w:rPr>
          <w:rFonts w:ascii="Times New Roman" w:cs="Times New Roman" w:eastAsia="Times New Roman" w:hAnsi="Times New Roman"/>
          <w:sz w:val="22"/>
          <w:szCs w:val="22"/>
          <w:color w:val="auto"/>
        </w:rPr>
        <w:t>4.9 BITMAIN shall not be responsible for, and the Purchaser shall be fully and exclusively responsible for any loss of Product(s), personal injury, property damage, other damage or liability caused by the Product(s) or the transportation of the Product(s) either to the Purchaser or any third party, or theft of the Product(s) during transportation from BITMAIN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20" w:right="320"/>
        <w:spacing w:after="0" w:line="258" w:lineRule="auto"/>
        <w:rPr>
          <w:sz w:val="20"/>
          <w:szCs w:val="20"/>
          <w:color w:val="auto"/>
        </w:rPr>
      </w:pPr>
      <w:r>
        <w:rPr>
          <w:rFonts w:ascii="Times New Roman" w:cs="Times New Roman" w:eastAsia="Times New Roman" w:hAnsi="Times New Roman"/>
          <w:sz w:val="22"/>
          <w:szCs w:val="22"/>
          <w:color w:val="auto"/>
        </w:rPr>
        <w:t>4.10BITMAIN has the right to discontinue the sales of the Products and to make changes to its Products at any time, without prior approval from or notice to the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7" w:right="399" w:bottom="1440" w:gutter="0" w:footer="0" w:header="0"/>
        </w:sectPr>
      </w:pPr>
    </w:p>
    <w:bookmarkStart w:id="246" w:name="page247"/>
    <w:bookmarkEnd w:id="246"/>
    <w:p>
      <w:pPr>
        <w:ind w:left="-8" w:firstLine="8"/>
        <w:spacing w:after="0" w:line="286" w:lineRule="auto"/>
        <w:tabs>
          <w:tab w:leader="none" w:pos="307"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2" w:right="40"/>
        <w:spacing w:after="0" w:line="237" w:lineRule="auto"/>
        <w:rPr>
          <w:sz w:val="20"/>
          <w:szCs w:val="20"/>
          <w:color w:val="auto"/>
        </w:rPr>
      </w:pPr>
      <w:r>
        <w:rPr>
          <w:rFonts w:ascii="Times New Roman" w:cs="Times New Roman" w:eastAsia="Times New Roman" w:hAnsi="Times New Roman"/>
          <w:sz w:val="22"/>
          <w:szCs w:val="22"/>
          <w:color w:val="auto"/>
        </w:rPr>
        <w:t>4.11If the Product(s) is rejected and/or returned to BITMAIN due to any reason and regardless of the cause of such delivery failure, the Purchaser shall be solely and exclusively liable for and shall defend, fully indemnify and hold harmless BITMAIN against any and all related expenses, fees, charges and costs incurred, arising out of or incidental to such rejection and/or return (the “</w:t>
      </w:r>
      <w:r>
        <w:rPr>
          <w:rFonts w:ascii="Times New Roman" w:cs="Times New Roman" w:eastAsia="Times New Roman" w:hAnsi="Times New Roman"/>
          <w:sz w:val="22"/>
          <w:szCs w:val="22"/>
          <w:b w:val="1"/>
          <w:bCs w:val="1"/>
          <w:color w:val="auto"/>
        </w:rPr>
        <w:t>Return Expense</w:t>
      </w:r>
      <w:r>
        <w:rPr>
          <w:rFonts w:ascii="Times New Roman" w:cs="Times New Roman" w:eastAsia="Times New Roman" w:hAnsi="Times New Roman"/>
          <w:sz w:val="22"/>
          <w:szCs w:val="22"/>
          <w:color w:val="auto"/>
        </w:rPr>
        <w:t>”). Furthermore, if the Purchaser would like to ask for BITMAIN’s assistance in redelivering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47" w:name="page248"/>
    <w:bookmarkEnd w:id="247"/>
    <w:p>
      <w:pPr>
        <w:ind w:right="260" w:firstLine="8"/>
        <w:spacing w:after="0" w:line="286" w:lineRule="auto"/>
        <w:tabs>
          <w:tab w:leader="none" w:pos="315"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such Product(s) or in any other manner, and if BITMAIN at its sole discretion decides to provide this assistance, then in addition</w:t>
      </w:r>
    </w:p>
    <w:p>
      <w:pPr>
        <w:spacing w:after="0" w:line="53"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to the Return Expense, the Purchaser shall also pay BITMAIN an administrative fee in accordance with BITMAIN’s then applicable internal policy.</w:t>
      </w:r>
    </w:p>
    <w:p>
      <w:pPr>
        <w:spacing w:after="0" w:line="184" w:lineRule="exact"/>
        <w:rPr>
          <w:sz w:val="20"/>
          <w:szCs w:val="20"/>
          <w:color w:val="auto"/>
        </w:rPr>
      </w:pPr>
    </w:p>
    <w:p>
      <w:pPr>
        <w:jc w:val="both"/>
        <w:ind w:left="120" w:right="320"/>
        <w:spacing w:after="0" w:line="244" w:lineRule="auto"/>
        <w:rPr>
          <w:sz w:val="20"/>
          <w:szCs w:val="20"/>
          <w:color w:val="auto"/>
        </w:rPr>
      </w:pPr>
      <w:r>
        <w:rPr>
          <w:rFonts w:ascii="Times New Roman" w:cs="Times New Roman" w:eastAsia="Times New Roman" w:hAnsi="Times New Roman"/>
          <w:sz w:val="22"/>
          <w:szCs w:val="22"/>
          <w:color w:val="auto"/>
        </w:rPr>
        <w:t>4.12If the Purchaser fails to provide BITMAIN with the Confirmation or the shipping address provided by the Purchaser is a false address or does not exist, or the Purchaser rejects to accept the Products when delivered, any related costs occurred (including storage costs, warehousing charge and labor costs) shall be borne by the Purchaser.</w:t>
      </w:r>
    </w:p>
    <w:p>
      <w:pPr>
        <w:spacing w:after="0" w:line="209" w:lineRule="exact"/>
        <w:rPr>
          <w:sz w:val="20"/>
          <w:szCs w:val="20"/>
          <w:color w:val="auto"/>
        </w:rPr>
      </w:pPr>
    </w:p>
    <w:p>
      <w:pPr>
        <w:jc w:val="both"/>
        <w:ind w:left="120" w:right="300"/>
        <w:spacing w:after="0" w:line="238" w:lineRule="auto"/>
        <w:rPr>
          <w:sz w:val="20"/>
          <w:szCs w:val="20"/>
          <w:color w:val="auto"/>
        </w:rPr>
      </w:pPr>
      <w:r>
        <w:rPr>
          <w:rFonts w:ascii="Times New Roman" w:cs="Times New Roman" w:eastAsia="Times New Roman" w:hAnsi="Times New Roman"/>
          <w:sz w:val="22"/>
          <w:szCs w:val="22"/>
          <w:color w:val="auto"/>
        </w:rPr>
        <w:t>4.13The Purchaser or its designated representative shall inspect the Products within two (2) business days (the “</w:t>
      </w:r>
      <w:r>
        <w:rPr>
          <w:rFonts w:ascii="Times New Roman" w:cs="Times New Roman" w:eastAsia="Times New Roman" w:hAnsi="Times New Roman"/>
          <w:sz w:val="22"/>
          <w:szCs w:val="22"/>
          <w:b w:val="1"/>
          <w:bCs w:val="1"/>
          <w:color w:val="auto"/>
        </w:rPr>
        <w:t>Acceptance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Time</w:t>
      </w:r>
      <w:r>
        <w:rPr>
          <w:rFonts w:ascii="Times New Roman" w:cs="Times New Roman" w:eastAsia="Times New Roman" w:hAnsi="Times New Roman"/>
          <w:sz w:val="22"/>
          <w:szCs w:val="22"/>
          <w:color w:val="auto"/>
        </w:rPr>
        <w:t>”) after receiving the Products (the date of signature on the carrier’s delivery voucher shall be the date of receipt,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when the Purchaser self-picks up the Products, whichever is applicable). If the Purchaser does not raise any written objection within the Acceptance Time, the Products delivered by BITMAIN shall be deemed to be in full compliance with the provisions of this Agreement. The Products delivered are neither returnable nor 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5. Customs</w:t>
      </w:r>
    </w:p>
    <w:p>
      <w:pPr>
        <w:spacing w:after="0" w:line="344" w:lineRule="exact"/>
        <w:rPr>
          <w:sz w:val="20"/>
          <w:szCs w:val="20"/>
          <w:color w:val="auto"/>
        </w:rPr>
      </w:pPr>
    </w:p>
    <w:p>
      <w:pPr>
        <w:jc w:val="both"/>
        <w:ind w:left="120" w:right="320"/>
        <w:spacing w:after="0" w:line="244" w:lineRule="auto"/>
        <w:rPr>
          <w:sz w:val="20"/>
          <w:szCs w:val="20"/>
          <w:color w:val="auto"/>
        </w:rPr>
      </w:pPr>
      <w:r>
        <w:rPr>
          <w:rFonts w:ascii="Times New Roman" w:cs="Times New Roman" w:eastAsia="Times New Roman" w:hAnsi="Times New Roman"/>
          <w:sz w:val="22"/>
          <w:szCs w:val="22"/>
          <w:color w:val="auto"/>
        </w:rPr>
        <w:t>5.1 BITMAIN shall obtain in due time and maintain throughout the term of this Agreement (if applicable), any and all approvals, permits, authorizations, licenses and clearances for the export of the Product(s) that are required to be obtained by BITMAIN or the carrier under Applicable Laws.</w:t>
      </w:r>
    </w:p>
    <w:p>
      <w:pPr>
        <w:spacing w:after="0" w:line="213" w:lineRule="exact"/>
        <w:rPr>
          <w:sz w:val="20"/>
          <w:szCs w:val="20"/>
          <w:color w:val="auto"/>
        </w:rPr>
      </w:pPr>
    </w:p>
    <w:p>
      <w:pPr>
        <w:jc w:val="both"/>
        <w:ind w:left="120" w:right="320"/>
        <w:spacing w:after="0" w:line="271" w:lineRule="auto"/>
        <w:rPr>
          <w:sz w:val="20"/>
          <w:szCs w:val="20"/>
          <w:color w:val="auto"/>
        </w:rPr>
      </w:pPr>
      <w:r>
        <w:rPr>
          <w:rFonts w:ascii="Times New Roman" w:cs="Times New Roman" w:eastAsia="Times New Roman" w:hAnsi="Times New Roman"/>
          <w:sz w:val="20"/>
          <w:szCs w:val="20"/>
          <w:color w:val="auto"/>
        </w:rPr>
        <w:t>5.2 The Purchaser shall obtain in due time and maintain throughout the term of this Agreement (if applicable), any and all approvals, permits, authorizations, licenses and clearances required for the import of the Products to the country of delivery as indicated in the shipping information, that are required to be obtained by the Purchaser or the carrier under Applicable Laws, and shall be responsible for any and all additional fees, expenses and charges in relation to the import of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right="320"/>
        <w:spacing w:after="0" w:line="258" w:lineRule="auto"/>
        <w:rPr>
          <w:sz w:val="20"/>
          <w:szCs w:val="20"/>
          <w:color w:val="auto"/>
        </w:rPr>
      </w:pPr>
      <w:r>
        <w:rPr>
          <w:rFonts w:ascii="Times New Roman" w:cs="Times New Roman" w:eastAsia="Times New Roman" w:hAnsi="Times New Roman"/>
          <w:sz w:val="22"/>
          <w:szCs w:val="22"/>
          <w:color w:val="auto"/>
        </w:rPr>
        <w:t>5.3 BITMAIN shall not be liable for any loss caused by confiscation, seizure, search or other actions taken by government agencies such as customs.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6. Warranty</w:t>
      </w: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6.1 The Warranty Period shall start on the Warranty Start Date and end on the 365th day after the</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7" w:right="379" w:bottom="1440" w:gutter="0" w:footer="0" w:header="0"/>
        </w:sectPr>
      </w:pPr>
    </w:p>
    <w:bookmarkStart w:id="248" w:name="page249"/>
    <w:bookmarkEnd w:id="248"/>
    <w:p>
      <w:pPr>
        <w:ind w:firstLine="8"/>
        <w:spacing w:after="0" w:line="286" w:lineRule="auto"/>
        <w:tabs>
          <w:tab w:leader="none" w:pos="315"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60" w:firstLine="377"/>
        <w:spacing w:after="0" w:line="258" w:lineRule="auto"/>
        <w:rPr>
          <w:sz w:val="20"/>
          <w:szCs w:val="20"/>
          <w:color w:val="auto"/>
        </w:rPr>
      </w:pPr>
      <w:r>
        <w:rPr>
          <w:rFonts w:ascii="Times New Roman" w:cs="Times New Roman" w:eastAsia="Times New Roman" w:hAnsi="Times New Roman"/>
          <w:sz w:val="22"/>
          <w:szCs w:val="22"/>
          <w:color w:val="auto"/>
        </w:rPr>
        <w:t>Warranty Start Date. During the Warranty Period, the Purchaser’s sole and exclusive remedy, and BITMAIN’s entire liability, will be to repair or replace, at BITMAIN’s option, the defective part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firstLine="90"/>
        <w:spacing w:after="0" w:line="296" w:lineRule="auto"/>
        <w:rPr>
          <w:sz w:val="20"/>
          <w:szCs w:val="20"/>
          <w:color w:val="auto"/>
        </w:rPr>
      </w:pPr>
      <w:r>
        <w:rPr>
          <w:rFonts w:ascii="Times New Roman" w:cs="Times New Roman" w:eastAsia="Times New Roman" w:hAnsi="Times New Roman"/>
          <w:sz w:val="22"/>
          <w:szCs w:val="22"/>
          <w:color w:val="auto"/>
        </w:rPr>
        <w:t>/component of the Product(s) or the defective Product(s) at no charge to the Purchaser. If the Purchaser requires BITMAIN to provide any Warranty services, the Purchaser shall complete the</w:t>
      </w: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97" w:right="639" w:bottom="1440" w:gutter="0" w:footer="0" w:header="0"/>
        </w:sectPr>
      </w:pPr>
    </w:p>
    <w:bookmarkStart w:id="249" w:name="page250"/>
    <w:bookmarkEnd w:id="249"/>
    <w:p>
      <w:pPr>
        <w:ind w:right="120" w:firstLine="8"/>
        <w:spacing w:after="0" w:line="286" w:lineRule="auto"/>
        <w:tabs>
          <w:tab w:leader="none" w:pos="315"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appropriate actions on the BITMAIN Website in accordance with the requirements of BITMAIN and send the Product(s) to the</w:t>
      </w:r>
    </w:p>
    <w:p>
      <w:pPr>
        <w:spacing w:after="0" w:line="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place designated by BITMAIN within the time limit required by BITMAIN. Otherwise, BITMAIN shall be entitled to refuse to provide the Warranty services.</w:t>
      </w:r>
    </w:p>
    <w:p>
      <w:pPr>
        <w:spacing w:after="0" w:line="18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22"/>
          <w:szCs w:val="22"/>
          <w:color w:val="auto"/>
        </w:rPr>
        <w:t>6.2 The Parties acknowledge and agree that the warranty provided by BITMAIN as stated in the preceding paragraph does not apply to the following:</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normal wear and tear;</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(b)damage resulting from accident, abuse, misuse, neglect, improper handling or improper installation;</w:t>
      </w:r>
    </w:p>
    <w:p>
      <w:pPr>
        <w:spacing w:after="0" w:line="14" w:lineRule="exact"/>
        <w:rPr>
          <w:sz w:val="20"/>
          <w:szCs w:val="20"/>
          <w:color w:val="auto"/>
        </w:rPr>
      </w:pPr>
    </w:p>
    <w:p>
      <w:pPr>
        <w:jc w:val="both"/>
        <w:ind w:left="760" w:right="180"/>
        <w:spacing w:after="0" w:line="230" w:lineRule="auto"/>
        <w:rPr>
          <w:sz w:val="20"/>
          <w:szCs w:val="20"/>
          <w:color w:val="auto"/>
        </w:rPr>
      </w:pPr>
      <w:r>
        <w:rPr>
          <w:rFonts w:ascii="Times New Roman" w:cs="Times New Roman" w:eastAsia="Times New Roman" w:hAnsi="Times New Roman"/>
          <w:sz w:val="22"/>
          <w:szCs w:val="22"/>
          <w:color w:val="auto"/>
        </w:rPr>
        <w:t>(c)damage or loss of the Product(s) caused by undue physical or electrical stress, including but not limited to moisture, corrosive environments, high voltage surges, extreme temperatures, shipping, or abnormal working conditions;</w:t>
      </w:r>
    </w:p>
    <w:p>
      <w:pPr>
        <w:spacing w:after="0" w:line="1" w:lineRule="exact"/>
        <w:rPr>
          <w:sz w:val="20"/>
          <w:szCs w:val="20"/>
          <w:color w:val="auto"/>
        </w:rPr>
      </w:pPr>
    </w:p>
    <w:p>
      <w:pPr>
        <w:jc w:val="both"/>
        <w:ind w:left="760" w:right="200"/>
        <w:spacing w:after="0" w:line="230" w:lineRule="auto"/>
        <w:rPr>
          <w:sz w:val="20"/>
          <w:szCs w:val="20"/>
          <w:color w:val="auto"/>
        </w:rPr>
      </w:pPr>
      <w:r>
        <w:rPr>
          <w:rFonts w:ascii="Times New Roman" w:cs="Times New Roman" w:eastAsia="Times New Roman" w:hAnsi="Times New Roman"/>
          <w:sz w:val="22"/>
          <w:szCs w:val="22"/>
          <w:color w:val="auto"/>
        </w:rPr>
        <w:t>(d)damage or loss of the Product(s) caused by acts of nature including, but not limited to, floods, storms, fires, and earthquakes;</w:t>
      </w:r>
    </w:p>
    <w:p>
      <w:pPr>
        <w:spacing w:after="0" w:line="1" w:lineRule="exact"/>
        <w:rPr>
          <w:sz w:val="20"/>
          <w:szCs w:val="20"/>
          <w:color w:val="auto"/>
        </w:rPr>
      </w:pPr>
    </w:p>
    <w:p>
      <w:pPr>
        <w:jc w:val="both"/>
        <w:ind w:left="760" w:right="180"/>
        <w:spacing w:after="0" w:line="230" w:lineRule="auto"/>
        <w:rPr>
          <w:sz w:val="20"/>
          <w:szCs w:val="20"/>
          <w:color w:val="auto"/>
        </w:rPr>
      </w:pPr>
      <w:r>
        <w:rPr>
          <w:rFonts w:ascii="Times New Roman" w:cs="Times New Roman" w:eastAsia="Times New Roman" w:hAnsi="Times New Roman"/>
          <w:sz w:val="22"/>
          <w:szCs w:val="22"/>
          <w:color w:val="auto"/>
        </w:rPr>
        <w:t>(e)damage caused by operator error, or non-compliance with instructions as set out in accompanying documentation provided by BITMAIN;</w:t>
      </w:r>
    </w:p>
    <w:p>
      <w:pPr>
        <w:spacing w:after="0" w:line="1" w:lineRule="exact"/>
        <w:rPr>
          <w:sz w:val="20"/>
          <w:szCs w:val="20"/>
          <w:color w:val="auto"/>
        </w:rPr>
      </w:pPr>
    </w:p>
    <w:p>
      <w:pPr>
        <w:ind w:left="760" w:right="180" w:hanging="3"/>
        <w:spacing w:after="0" w:line="230" w:lineRule="auto"/>
        <w:tabs>
          <w:tab w:leader="none" w:pos="102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alterations by persons other than BITMAIN, or its associated partners or authorized service facilities; (g)Product(s), on which the original software has been replaced or modified by persons other than BITMAIN, or its associated partners or authorized service facilities;</w:t>
      </w:r>
    </w:p>
    <w:p>
      <w:pPr>
        <w:ind w:left="1120" w:hanging="363"/>
        <w:spacing w:after="0"/>
        <w:tabs>
          <w:tab w:leader="none" w:pos="112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counterfeit products;</w:t>
      </w:r>
    </w:p>
    <w:p>
      <w:pPr>
        <w:spacing w:after="0" w:line="74" w:lineRule="exact"/>
        <w:rPr>
          <w:sz w:val="20"/>
          <w:szCs w:val="20"/>
          <w:color w:val="auto"/>
        </w:rPr>
      </w:pPr>
    </w:p>
    <w:p>
      <w:pPr>
        <w:ind w:left="760" w:right="200" w:hanging="3"/>
        <w:spacing w:after="0" w:line="241" w:lineRule="auto"/>
        <w:tabs>
          <w:tab w:leader="none" w:pos="10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or loss of data due to interoperability with current and/or future versions of operating system, software and/or hardware;</w:t>
      </w:r>
    </w:p>
    <w:p>
      <w:pPr>
        <w:spacing w:after="0" w:line="1" w:lineRule="exact"/>
        <w:rPr>
          <w:rFonts w:ascii="Times New Roman" w:cs="Times New Roman" w:eastAsia="Times New Roman" w:hAnsi="Times New Roman"/>
          <w:sz w:val="22"/>
          <w:szCs w:val="22"/>
          <w:color w:val="auto"/>
        </w:rPr>
      </w:pPr>
    </w:p>
    <w:p>
      <w:pPr>
        <w:ind w:left="760" w:right="200" w:hanging="3"/>
        <w:spacing w:after="0" w:line="230" w:lineRule="auto"/>
        <w:tabs>
          <w:tab w:leader="none" w:pos="10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or loss of data caused by improper usage and behavior which is not recommended and/or permitted in the product documentation provided by BITMAIN;</w:t>
      </w:r>
    </w:p>
    <w:p>
      <w:pPr>
        <w:ind w:left="1120" w:hanging="363"/>
        <w:spacing w:after="0"/>
        <w:tabs>
          <w:tab w:leader="none" w:pos="11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the Product(s) caused by usage of products not supplied by BITMAIN; and</w:t>
      </w:r>
    </w:p>
    <w:p>
      <w:pPr>
        <w:spacing w:after="0" w:line="73"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hash boards or chips are burnt.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97" w:right="519" w:bottom="1440" w:gutter="0" w:footer="0" w:header="0"/>
        </w:sectPr>
      </w:pPr>
    </w:p>
    <w:bookmarkStart w:id="250" w:name="page251"/>
    <w:bookmarkEnd w:id="250"/>
    <w:p>
      <w:pPr>
        <w:ind w:left="-8" w:firstLine="8"/>
        <w:spacing w:after="0" w:line="286" w:lineRule="auto"/>
        <w:tabs>
          <w:tab w:leader="none" w:pos="307"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132" w:right="60"/>
        <w:spacing w:after="0" w:line="258" w:lineRule="auto"/>
        <w:rPr>
          <w:sz w:val="20"/>
          <w:szCs w:val="20"/>
          <w:color w:val="auto"/>
        </w:rPr>
      </w:pPr>
      <w:r>
        <w:rPr>
          <w:rFonts w:ascii="Times New Roman" w:cs="Times New Roman" w:eastAsia="Times New Roman" w:hAnsi="Times New Roman"/>
          <w:sz w:val="22"/>
          <w:szCs w:val="22"/>
          <w:color w:val="auto"/>
        </w:rPr>
        <w:t>In case the warranty is voided, BITMAIN may, at its sole discretion, provide repair service to the Purchaser, and the Purchaser shall bear all related expenses and costs.</w:t>
      </w:r>
    </w:p>
    <w:p>
      <w:pPr>
        <w:spacing w:after="0" w:line="184" w:lineRule="exact"/>
        <w:rPr>
          <w:sz w:val="20"/>
          <w:szCs w:val="20"/>
          <w:color w:val="auto"/>
        </w:rPr>
      </w:pPr>
    </w:p>
    <w:p>
      <w:pPr>
        <w:jc w:val="both"/>
        <w:ind w:left="112" w:right="60"/>
        <w:spacing w:after="0" w:line="236" w:lineRule="auto"/>
        <w:rPr>
          <w:sz w:val="20"/>
          <w:szCs w:val="20"/>
          <w:color w:val="auto"/>
        </w:rPr>
      </w:pPr>
      <w:r>
        <w:rPr>
          <w:rFonts w:ascii="Times New Roman" w:cs="Times New Roman" w:eastAsia="Times New Roman" w:hAnsi="Times New Roman"/>
          <w:sz w:val="22"/>
          <w:szCs w:val="22"/>
          <w:color w:val="auto"/>
        </w:rPr>
        <w:t>6.3 Notwithstanding anything to the contrary herein, the Purchaser acknowledges and agrees that the Products provided by BITMAIN do not guarantee any cryptocurrency mining time and, BITMAIN shall not be liable for any cryptocurrency mining time loss or cryptocurrency mining revenue loss that are caused by downtime of any part/component of the Products. BITMAIN does not warrant that the Products will meet the Purchaser’s requirements or the Products will be uninterrupted or error free. Except as provided in Clause 6.1, BITMAIN makes no warranties to the Purchaser with respect to the Products, and no warranties of any kind, whether written, oral, express, implied or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51" w:name="page252"/>
    <w:bookmarkEnd w:id="251"/>
    <w:p>
      <w:pPr>
        <w:ind w:right="220" w:firstLine="8"/>
        <w:spacing w:after="0" w:line="286" w:lineRule="auto"/>
        <w:tabs>
          <w:tab w:leader="none" w:pos="315"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90"/>
        <w:spacing w:after="0" w:line="296" w:lineRule="auto"/>
        <w:rPr>
          <w:sz w:val="20"/>
          <w:szCs w:val="20"/>
          <w:color w:val="auto"/>
        </w:rPr>
      </w:pPr>
      <w:r>
        <w:rPr>
          <w:rFonts w:ascii="Times New Roman" w:cs="Times New Roman" w:eastAsia="Times New Roman" w:hAnsi="Times New Roman"/>
          <w:sz w:val="22"/>
          <w:szCs w:val="22"/>
          <w:color w:val="auto"/>
        </w:rPr>
        <w:t>including warranties of merchantability, fitness for a particular purpose or non-infringement or arising from course of dealing or usage in trade shall apply.</w:t>
      </w:r>
    </w:p>
    <w:p>
      <w:pPr>
        <w:spacing w:after="0" w:line="145" w:lineRule="exact"/>
        <w:rPr>
          <w:sz w:val="20"/>
          <w:szCs w:val="20"/>
          <w:color w:val="auto"/>
        </w:rPr>
      </w:pPr>
    </w:p>
    <w:p>
      <w:pPr>
        <w:jc w:val="both"/>
        <w:ind w:left="120" w:right="280"/>
        <w:spacing w:after="0" w:line="239" w:lineRule="auto"/>
        <w:rPr>
          <w:sz w:val="20"/>
          <w:szCs w:val="20"/>
          <w:color w:val="auto"/>
        </w:rPr>
      </w:pPr>
      <w:r>
        <w:rPr>
          <w:rFonts w:ascii="Times New Roman" w:cs="Times New Roman" w:eastAsia="Times New Roman" w:hAnsi="Times New Roman"/>
          <w:sz w:val="22"/>
          <w:szCs w:val="22"/>
          <w:color w:val="auto"/>
        </w:rPr>
        <w:t>6.4 In the event of any ambiguity or discrepancy between this Clause 6 and BITMAIN’s After-sales Service Policy from time to time, it is intended that the After-sales Service Policy shall prevail and the Parties shall comply with and give effect to the After-sales Service Policy. Please refer to BITMAIN Website for detailed terms of warranty and after-sales maintenance. BITMAIN has no obligation to notify the Purchaser of the update or modification of such terms.</w:t>
      </w:r>
    </w:p>
    <w:p>
      <w:pPr>
        <w:spacing w:after="0" w:line="206" w:lineRule="exact"/>
        <w:rPr>
          <w:sz w:val="20"/>
          <w:szCs w:val="20"/>
          <w:color w:val="auto"/>
        </w:rPr>
      </w:pPr>
    </w:p>
    <w:p>
      <w:pPr>
        <w:jc w:val="both"/>
        <w:ind w:left="120" w:right="260"/>
        <w:spacing w:after="0" w:line="235" w:lineRule="auto"/>
        <w:rPr>
          <w:sz w:val="20"/>
          <w:szCs w:val="20"/>
          <w:color w:val="auto"/>
        </w:rPr>
      </w:pPr>
      <w:r>
        <w:rPr>
          <w:rFonts w:ascii="Times New Roman" w:cs="Times New Roman" w:eastAsia="Times New Roman" w:hAnsi="Times New Roman"/>
          <w:sz w:val="22"/>
          <w:szCs w:val="22"/>
          <w:color w:val="auto"/>
        </w:rPr>
        <w:t>6.5 During the warranty period, if the hardware of the product(s) needs to be repaired or replaced, the Purchaser shall bear the logistics costs of shipping the Product(s) to the address designated by BITMAIN, and BITMAIN shall bear the logistics costs of shipping back the repaired or replaced Product(s) to the address designated by the Purchaser. The Purchaser shall bear all and any additional costs incurred due to incorrect or incomplete delivery information provided by the Purchaser and all and any risks of loss or damage to the Product(s), or the parts or components of the Products(s) during the transportation period (including the transportation period when the product is sent to BITMAIN and returned by BITMAIN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7. Representations and Warranties</w:t>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7.1 The Purchaser makes the following representations and warranties to BITMAIN:</w:t>
      </w:r>
    </w:p>
    <w:p>
      <w:pPr>
        <w:spacing w:after="0" w:line="340" w:lineRule="exact"/>
        <w:rPr>
          <w:sz w:val="20"/>
          <w:szCs w:val="20"/>
          <w:color w:val="auto"/>
        </w:rPr>
      </w:pPr>
    </w:p>
    <w:p>
      <w:pPr>
        <w:jc w:val="both"/>
        <w:ind w:left="760" w:right="280"/>
        <w:spacing w:after="0" w:line="237" w:lineRule="auto"/>
        <w:rPr>
          <w:sz w:val="20"/>
          <w:szCs w:val="20"/>
          <w:color w:val="auto"/>
        </w:rPr>
      </w:pPr>
      <w:r>
        <w:rPr>
          <w:rFonts w:ascii="Times New Roman" w:cs="Times New Roman" w:eastAsia="Times New Roman" w:hAnsi="Times New Roman"/>
          <w:sz w:val="22"/>
          <w:szCs w:val="22"/>
          <w:color w:val="auto"/>
        </w:rPr>
        <w:t>(a)It is duly incorporated or organized, validly existing and in good standing (or equivalent status in the relevant jurisdiction) under the laws of the jurisdiction of its incorporation or organization. It has the full power and authority to own its assets and carry on its businesses.</w:t>
      </w:r>
    </w:p>
    <w:p>
      <w:pPr>
        <w:spacing w:after="0" w:line="3" w:lineRule="exact"/>
        <w:rPr>
          <w:sz w:val="20"/>
          <w:szCs w:val="20"/>
          <w:color w:val="auto"/>
        </w:rPr>
      </w:pPr>
    </w:p>
    <w:p>
      <w:pPr>
        <w:jc w:val="both"/>
        <w:ind w:left="760" w:right="280"/>
        <w:spacing w:after="0" w:line="230" w:lineRule="auto"/>
        <w:rPr>
          <w:sz w:val="20"/>
          <w:szCs w:val="20"/>
          <w:color w:val="auto"/>
        </w:rPr>
      </w:pPr>
      <w:r>
        <w:rPr>
          <w:rFonts w:ascii="Times New Roman" w:cs="Times New Roman" w:eastAsia="Times New Roman" w:hAnsi="Times New Roman"/>
          <w:sz w:val="22"/>
          <w:szCs w:val="22"/>
          <w:color w:val="auto"/>
        </w:rPr>
        <w:t>(b)The obligations expressed to be assumed by it under this Agreement are legal, valid, binding and enforceable obligations.</w:t>
      </w:r>
    </w:p>
    <w:p>
      <w:pPr>
        <w:spacing w:after="0" w:line="1" w:lineRule="exact"/>
        <w:rPr>
          <w:sz w:val="20"/>
          <w:szCs w:val="20"/>
          <w:color w:val="auto"/>
        </w:rPr>
      </w:pPr>
    </w:p>
    <w:p>
      <w:pPr>
        <w:jc w:val="both"/>
        <w:ind w:left="760" w:right="300"/>
        <w:spacing w:after="0" w:line="237" w:lineRule="auto"/>
        <w:rPr>
          <w:sz w:val="20"/>
          <w:szCs w:val="20"/>
          <w:color w:val="auto"/>
        </w:rPr>
      </w:pPr>
      <w:r>
        <w:rPr>
          <w:rFonts w:ascii="Times New Roman" w:cs="Times New Roman" w:eastAsia="Times New Roman" w:hAnsi="Times New Roman"/>
          <w:sz w:val="22"/>
          <w:szCs w:val="22"/>
          <w:color w:val="auto"/>
        </w:rPr>
        <w:t>(c)It has the power to enter into, perform and deliver, and has taken all necessary action to authorize its entry into, performance and delivery of, this Agreement and the transactions contemplated by this Agreement.</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7" w:right="419" w:bottom="1440" w:gutter="0" w:footer="0" w:header="0"/>
        </w:sectPr>
      </w:pPr>
    </w:p>
    <w:bookmarkStart w:id="252" w:name="page253"/>
    <w:bookmarkEnd w:id="252"/>
    <w:p>
      <w:pPr>
        <w:ind w:left="-8" w:firstLine="8"/>
        <w:spacing w:after="0" w:line="286" w:lineRule="auto"/>
        <w:tabs>
          <w:tab w:leader="none" w:pos="307"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52" w:right="60"/>
        <w:spacing w:after="0" w:line="237" w:lineRule="auto"/>
        <w:rPr>
          <w:sz w:val="20"/>
          <w:szCs w:val="20"/>
          <w:color w:val="auto"/>
        </w:rPr>
      </w:pPr>
      <w:r>
        <w:rPr>
          <w:rFonts w:ascii="Times New Roman" w:cs="Times New Roman" w:eastAsia="Times New Roman" w:hAnsi="Times New Roman"/>
          <w:sz w:val="22"/>
          <w:szCs w:val="22"/>
          <w:color w:val="auto"/>
        </w:rPr>
        <w:t>(d)The entry into and performance by it of, and the transactions contemplated by, this Agreement do not and will not conflict with any Applicable Laws, its constitutional documents; or any agreement or instrument binding upon it or any of its assets.</w:t>
      </w:r>
    </w:p>
    <w:p>
      <w:pPr>
        <w:spacing w:after="0" w:line="3" w:lineRule="exact"/>
        <w:rPr>
          <w:sz w:val="20"/>
          <w:szCs w:val="20"/>
          <w:color w:val="auto"/>
        </w:rPr>
      </w:pPr>
    </w:p>
    <w:p>
      <w:pPr>
        <w:jc w:val="both"/>
        <w:ind w:left="752" w:right="60"/>
        <w:spacing w:after="0" w:line="230" w:lineRule="auto"/>
        <w:rPr>
          <w:sz w:val="20"/>
          <w:szCs w:val="20"/>
          <w:color w:val="auto"/>
        </w:rPr>
      </w:pPr>
      <w:r>
        <w:rPr>
          <w:rFonts w:ascii="Times New Roman" w:cs="Times New Roman" w:eastAsia="Times New Roman" w:hAnsi="Times New Roman"/>
          <w:sz w:val="22"/>
          <w:szCs w:val="22"/>
          <w:color w:val="auto"/>
        </w:rPr>
        <w:t>(e)All authorizations required or desirable, to enable it lawfully to enter into, exercise its rights under and comply with its obligations under this Agreement; to ensure that those obligations are legal, valid, binding and enforceable; and to make this Agreement admissible in evidence in its jurisdiction of incorporation, have been, or will have been by the time, obtained or effected and are, or will be by the appropriate time, in full force and effect.</w:t>
      </w:r>
    </w:p>
    <w:p>
      <w:pPr>
        <w:spacing w:after="0" w:line="1" w:lineRule="exact"/>
        <w:rPr>
          <w:sz w:val="20"/>
          <w:szCs w:val="20"/>
          <w:color w:val="auto"/>
        </w:rPr>
      </w:pPr>
    </w:p>
    <w:p>
      <w:pPr>
        <w:jc w:val="both"/>
        <w:ind w:left="752" w:right="60" w:hanging="3"/>
        <w:spacing w:after="0" w:line="230" w:lineRule="auto"/>
        <w:tabs>
          <w:tab w:leader="none" w:pos="1012"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aware of any circumstances which are likely to lead to any authorization obtained or effected not remaining in full force and effect, any authorization not being obtained, renewed or effected when required or desirable; or any authorization being subject to a condition or requirement which it does not reasonably expect to satisfy or the compliance with which has or could reasonably be expected to have a material adverse effect.</w:t>
      </w:r>
    </w:p>
    <w:p>
      <w:pPr>
        <w:spacing w:after="0" w:line="1" w:lineRule="exact"/>
        <w:rPr>
          <w:rFonts w:ascii="Times New Roman" w:cs="Times New Roman" w:eastAsia="Times New Roman" w:hAnsi="Times New Roman"/>
          <w:sz w:val="22"/>
          <w:szCs w:val="22"/>
          <w:color w:val="auto"/>
        </w:rPr>
      </w:pPr>
    </w:p>
    <w:p>
      <w:pPr>
        <w:jc w:val="both"/>
        <w:ind w:left="752" w:right="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(g)It is not the target of economic sanctions administered by the Office of Foreign Assets Control of the U.S. Department of the Treasury, the U.S. Department of State, the United Nations Security Council, the European Union, His Majesty’s Treasury of the United Kingdom or Singapore (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including by being listed on the Specially Designated Nationals and Blocked Persons (SDN) List maintained by OFAC or any other Sanctions list maintained by one of the foregoing governmental authorities, directly or indirectly owned or controlled by one or more SDNs or other Persons included on any other Sanctions list, or located, organized or resident in a country or territory that is the target of Sanctions; and the purchase of the Products will not violate any Sanctions or import and export control related laws and regulations.</w:t>
      </w:r>
    </w:p>
    <w:p>
      <w:pPr>
        <w:spacing w:after="0" w:line="2" w:lineRule="exact"/>
        <w:rPr>
          <w:rFonts w:ascii="Times New Roman" w:cs="Times New Roman" w:eastAsia="Times New Roman" w:hAnsi="Times New Roman"/>
          <w:sz w:val="22"/>
          <w:szCs w:val="22"/>
          <w:color w:val="auto"/>
        </w:rPr>
      </w:pPr>
    </w:p>
    <w:p>
      <w:pPr>
        <w:ind w:left="752" w:right="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(h)All information supplied by the Purchaser is and shall be true and correct, and the information does not contain and will not contain any statement that is false or misleading.</w:t>
      </w:r>
    </w:p>
    <w:p>
      <w:pPr>
        <w:ind w:left="752" w:right="80" w:hanging="3"/>
        <w:spacing w:after="0" w:line="237" w:lineRule="auto"/>
        <w:tabs>
          <w:tab w:leader="none" w:pos="1012"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in entering into this Agreement, BITMAIN has relied on the warranties set forth in this Clause 7.1.</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6" w:lineRule="exact"/>
        <w:rPr>
          <w:rFonts w:ascii="Times New Roman" w:cs="Times New Roman" w:eastAsia="Times New Roman" w:hAnsi="Times New Roman"/>
          <w:sz w:val="22"/>
          <w:szCs w:val="22"/>
          <w:color w:val="auto"/>
        </w:rPr>
      </w:pPr>
    </w:p>
    <w:p>
      <w:pPr>
        <w:ind w:left="372" w:hanging="253"/>
        <w:spacing w:after="0"/>
        <w:tabs>
          <w:tab w:leader="none" w:pos="372" w:val="left"/>
        </w:tabs>
        <w:numPr>
          <w:ilvl w:val="0"/>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and Limitation of Liability</w:t>
      </w:r>
    </w:p>
    <w:p>
      <w:pPr>
        <w:spacing w:after="0" w:line="358" w:lineRule="exact"/>
        <w:rPr>
          <w:sz w:val="20"/>
          <w:szCs w:val="20"/>
          <w:color w:val="auto"/>
        </w:rPr>
      </w:pPr>
    </w:p>
    <w:p>
      <w:pPr>
        <w:jc w:val="both"/>
        <w:ind w:left="112" w:right="60"/>
        <w:spacing w:after="0" w:line="239" w:lineRule="auto"/>
        <w:rPr>
          <w:sz w:val="20"/>
          <w:szCs w:val="20"/>
          <w:color w:val="auto"/>
        </w:rPr>
      </w:pPr>
      <w:r>
        <w:rPr>
          <w:rFonts w:ascii="Times New Roman" w:cs="Times New Roman" w:eastAsia="Times New Roman" w:hAnsi="Times New Roman"/>
          <w:sz w:val="22"/>
          <w:szCs w:val="22"/>
          <w:color w:val="auto"/>
        </w:rPr>
        <w:t>8.1 The Purchaser shall, during the term of this Agreement and at any time thereafter, indemnify and save BITMAIN and/or its Affiliates harmless from and against any and all damages, suits, claims, judgments, liabilities, losses, fees, costs or expenses of any kind, including legal fees, whatsoever arising out of or incidental to the Products pursuant to this Agreement.</w:t>
      </w:r>
    </w:p>
    <w:p>
      <w:pPr>
        <w:spacing w:after="0" w:line="206" w:lineRule="exact"/>
        <w:rPr>
          <w:sz w:val="20"/>
          <w:szCs w:val="20"/>
          <w:color w:val="auto"/>
        </w:rPr>
      </w:pPr>
    </w:p>
    <w:p>
      <w:pPr>
        <w:jc w:val="both"/>
        <w:ind w:left="112" w:right="60"/>
        <w:spacing w:after="0" w:line="258" w:lineRule="auto"/>
        <w:rPr>
          <w:sz w:val="20"/>
          <w:szCs w:val="20"/>
          <w:color w:val="auto"/>
        </w:rPr>
      </w:pPr>
      <w:r>
        <w:rPr>
          <w:rFonts w:ascii="Times New Roman" w:cs="Times New Roman" w:eastAsia="Times New Roman" w:hAnsi="Times New Roman"/>
          <w:sz w:val="22"/>
          <w:szCs w:val="22"/>
          <w:color w:val="auto"/>
        </w:rPr>
        <w:t>8.2 Notwithstanding anything to the contrary herein, BITMAIN and its Affiliates shall under no circumstances, be liable to the Purchaser for any consequential loss, or any indirect, incidental, special,</w:t>
      </w:r>
    </w:p>
    <w:p>
      <w:pPr>
        <w:spacing w:after="0" w:line="200" w:lineRule="exact"/>
        <w:rPr>
          <w:sz w:val="20"/>
          <w:szCs w:val="20"/>
          <w:color w:val="auto"/>
        </w:rPr>
      </w:pPr>
    </w:p>
    <w:p>
      <w:pPr>
        <w:spacing w:after="0" w:line="24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53" w:name="page254"/>
    <w:bookmarkEnd w:id="253"/>
    <w:p>
      <w:pPr>
        <w:ind w:left="-8" w:firstLine="8"/>
        <w:spacing w:after="0" w:line="286" w:lineRule="auto"/>
        <w:tabs>
          <w:tab w:leader="none" w:pos="307"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2" w:right="60" w:firstLine="377"/>
        <w:spacing w:after="0" w:line="236" w:lineRule="auto"/>
        <w:rPr>
          <w:sz w:val="20"/>
          <w:szCs w:val="20"/>
          <w:color w:val="auto"/>
        </w:rPr>
      </w:pPr>
      <w:r>
        <w:rPr>
          <w:rFonts w:ascii="Times New Roman" w:cs="Times New Roman" w:eastAsia="Times New Roman" w:hAnsi="Times New Roman"/>
          <w:sz w:val="22"/>
          <w:szCs w:val="22"/>
          <w:color w:val="auto"/>
        </w:rPr>
        <w:t>exemplary or punitive damages, or any measure of damages based on diminution in value or based on any loss of goodwill, business, anticipated profits, revenue, contract, or business opportunity or similar concept arising out of or in connection with this Agreement, and the Purchaser hereby waives any claim it may at any time have against BITMAIN and its Affiliates in respect of any such damages. The foregoing limitation of liability shall apply whether in an action at law, including but not limited to contract, strict liability, negligence, willful misconduct or other tortious action, or an action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8.3 BITMAIN and its Affiliates’ cumulative aggregate liability pursuant to this Agreement, whether arising from tort, breach of contract or any other cause of action shall be limited to and not exceed the amount of one hundred percent (100%) of the payment actually received by BITMAIN from the Purchaser for the Products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54" w:name="page255"/>
    <w:bookmarkEnd w:id="254"/>
    <w:p>
      <w:pPr>
        <w:ind w:left="-8" w:firstLine="8"/>
        <w:spacing w:after="0" w:line="286" w:lineRule="auto"/>
        <w:tabs>
          <w:tab w:leader="none" w:pos="307"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12" w:right="60"/>
        <w:spacing w:after="0" w:line="236" w:lineRule="auto"/>
        <w:rPr>
          <w:sz w:val="20"/>
          <w:szCs w:val="20"/>
          <w:color w:val="auto"/>
        </w:rPr>
      </w:pPr>
      <w:r>
        <w:rPr>
          <w:rFonts w:ascii="Times New Roman" w:cs="Times New Roman" w:eastAsia="Times New Roman" w:hAnsi="Times New Roman"/>
          <w:sz w:val="22"/>
          <w:szCs w:val="22"/>
          <w:color w:val="auto"/>
        </w:rPr>
        <w:t>8.4 The Products are not designed, manufactured or intended for use in hazardous or critical environments or in activities requiring emergency or fail-safe operation, such as the operation of nuclear facilities, aircraft navigation or communication systems or in any other applications or activities in which failure of the Products may pose the risk of environmental harm or physical injury or death to humans. In addition to the disclaimer of warranties set forth in Clause 6.3, BITMAIN further disclaims any express or implied warranty of fitness for any of the above described applications and any such use shall be at the Purchaser’s sole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12" w:right="60"/>
        <w:spacing w:after="0" w:line="237" w:lineRule="auto"/>
        <w:rPr>
          <w:sz w:val="20"/>
          <w:szCs w:val="20"/>
          <w:color w:val="auto"/>
        </w:rPr>
      </w:pPr>
      <w:r>
        <w:rPr>
          <w:rFonts w:ascii="Times New Roman" w:cs="Times New Roman" w:eastAsia="Times New Roman" w:hAnsi="Times New Roman"/>
          <w:sz w:val="22"/>
          <w:szCs w:val="22"/>
          <w:color w:val="auto"/>
        </w:rPr>
        <w:t>8.5 As far as permitted by laws, except for the Warranty as set forth in Clause 6, BITMAIN provides no other warranty, explicit or implied, in any form, including but not limited to the warranty of the marketability, satisfaction of the quality, suitability for the specific purpose, not infringing third party’ s right, etc. In addition, BITMAIN shall not be responsible for any direct, specific, incidental, accidental or indirect loss arising from the use of the Products, including but not limited to the loss of commercial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8.6 BITMAIN shall not be liable for any loss caused by: (a) failure of the Purchaser to use the Products in accordance with the manual, specifications, operation descriptions or operation conditions provided by BITMAIN in writing; or (b) the non-operation of the Products during the replacement/maintenance period or caused by other reasons.</w:t>
      </w:r>
    </w:p>
    <w:p>
      <w:pPr>
        <w:spacing w:after="0" w:line="199" w:lineRule="exact"/>
        <w:rPr>
          <w:sz w:val="20"/>
          <w:szCs w:val="20"/>
          <w:color w:val="auto"/>
        </w:rPr>
      </w:pPr>
    </w:p>
    <w:p>
      <w:pPr>
        <w:jc w:val="both"/>
        <w:ind w:left="112" w:right="80"/>
        <w:spacing w:after="0" w:line="237" w:lineRule="auto"/>
        <w:rPr>
          <w:sz w:val="20"/>
          <w:szCs w:val="20"/>
          <w:color w:val="auto"/>
        </w:rPr>
      </w:pPr>
      <w:r>
        <w:rPr>
          <w:rFonts w:ascii="Times New Roman" w:cs="Times New Roman" w:eastAsia="Times New Roman" w:hAnsi="Times New Roman"/>
          <w:sz w:val="22"/>
          <w:szCs w:val="22"/>
          <w:color w:val="auto"/>
        </w:rPr>
        <w:t>8.7 The above limitations and exclusions shall survive and apply: (a) notwithstanding failure of essential purpose of any exclusive or limited remedy; and (b) whether or not BITMAIN has been advised of the possibility of such damages. The Parties acknowledge the limitation of liability and the allocation of risks in this Clause 8 is an essential element of the basis of the bargain between the Parties under this Agreement and BITMAIN’s pricing reflects this allocation of risks and the abovementioned limitations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9. Distribution</w:t>
      </w:r>
    </w:p>
    <w:p>
      <w:pPr>
        <w:spacing w:after="0" w:line="344" w:lineRule="exact"/>
        <w:rPr>
          <w:sz w:val="20"/>
          <w:szCs w:val="20"/>
          <w:color w:val="auto"/>
        </w:rPr>
      </w:pPr>
    </w:p>
    <w:p>
      <w:pPr>
        <w:jc w:val="both"/>
        <w:ind w:left="112" w:right="60"/>
        <w:spacing w:after="0" w:line="258" w:lineRule="auto"/>
        <w:rPr>
          <w:sz w:val="20"/>
          <w:szCs w:val="20"/>
          <w:color w:val="auto"/>
        </w:rPr>
      </w:pPr>
      <w:r>
        <w:rPr>
          <w:rFonts w:ascii="Times New Roman" w:cs="Times New Roman" w:eastAsia="Times New Roman" w:hAnsi="Times New Roman"/>
          <w:sz w:val="22"/>
          <w:szCs w:val="22"/>
          <w:color w:val="auto"/>
        </w:rPr>
        <w:t>9.1 This Agreement does not constitute a distributor agreement between BITMAIN and the Purchaser. Therefore, the Purchaser acknowledges that it is not an authorized distributor of BITMAIN.</w:t>
      </w:r>
    </w:p>
    <w:p>
      <w:pPr>
        <w:spacing w:after="0" w:line="200" w:lineRule="exact"/>
        <w:rPr>
          <w:sz w:val="20"/>
          <w:szCs w:val="20"/>
          <w:color w:val="auto"/>
        </w:rPr>
      </w:pPr>
    </w:p>
    <w:p>
      <w:pPr>
        <w:spacing w:after="0" w:line="24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55" w:name="page256"/>
    <w:bookmarkEnd w:id="255"/>
    <w:p>
      <w:pPr>
        <w:ind w:left="-8" w:firstLine="8"/>
        <w:spacing w:after="0" w:line="286" w:lineRule="auto"/>
        <w:tabs>
          <w:tab w:leader="none" w:pos="307"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 w:right="60"/>
        <w:spacing w:after="0" w:line="239" w:lineRule="auto"/>
        <w:rPr>
          <w:sz w:val="20"/>
          <w:szCs w:val="20"/>
          <w:color w:val="auto"/>
        </w:rPr>
      </w:pPr>
      <w:r>
        <w:rPr>
          <w:rFonts w:ascii="Times New Roman" w:cs="Times New Roman" w:eastAsia="Times New Roman" w:hAnsi="Times New Roman"/>
          <w:sz w:val="22"/>
          <w:szCs w:val="22"/>
          <w:color w:val="auto"/>
        </w:rPr>
        <w:t>9.2 The Purchaser shall in no event claim or imply to a third party that it is an authorized distributor of BITMAIN or BITMAIN (ANTMINER) or their respective Affiliates, or perform any act that will cause it to be construed as an authorized distributor of BITMAIN or BITMAIN (ANTMINER) or their respective Affiliates. As between the Purchaser and BITMAIN, the Purchaser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56" w:name="page257"/>
    <w:bookmarkEnd w:id="256"/>
    <w:p>
      <w:pPr>
        <w:ind w:right="260" w:firstLine="8"/>
        <w:spacing w:after="0" w:line="286" w:lineRule="auto"/>
        <w:tabs>
          <w:tab w:leader="none" w:pos="315"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exclusively and fully responsible for complying with the Applicable Laws regarding repackaging the Products for the</w:t>
      </w:r>
    </w:p>
    <w:p>
      <w:pPr>
        <w:spacing w:after="0" w:line="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Purchaser’s redistribution needs, and shall be solely liable for any and all liabilities or costs directly incurred or incidental to such redistribution.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10. Intellectual Property Rights</w:t>
      </w:r>
    </w:p>
    <w:p>
      <w:pPr>
        <w:spacing w:after="0" w:line="358" w:lineRule="exact"/>
        <w:rPr>
          <w:sz w:val="20"/>
          <w:szCs w:val="20"/>
          <w:color w:val="auto"/>
        </w:rPr>
      </w:pPr>
    </w:p>
    <w:p>
      <w:pPr>
        <w:jc w:val="both"/>
        <w:ind w:left="120" w:right="320"/>
        <w:spacing w:after="0" w:line="239" w:lineRule="auto"/>
        <w:rPr>
          <w:sz w:val="20"/>
          <w:szCs w:val="20"/>
          <w:color w:val="auto"/>
        </w:rPr>
      </w:pPr>
      <w:r>
        <w:rPr>
          <w:rFonts w:ascii="Times New Roman" w:cs="Times New Roman" w:eastAsia="Times New Roman" w:hAnsi="Times New Roman"/>
          <w:sz w:val="22"/>
          <w:szCs w:val="22"/>
          <w:color w:val="auto"/>
        </w:rPr>
        <w:t>10.1The Parties agree that the Intellectual Property Rights in any way contained in the Products, made, conceived or developed by BITMAIN and/or its Affiliates for the Products under this Agreement and/or, achieved, derived from, related to, connected with the provision of the Products by BITMAIN and/or acquired by BITMAIN from any other person in performance of this Agreement shall be the exclusive property of BITMAIN and/or its Affiliates.</w:t>
      </w:r>
    </w:p>
    <w:p>
      <w:pPr>
        <w:spacing w:after="0" w:line="206" w:lineRule="exact"/>
        <w:rPr>
          <w:sz w:val="20"/>
          <w:szCs w:val="20"/>
          <w:color w:val="auto"/>
        </w:rPr>
      </w:pPr>
    </w:p>
    <w:p>
      <w:pPr>
        <w:jc w:val="both"/>
        <w:ind w:left="120" w:right="300"/>
        <w:spacing w:after="0" w:line="234" w:lineRule="auto"/>
        <w:rPr>
          <w:sz w:val="20"/>
          <w:szCs w:val="20"/>
          <w:color w:val="auto"/>
        </w:rPr>
      </w:pPr>
      <w:r>
        <w:rPr>
          <w:rFonts w:ascii="Times New Roman" w:cs="Times New Roman" w:eastAsia="Times New Roman" w:hAnsi="Times New Roman"/>
          <w:sz w:val="22"/>
          <w:szCs w:val="22"/>
          <w:color w:val="auto"/>
        </w:rPr>
        <w:t>10.2Notwithstanding anything to the contrary herein, all Intellectual Property Rights in the Products shall remain the exclusive property of BITMAIN and/or its Affiliates and/or its licensors. Except for licenses explicitly identified in BITMAIN’s shipping confirmation or in this Clause 10.2, no rights or licenses are expressly granted, or implied, whether by estoppel or otherwise, in respect of any Intellectual Property Rights of BITMAIN and/or its Affiliates or any Intellectual Property residing in the Products provided by BITMAIN to the Purchaser, including in any documentation or any data furnished by BITMAIN. BITMAIN grants the Purchaser a non-exclusive, non-transferrable, royalty- free and irrevocable license of BITMAIN and/or its Affiliates’ Intellectual Property Rights to solely use the Products delivered by BITMAIN to the Purchaser for their ordinary function, and subject to the provisions set forth herein. The Purchaser shall in no event violate the Intellectual Property Rights of BITMAIN and/or its Affiliates and/or its licensors.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0" w:right="320"/>
        <w:spacing w:after="0" w:line="239" w:lineRule="auto"/>
        <w:rPr>
          <w:sz w:val="20"/>
          <w:szCs w:val="20"/>
          <w:color w:val="auto"/>
        </w:rPr>
      </w:pPr>
      <w:r>
        <w:rPr>
          <w:rFonts w:ascii="Times New Roman" w:cs="Times New Roman" w:eastAsia="Times New Roman" w:hAnsi="Times New Roman"/>
          <w:sz w:val="22"/>
          <w:szCs w:val="22"/>
          <w:color w:val="auto"/>
        </w:rPr>
        <w:t>10.3The Purchaser shall not illegally use or infringe the Intellectual Property Rights of BITMAIN in any way. Otherwise, BITMAIN shall have the right to request the Purchaser to take immediate remedial measures and assume full responsibilities, including but not limited to ceasing the infringement immediately, eliminating the impact, and compensating BITMAIN and/or its Affiliates for all losses arising out of the infringement,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20" w:right="320"/>
        <w:spacing w:after="0" w:line="244" w:lineRule="auto"/>
        <w:rPr>
          <w:sz w:val="20"/>
          <w:szCs w:val="20"/>
          <w:color w:val="auto"/>
        </w:rPr>
      </w:pPr>
      <w:r>
        <w:rPr>
          <w:rFonts w:ascii="Times New Roman" w:cs="Times New Roman" w:eastAsia="Times New Roman" w:hAnsi="Times New Roman"/>
          <w:sz w:val="22"/>
          <w:szCs w:val="22"/>
          <w:color w:val="auto"/>
        </w:rPr>
        <w:t>10.4The Purchaser shall not use any technical means to disassemble, mapping or analyze the Products of BITMAIN, and shall not reverse engineer or otherwise attempt to derive or obtain information about the function, manufacture or operation of the Products, to retrieve relevant technical information of the</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7" w:right="379" w:bottom="1440" w:gutter="0" w:footer="0" w:header="0"/>
        </w:sectPr>
      </w:pPr>
    </w:p>
    <w:bookmarkStart w:id="257" w:name="page258"/>
    <w:bookmarkEnd w:id="257"/>
    <w:p>
      <w:pPr>
        <w:ind w:left="-8" w:firstLine="8"/>
        <w:spacing w:after="0" w:line="286" w:lineRule="auto"/>
        <w:tabs>
          <w:tab w:leader="none" w:pos="307"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2" w:right="60" w:firstLine="377"/>
        <w:spacing w:after="0" w:line="258" w:lineRule="auto"/>
        <w:rPr>
          <w:sz w:val="20"/>
          <w:szCs w:val="20"/>
          <w:color w:val="auto"/>
        </w:rPr>
      </w:pPr>
      <w:r>
        <w:rPr>
          <w:rFonts w:ascii="Times New Roman" w:cs="Times New Roman" w:eastAsia="Times New Roman" w:hAnsi="Times New Roman"/>
          <w:sz w:val="22"/>
          <w:szCs w:val="22"/>
          <w:color w:val="auto"/>
        </w:rPr>
        <w:t>Products and use it for commercial purposes. Otherwise, the Purchaser shall be liable for losses caused to BITMAIN in accordance with Clause 10.3.</w:t>
      </w:r>
    </w:p>
    <w:p>
      <w:pPr>
        <w:spacing w:after="0" w:line="184" w:lineRule="exact"/>
        <w:rPr>
          <w:sz w:val="20"/>
          <w:szCs w:val="20"/>
          <w:color w:val="auto"/>
        </w:rPr>
      </w:pPr>
    </w:p>
    <w:p>
      <w:pPr>
        <w:ind w:left="112" w:right="60"/>
        <w:spacing w:after="0" w:line="258" w:lineRule="auto"/>
        <w:rPr>
          <w:sz w:val="20"/>
          <w:szCs w:val="20"/>
          <w:color w:val="auto"/>
        </w:rPr>
      </w:pPr>
      <w:r>
        <w:rPr>
          <w:rFonts w:ascii="Times New Roman" w:cs="Times New Roman" w:eastAsia="Times New Roman" w:hAnsi="Times New Roman"/>
          <w:sz w:val="22"/>
          <w:szCs w:val="22"/>
          <w:color w:val="auto"/>
        </w:rPr>
        <w:t>10.5If applicable, payment by the Purchaser of non-recurring charges to BITMAIN for any special designs, or engineering or production materials required for BITMAIN’s performance of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58" w:name="page259"/>
    <w:bookmarkEnd w:id="258"/>
    <w:p>
      <w:pPr>
        <w:ind w:right="200" w:firstLine="8"/>
        <w:spacing w:after="0" w:line="286" w:lineRule="auto"/>
        <w:tabs>
          <w:tab w:leader="none" w:pos="315"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for customized Products, shall not be construed as payment for the assignment from BITMAIN to the Purchaser of title to such</w:t>
      </w:r>
    </w:p>
    <w:p>
      <w:pPr>
        <w:spacing w:after="0" w:line="5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special design, engineering or production materials. BITMAIN shall be the sole owner of such special designs, engineering or production materials with regard to such Products.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11. Confidentiality and Communications</w:t>
      </w:r>
    </w:p>
    <w:p>
      <w:pPr>
        <w:spacing w:after="0" w:line="358" w:lineRule="exact"/>
        <w:rPr>
          <w:sz w:val="20"/>
          <w:szCs w:val="20"/>
          <w:color w:val="auto"/>
        </w:rPr>
      </w:pPr>
    </w:p>
    <w:p>
      <w:pPr>
        <w:jc w:val="both"/>
        <w:ind w:left="120" w:right="260"/>
        <w:spacing w:after="0" w:line="236" w:lineRule="auto"/>
        <w:rPr>
          <w:sz w:val="20"/>
          <w:szCs w:val="20"/>
          <w:color w:val="auto"/>
        </w:rPr>
      </w:pPr>
      <w:r>
        <w:rPr>
          <w:rFonts w:ascii="Times New Roman" w:cs="Times New Roman" w:eastAsia="Times New Roman" w:hAnsi="Times New Roman"/>
          <w:sz w:val="22"/>
          <w:szCs w:val="22"/>
          <w:color w:val="auto"/>
        </w:rPr>
        <w:t xml:space="preserve">11.1All information concerning this Agreement and matters pertaining to or derived from the provision of Products pursuant to this Agreement between the Parties, whether in oral or written form, or in the form of drawings, computer programs or other, as well as all data derived therefrom (“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shall be deemed to be confidential and, as such, may not be divulged to any unauthorized person. The Purchaser undertakes and agrees to take all reasonable and practicable steps to ensure and protect the confidentiality of the Confidential Information which cannot be passed, sold, traded, published or disclosed to any unauthorized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12. Term of this Agreement</w:t>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12.1The Parties agree that, unless this Agreement specifies otherwise, no Party shall terminate this Agreement in advance.</w:t>
      </w:r>
    </w:p>
    <w:p>
      <w:pPr>
        <w:spacing w:after="0" w:line="232" w:lineRule="exact"/>
        <w:rPr>
          <w:sz w:val="20"/>
          <w:szCs w:val="20"/>
          <w:color w:val="auto"/>
        </w:rPr>
      </w:pPr>
    </w:p>
    <w:p>
      <w:pPr>
        <w:jc w:val="both"/>
        <w:ind w:left="120" w:right="260"/>
        <w:spacing w:after="0" w:line="244" w:lineRule="auto"/>
        <w:rPr>
          <w:sz w:val="20"/>
          <w:szCs w:val="20"/>
          <w:color w:val="auto"/>
        </w:rPr>
      </w:pPr>
      <w:r>
        <w:rPr>
          <w:rFonts w:ascii="Times New Roman" w:cs="Times New Roman" w:eastAsia="Times New Roman" w:hAnsi="Times New Roman"/>
          <w:sz w:val="22"/>
          <w:szCs w:val="22"/>
          <w:color w:val="auto"/>
        </w:rPr>
        <w:t>12.2This Agreement shall be effective upon execution by both Parties of this Agreement and shall remain effective up to and until the delivery of all Products (including any delivery of Forward Deliverables if the Purchaser exercises its Call Option).</w:t>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13. Notices</w:t>
      </w:r>
    </w:p>
    <w:p>
      <w:pPr>
        <w:spacing w:after="0" w:line="344" w:lineRule="exact"/>
        <w:rPr>
          <w:sz w:val="20"/>
          <w:szCs w:val="20"/>
          <w:color w:val="auto"/>
        </w:rPr>
      </w:pPr>
    </w:p>
    <w:p>
      <w:pPr>
        <w:jc w:val="both"/>
        <w:ind w:left="120" w:right="260"/>
        <w:spacing w:after="0" w:line="237" w:lineRule="auto"/>
        <w:rPr>
          <w:sz w:val="20"/>
          <w:szCs w:val="20"/>
          <w:color w:val="auto"/>
        </w:rPr>
      </w:pPr>
      <w:r>
        <w:rPr>
          <w:rFonts w:ascii="Times New Roman" w:cs="Times New Roman" w:eastAsia="Times New Roman" w:hAnsi="Times New Roman"/>
          <w:sz w:val="22"/>
          <w:szCs w:val="22"/>
          <w:color w:val="auto"/>
        </w:rPr>
        <w:t>13.1All notices, requirements, requests, claims, and other communications in relation to this Agreement shall be in writing, and shall be given or made by delivery in person, by an internationally recognized overnight courier service, by facsimile or registered or certified mail (postage prepaid, return receipt requested) or electronic mail to the respective Parties at the addresses specified below or at such other address for a Party as may be specified in a notice given in accordance with this Clause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0" w:right="260"/>
        <w:spacing w:after="0" w:line="244" w:lineRule="auto"/>
        <w:rPr>
          <w:sz w:val="20"/>
          <w:szCs w:val="20"/>
          <w:color w:val="auto"/>
        </w:rPr>
      </w:pPr>
      <w:r>
        <w:rPr>
          <w:rFonts w:ascii="Times New Roman" w:cs="Times New Roman" w:eastAsia="Times New Roman" w:hAnsi="Times New Roman"/>
          <w:sz w:val="22"/>
          <w:szCs w:val="22"/>
          <w:color w:val="auto"/>
        </w:rPr>
        <w:t>13.2The Purchaser undertakes that the documents, materials, vouchers, order information, payment account information, credential numbers, mobile phone numbers, transaction instructions and so on provided by the Purchaser shall be true, correct, complete and effective, and the information does not</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97" w:right="439" w:bottom="1440" w:gutter="0" w:footer="0" w:header="0"/>
        </w:sectPr>
      </w:pPr>
    </w:p>
    <w:bookmarkStart w:id="259" w:name="page260"/>
    <w:bookmarkEnd w:id="259"/>
    <w:p>
      <w:pPr>
        <w:ind w:left="-8" w:firstLine="8"/>
        <w:spacing w:after="0" w:line="286" w:lineRule="auto"/>
        <w:tabs>
          <w:tab w:leader="none" w:pos="307"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22"/>
          <w:szCs w:val="22"/>
          <w:color w:val="auto"/>
        </w:rPr>
        <w:t>contain any statement that is false or misleading.</w:t>
      </w:r>
    </w:p>
    <w:p>
      <w:pPr>
        <w:spacing w:after="0" w:line="232"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13.3If there is any suspicious transaction, illegal transaction, risky transaction or other risky events of the Purchaser’s account registered on BITMAIN Website, the Purchaser agrees that BITMAIN shall have the right to disclose the Purchaser’s registration information, transaction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0" w:name="page261"/>
    <w:bookmarkEnd w:id="260"/>
    <w:p>
      <w:pPr>
        <w:ind w:firstLine="8"/>
        <w:spacing w:after="0" w:line="286" w:lineRule="auto"/>
        <w:tabs>
          <w:tab w:leader="none" w:pos="315"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identity information, logistics information upon the request of relevant judicial agencies, regulatory agencies or third-party</w:t>
      </w:r>
    </w:p>
    <w:p>
      <w:pPr>
        <w:spacing w:after="0" w:line="5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payment institutions for investigation purpose. In addition, if necessary, the Purchaser shall provide further information upon BITMAIN’s request.</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13.4 The following are the initial address of each Party:</w:t>
      </w: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If to the Purchaser:</w:t>
      </w:r>
    </w:p>
    <w:p>
      <w:pPr>
        <w:spacing w:after="0" w:line="385" w:lineRule="exact"/>
        <w:rPr>
          <w:sz w:val="20"/>
          <w:szCs w:val="20"/>
          <w:color w:val="auto"/>
        </w:rPr>
      </w:pPr>
    </w:p>
    <w:p>
      <w:pPr>
        <w:ind w:left="180"/>
        <w:spacing w:after="0"/>
        <w:tabs>
          <w:tab w:leader="none" w:pos="7480" w:val="left"/>
        </w:tabs>
        <w:rPr>
          <w:sz w:val="20"/>
          <w:szCs w:val="20"/>
          <w:color w:val="auto"/>
        </w:rPr>
      </w:pPr>
      <w:r>
        <w:rPr>
          <w:rFonts w:ascii="Times New Roman" w:cs="Times New Roman" w:eastAsia="Times New Roman" w:hAnsi="Times New Roman"/>
          <w:sz w:val="22"/>
          <w:szCs w:val="22"/>
          <w:color w:val="auto"/>
        </w:rPr>
        <w:t>Address: One Vanderbilt Avenue, Floor 54, Suite C, New York, USA, 10017 Attn:</w:t>
      </w:r>
      <w:r>
        <w:rPr>
          <w:sz w:val="20"/>
          <w:szCs w:val="20"/>
          <w:color w:val="auto"/>
        </w:rPr>
        <w:tab/>
      </w:r>
      <w:r>
        <w:rPr>
          <w:rFonts w:ascii="Times New Roman" w:cs="Times New Roman" w:eastAsia="Times New Roman" w:hAnsi="Times New Roman"/>
          <w:sz w:val="20"/>
          <w:szCs w:val="20"/>
          <w:color w:val="auto"/>
        </w:rPr>
        <w:t>Patrick Kelly, Co-</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President &amp; COO</w:t>
      </w:r>
    </w:p>
    <w:p>
      <w:pPr>
        <w:ind w:left="180"/>
        <w:spacing w:after="0"/>
        <w:tabs>
          <w:tab w:leader="none" w:pos="1020" w:val="left"/>
        </w:tabs>
        <w:rPr>
          <w:sz w:val="20"/>
          <w:szCs w:val="20"/>
          <w:color w:val="auto"/>
        </w:rPr>
      </w:pPr>
      <w:r>
        <w:rPr>
          <w:rFonts w:ascii="Times New Roman" w:cs="Times New Roman" w:eastAsia="Times New Roman" w:hAnsi="Times New Roman"/>
          <w:sz w:val="22"/>
          <w:szCs w:val="22"/>
          <w:color w:val="auto"/>
        </w:rPr>
        <w:t>Phone:</w:t>
        <w:tab/>
        <w:t>***</w:t>
      </w:r>
    </w:p>
    <w:p>
      <w:pPr>
        <w:spacing w:after="0" w:line="101" w:lineRule="exact"/>
        <w:rPr>
          <w:sz w:val="20"/>
          <w:szCs w:val="20"/>
          <w:color w:val="auto"/>
        </w:rPr>
      </w:pPr>
    </w:p>
    <w:p>
      <w:pPr>
        <w:ind w:left="100"/>
        <w:spacing w:after="0"/>
        <w:tabs>
          <w:tab w:leader="none" w:pos="8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0"/>
          <w:szCs w:val="20"/>
          <w:color w:val="auto"/>
        </w:rPr>
        <w:t>***, with a copy to ***</w:t>
      </w: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If to BITMAIN:</w:t>
      </w: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Address: 840 New Burton Street, Suite 201, Dover, Kent, DE 19904 Attn: Alyssa. Liu</w:t>
      </w:r>
    </w:p>
    <w:p>
      <w:pPr>
        <w:spacing w:after="0" w:line="14"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2"/>
          <w:szCs w:val="22"/>
          <w:color w:val="auto"/>
        </w:rPr>
        <w:t>Phone:</w:t>
        <w:tab/>
        <w:t>***</w:t>
      </w:r>
    </w:p>
    <w:p>
      <w:pPr>
        <w:spacing w:after="0" w:line="155"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2"/>
          <w:szCs w:val="22"/>
          <w:color w:val="auto"/>
        </w:rPr>
        <w:t>Email:</w:t>
        <w:tab/>
        <w:t>***, with a copy to *** and ***</w:t>
      </w:r>
    </w:p>
    <w:p>
      <w:pPr>
        <w:spacing w:after="0" w:line="3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13.5 All such notices and other communications shall be deemed effective in the following situations:</w:t>
      </w:r>
    </w:p>
    <w:p>
      <w:pPr>
        <w:spacing w:after="0" w:line="3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if sent by delivery in person, on the same day of the delivery;</w:t>
      </w:r>
    </w:p>
    <w:p>
      <w:pPr>
        <w:spacing w:after="0" w:line="111" w:lineRule="exact"/>
        <w:rPr>
          <w:sz w:val="20"/>
          <w:szCs w:val="20"/>
          <w:color w:val="auto"/>
        </w:rPr>
      </w:pPr>
    </w:p>
    <w:p>
      <w:pPr>
        <w:ind w:left="760" w:right="60"/>
        <w:spacing w:after="0" w:line="241" w:lineRule="auto"/>
        <w:rPr>
          <w:sz w:val="20"/>
          <w:szCs w:val="20"/>
          <w:color w:val="auto"/>
        </w:rPr>
      </w:pPr>
      <w:r>
        <w:rPr>
          <w:rFonts w:ascii="Times New Roman" w:cs="Times New Roman" w:eastAsia="Times New Roman" w:hAnsi="Times New Roman"/>
          <w:sz w:val="22"/>
          <w:szCs w:val="22"/>
          <w:color w:val="auto"/>
        </w:rPr>
        <w:t>(b)if sent by registered or certified mail or overnight courier service, on the same day the written confirmation of delivery is sent; and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(c)if sent by electronic mail, at the entrance of the related electronic mail into the recipient’s electronic mail server.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14. Compliance with Laws and Regulations</w:t>
      </w:r>
    </w:p>
    <w:p>
      <w:pPr>
        <w:spacing w:after="0" w:line="358" w:lineRule="exact"/>
        <w:rPr>
          <w:sz w:val="20"/>
          <w:szCs w:val="20"/>
          <w:color w:val="auto"/>
        </w:rPr>
      </w:pPr>
    </w:p>
    <w:p>
      <w:pPr>
        <w:jc w:val="both"/>
        <w:ind w:left="120" w:right="60"/>
        <w:spacing w:after="0" w:line="239" w:lineRule="auto"/>
        <w:rPr>
          <w:sz w:val="20"/>
          <w:szCs w:val="20"/>
          <w:color w:val="auto"/>
        </w:rPr>
      </w:pPr>
      <w:r>
        <w:rPr>
          <w:rFonts w:ascii="Times New Roman" w:cs="Times New Roman" w:eastAsia="Times New Roman" w:hAnsi="Times New Roman"/>
          <w:sz w:val="22"/>
          <w:szCs w:val="22"/>
          <w:color w:val="auto"/>
        </w:rPr>
        <w:t>14.1The Purchaser undertakes that it will fully comply with all Applicable Laws in relation to export and import control and Sanctions and shall not take any action that would cause BITMAIN or any of its Affiliates to be in violation of any export and import control laws or Sanctions. The Purchaser shall also be fully and exclusively liable for and shall defend, fully indemnify and hold harmless BITMAIN and/or</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97" w:right="639" w:bottom="1440" w:gutter="0" w:footer="0" w:header="0"/>
        </w:sectPr>
      </w:pPr>
    </w:p>
    <w:bookmarkStart w:id="261" w:name="page262"/>
    <w:bookmarkEnd w:id="261"/>
    <w:p>
      <w:pPr>
        <w:ind w:left="-8" w:firstLine="8"/>
        <w:spacing w:after="0" w:line="286" w:lineRule="auto"/>
        <w:tabs>
          <w:tab w:leader="none" w:pos="307"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2" w:right="60" w:firstLine="377"/>
        <w:spacing w:after="0" w:line="244" w:lineRule="auto"/>
        <w:rPr>
          <w:sz w:val="20"/>
          <w:szCs w:val="20"/>
          <w:color w:val="auto"/>
        </w:rPr>
      </w:pPr>
      <w:r>
        <w:rPr>
          <w:rFonts w:ascii="Times New Roman" w:cs="Times New Roman" w:eastAsia="Times New Roman" w:hAnsi="Times New Roman"/>
          <w:sz w:val="22"/>
          <w:szCs w:val="22"/>
          <w:color w:val="auto"/>
        </w:rPr>
        <w:t>its Affiliates from and against any and all claims, demands, actions, costs or proceedings brought or instituted against BITMAIN and/or its Affiliates arising out of or in connection with any breach by the Purchaser or the carrier of any Applicable Laws in relation to export and import control or Sanction.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2" w:name="page263"/>
    <w:bookmarkEnd w:id="262"/>
    <w:p>
      <w:pPr>
        <w:ind w:right="240" w:firstLine="8"/>
        <w:spacing w:after="0" w:line="286" w:lineRule="auto"/>
        <w:tabs>
          <w:tab w:leader="none" w:pos="315"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0" w:right="300"/>
        <w:spacing w:after="0" w:line="261" w:lineRule="auto"/>
        <w:rPr>
          <w:sz w:val="20"/>
          <w:szCs w:val="20"/>
          <w:color w:val="auto"/>
        </w:rPr>
      </w:pPr>
      <w:r>
        <w:rPr>
          <w:rFonts w:ascii="Times New Roman" w:cs="Times New Roman" w:eastAsia="Times New Roman" w:hAnsi="Times New Roman"/>
          <w:sz w:val="20"/>
          <w:szCs w:val="20"/>
          <w:color w:val="auto"/>
        </w:rPr>
        <w:t>14.2The Purchaser acknowledges and agrees that the Products in this Agreement are subject to the export control laws and regulations of all related countries, including but not limited to Export Administration Regulations of the United States (“EARs”). Without limiting the foregoing, the Purchaser shall not, without receiving the proper licenses or license exceptions from all related governmental authorities, including but not limited to the U.S. Bureau of Industry and Security, distribute, re-distribute, export, re-export, or transfer any Products subject to this Agreement either directly or indirectly, to any national of any country identified in Country Groups D:1 or E:1 as defined in the EARs. In addition, the Products under this Agreement may not be exported, re- exported, or transferred to (a) any person or entity for military purposes; (b) any person or entity listed on the “Entity List”, “Denied Persons List” or the SDN List as such lists are maintained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U.S. Government, or (c) an end-user engaged in activities related to weapons of mass destruction. Such activities include but are</w:t>
      </w:r>
    </w:p>
    <w:p>
      <w:pPr>
        <w:spacing w:after="0" w:line="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not necessarily limited to activities related to: (x) the design, development, production, or use of nuclear materials, nuclear facilities, or nuclear weapons; (y) the design, development, production, or use of missiles or support of missiles projects; and (z) the design, development, production, or use of chemical or biological weapons. The Purchaser further agrees that it will not do any of the foregoing in violation of any restriction, law, or regulation of the European Union or an individual EU member state that imposes on an exporter a burden equivalent to or greater than that imposed by the U.S. Bureau of Industry and Security.</w:t>
      </w:r>
    </w:p>
    <w:p>
      <w:pPr>
        <w:spacing w:after="0" w:line="168" w:lineRule="exact"/>
        <w:rPr>
          <w:sz w:val="20"/>
          <w:szCs w:val="20"/>
          <w:color w:val="auto"/>
        </w:rPr>
      </w:pPr>
    </w:p>
    <w:p>
      <w:pPr>
        <w:jc w:val="both"/>
        <w:ind w:left="120" w:right="300"/>
        <w:spacing w:after="0" w:line="258" w:lineRule="auto"/>
        <w:rPr>
          <w:sz w:val="20"/>
          <w:szCs w:val="20"/>
          <w:color w:val="auto"/>
        </w:rPr>
      </w:pPr>
      <w:r>
        <w:rPr>
          <w:rFonts w:ascii="Times New Roman" w:cs="Times New Roman" w:eastAsia="Times New Roman" w:hAnsi="Times New Roman"/>
          <w:sz w:val="22"/>
          <w:szCs w:val="22"/>
          <w:color w:val="auto"/>
        </w:rPr>
        <w:t>14.3The Purchaser undertakes that it will not take any action under this Agreement or use the Products in a way that will be a breach of any anti-money laundering laws, any anti-corruption laws, and/or any counter-terrorist financing laws.</w:t>
      </w:r>
    </w:p>
    <w:p>
      <w:pPr>
        <w:spacing w:after="0" w:line="265" w:lineRule="exact"/>
        <w:rPr>
          <w:sz w:val="20"/>
          <w:szCs w:val="20"/>
          <w:color w:val="auto"/>
        </w:rPr>
      </w:pPr>
    </w:p>
    <w:p>
      <w:pPr>
        <w:jc w:val="both"/>
        <w:ind w:left="120" w:right="300"/>
        <w:spacing w:after="0" w:line="235" w:lineRule="auto"/>
        <w:rPr>
          <w:sz w:val="20"/>
          <w:szCs w:val="20"/>
          <w:color w:val="auto"/>
        </w:rPr>
      </w:pPr>
      <w:r>
        <w:rPr>
          <w:rFonts w:ascii="Times New Roman" w:cs="Times New Roman" w:eastAsia="Times New Roman" w:hAnsi="Times New Roman"/>
          <w:sz w:val="22"/>
          <w:szCs w:val="22"/>
          <w:color w:val="auto"/>
        </w:rPr>
        <w:t>14.4The Purchaser warrants that the Products have been purchased with funds that are from legitimate sources and such funds do not constitute proceeds of criminal conduct, or realizable property, or proceeds of terrorism financing or property of terrorist. If BITMAIN receives, including but not limited to investigation, evidence collection, restriction and other measures, from any competent organizations or institutions, the Purchaser shall immediately cooperate with BITMAIN and such competent organizations or institutions in the investigation process, and BITMAIN may request the Purchaser to provide necessary security if so required. If any competent organizations or institutions request BITMAIN to seize or freeze the Purchaser’s Products and funds (or take any other measures),</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7" w:right="399" w:bottom="1440" w:gutter="0" w:footer="0" w:header="0"/>
        </w:sectPr>
      </w:pPr>
    </w:p>
    <w:bookmarkStart w:id="263" w:name="page264"/>
    <w:bookmarkEnd w:id="263"/>
    <w:p>
      <w:pPr>
        <w:ind w:left="-8" w:firstLine="8"/>
        <w:spacing w:after="0" w:line="286" w:lineRule="auto"/>
        <w:tabs>
          <w:tab w:leader="none" w:pos="307"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12" w:right="60" w:firstLine="377"/>
        <w:spacing w:after="0" w:line="234" w:lineRule="auto"/>
        <w:rPr>
          <w:sz w:val="20"/>
          <w:szCs w:val="20"/>
          <w:color w:val="auto"/>
        </w:rPr>
      </w:pPr>
      <w:r>
        <w:rPr>
          <w:rFonts w:ascii="Times New Roman" w:cs="Times New Roman" w:eastAsia="Times New Roman" w:hAnsi="Times New Roman"/>
          <w:sz w:val="22"/>
          <w:szCs w:val="22"/>
          <w:color w:val="auto"/>
        </w:rPr>
        <w:t>BITMAIN shall be obliged to cooperate with such competent organizations or institutions, and shall not be deemed as breach of this Agreement. The Purchaser understands that if any Person resident in the Relevant Jurisdiction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the competent authorities. The Purchaser acknowledges that such a report shall not be treated as breach of confidence or violation of any restriction upon the disclosure of information imposed by any Applicable Law, contractually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15. Force Majeure</w:t>
      </w:r>
    </w:p>
    <w:p>
      <w:pPr>
        <w:spacing w:after="0" w:line="358" w:lineRule="exact"/>
        <w:rPr>
          <w:sz w:val="20"/>
          <w:szCs w:val="20"/>
          <w:color w:val="auto"/>
        </w:rPr>
      </w:pPr>
    </w:p>
    <w:p>
      <w:pPr>
        <w:jc w:val="both"/>
        <w:ind w:left="112" w:right="60"/>
        <w:spacing w:after="0" w:line="234" w:lineRule="auto"/>
        <w:rPr>
          <w:sz w:val="20"/>
          <w:szCs w:val="20"/>
          <w:color w:val="auto"/>
        </w:rPr>
      </w:pPr>
      <w:r>
        <w:rPr>
          <w:rFonts w:ascii="Times New Roman" w:cs="Times New Roman" w:eastAsia="Times New Roman" w:hAnsi="Times New Roman"/>
          <w:sz w:val="22"/>
          <w:szCs w:val="22"/>
          <w:color w:val="auto"/>
        </w:rPr>
        <w:t>15.1To the extent that the performance of any obligation of either Party under this Agreement (other than an obligation to make payment) is prevented, frustrated, hindered or delayed as a consequence of a Force Majeure Event and subject to the exercise of reasonable diligence by the other Party, the obligations of Parties to the extent they are affected by the Force Majeure Event (other than an obligation to make payment), shall be suspended for the duration of any inability so caused; provided that, the Party claiming the benefit of this provision shall, as soon as reasonably practicable after the occurrence of such event: (i) notify the other Party of the nature, condition, date of inception and expected duration of such Force Majeure Event and the extent to which the claiming Party expects that the Force Majeure Event may delay, prevent or hinder such Party from performing its obligations under this Agreement; and (ii) use its best effort to remove any such causes and resume performance under this Agreement as soon as reasonably practicable and mitigate its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color w:val="auto"/>
        </w:rPr>
        <w:t>15.2Except in the case of an event of Force Majeure, neither party may terminate this Agreement prior to its expiry date.</w:t>
      </w:r>
    </w:p>
    <w:p>
      <w:pPr>
        <w:spacing w:after="0" w:line="232"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15.3The Purchaser hereby acknowledges and warrants that this Agreement shall not be terminated by the Purchaser for the reasons of the restrictions or prohibitions of the cryptocurrency mining activities by any Applicable Laws or Governmental Authority. This Clause 15.3 shall prevail over all other clauses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4" w:name="page265"/>
    <w:bookmarkEnd w:id="264"/>
    <w:p>
      <w:pPr>
        <w:ind w:left="-8" w:firstLine="8"/>
        <w:spacing w:after="0" w:line="286" w:lineRule="auto"/>
        <w:tabs>
          <w:tab w:leader="none" w:pos="307"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492" w:hanging="373"/>
        <w:spacing w:after="0"/>
        <w:tabs>
          <w:tab w:leader="none" w:pos="492" w:val="left"/>
        </w:tabs>
        <w:numPr>
          <w:ilvl w:val="1"/>
          <w:numId w:val="2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and Amendment</w:t>
      </w:r>
    </w:p>
    <w:p>
      <w:pPr>
        <w:spacing w:after="0" w:line="344" w:lineRule="exact"/>
        <w:rPr>
          <w:sz w:val="20"/>
          <w:szCs w:val="20"/>
          <w:color w:val="auto"/>
        </w:rPr>
      </w:pPr>
    </w:p>
    <w:p>
      <w:pPr>
        <w:ind w:left="112" w:right="60"/>
        <w:spacing w:after="0" w:line="258" w:lineRule="auto"/>
        <w:rPr>
          <w:sz w:val="20"/>
          <w:szCs w:val="20"/>
          <w:color w:val="auto"/>
        </w:rPr>
      </w:pPr>
      <w:r>
        <w:rPr>
          <w:rFonts w:ascii="Times New Roman" w:cs="Times New Roman" w:eastAsia="Times New Roman" w:hAnsi="Times New Roman"/>
          <w:sz w:val="22"/>
          <w:szCs w:val="22"/>
          <w:color w:val="auto"/>
        </w:rPr>
        <w:t>16.1This Agreement constitutes the entire agreement of the Parties hereto and can only be amended with the written consent of both Parties or otherwise as mutually agreed by both Parties.</w:t>
      </w:r>
    </w:p>
    <w:p>
      <w:pPr>
        <w:spacing w:after="0" w:line="194"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17. Assignment</w:t>
      </w:r>
    </w:p>
    <w:p>
      <w:pPr>
        <w:spacing w:after="0" w:line="344" w:lineRule="exact"/>
        <w:rPr>
          <w:sz w:val="20"/>
          <w:szCs w:val="20"/>
          <w:color w:val="auto"/>
        </w:rPr>
      </w:pPr>
    </w:p>
    <w:p>
      <w:pPr>
        <w:ind w:left="112" w:right="60"/>
        <w:spacing w:after="0" w:line="258" w:lineRule="auto"/>
        <w:rPr>
          <w:sz w:val="20"/>
          <w:szCs w:val="20"/>
          <w:color w:val="auto"/>
        </w:rPr>
      </w:pPr>
      <w:r>
        <w:rPr>
          <w:rFonts w:ascii="Times New Roman" w:cs="Times New Roman" w:eastAsia="Times New Roman" w:hAnsi="Times New Roman"/>
          <w:sz w:val="22"/>
          <w:szCs w:val="22"/>
          <w:color w:val="auto"/>
        </w:rPr>
        <w:t>17.1Each Party may freely assign or transfer any of its rights, benefits or obligations under this Agreement in whole or in part to its Affiliates or to any third party.</w:t>
      </w:r>
    </w:p>
    <w:p>
      <w:pPr>
        <w:spacing w:after="0" w:line="184" w:lineRule="exact"/>
        <w:rPr>
          <w:sz w:val="20"/>
          <w:szCs w:val="20"/>
          <w:color w:val="auto"/>
        </w:rPr>
      </w:pPr>
    </w:p>
    <w:p>
      <w:pPr>
        <w:ind w:left="112" w:right="60"/>
        <w:spacing w:after="0" w:line="258" w:lineRule="auto"/>
        <w:rPr>
          <w:sz w:val="20"/>
          <w:szCs w:val="20"/>
          <w:color w:val="auto"/>
        </w:rPr>
      </w:pPr>
      <w:r>
        <w:rPr>
          <w:rFonts w:ascii="Times New Roman" w:cs="Times New Roman" w:eastAsia="Times New Roman" w:hAnsi="Times New Roman"/>
          <w:sz w:val="22"/>
          <w:szCs w:val="22"/>
          <w:color w:val="auto"/>
        </w:rPr>
        <w:t>17.2This Agreement shall be binding upon and inure to the benefit of each Party to this Agreement and its successors in title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5" w:name="page266"/>
    <w:bookmarkEnd w:id="265"/>
    <w:p>
      <w:pPr>
        <w:ind w:left="-8" w:firstLine="8"/>
        <w:spacing w:after="0" w:line="286" w:lineRule="auto"/>
        <w:tabs>
          <w:tab w:leader="none" w:pos="307"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492" w:hanging="373"/>
        <w:spacing w:after="0"/>
        <w:tabs>
          <w:tab w:leader="none" w:pos="492" w:val="left"/>
        </w:tabs>
        <w:numPr>
          <w:ilvl w:val="1"/>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12" w:right="60"/>
        <w:spacing w:after="0" w:line="239" w:lineRule="auto"/>
        <w:rPr>
          <w:sz w:val="20"/>
          <w:szCs w:val="20"/>
          <w:color w:val="auto"/>
        </w:rPr>
      </w:pPr>
      <w:r>
        <w:rPr>
          <w:rFonts w:ascii="Times New Roman" w:cs="Times New Roman" w:eastAsia="Times New Roman" w:hAnsi="Times New Roman"/>
          <w:sz w:val="22"/>
          <w:szCs w:val="22"/>
          <w:color w:val="auto"/>
        </w:rPr>
        <w:t>18.1To the extent possible, if any provision of this Agreement is held to be illegal, invalid or unenforceable in whole or in part by a competent court or arbitral tribunal, the provision shall apply with whatever deletion or modification is necessary so that such provision is legal, valid and enforceable and gives effect to the commercial intention of the Parties. The remaining provisions of this Agreement shall not be affected and shall remain in full force and effect.</w:t>
      </w:r>
    </w:p>
    <w:p>
      <w:pPr>
        <w:spacing w:after="0" w:line="202"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19. Personal Data</w:t>
      </w:r>
    </w:p>
    <w:p>
      <w:pPr>
        <w:spacing w:after="0" w:line="358" w:lineRule="exact"/>
        <w:rPr>
          <w:sz w:val="20"/>
          <w:szCs w:val="20"/>
          <w:color w:val="auto"/>
        </w:rPr>
      </w:pPr>
    </w:p>
    <w:p>
      <w:pPr>
        <w:jc w:val="both"/>
        <w:ind w:left="112" w:right="60"/>
        <w:spacing w:after="0" w:line="239" w:lineRule="auto"/>
        <w:rPr>
          <w:sz w:val="20"/>
          <w:szCs w:val="20"/>
          <w:color w:val="auto"/>
        </w:rPr>
      </w:pPr>
      <w:r>
        <w:rPr>
          <w:rFonts w:ascii="Times New Roman" w:cs="Times New Roman" w:eastAsia="Times New Roman" w:hAnsi="Times New Roman"/>
          <w:sz w:val="22"/>
          <w:szCs w:val="22"/>
          <w:color w:val="auto"/>
        </w:rPr>
        <w:t>19.1Depending on the nature of the Purchaser’s interaction with BITMAIN, some examples of personal data which BITMAIN may collect from the Purchaser include the Purchaser’s name and identification information, contact information such as the Purchaser’s address, email address and telephone number, nationality, gender, date of birth, and financial information such as credit card numbers, debit card numbers and bank account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12" w:right="60"/>
        <w:spacing w:after="0" w:line="234" w:lineRule="auto"/>
        <w:rPr>
          <w:sz w:val="20"/>
          <w:szCs w:val="20"/>
          <w:color w:val="auto"/>
        </w:rPr>
      </w:pPr>
      <w:r>
        <w:rPr>
          <w:rFonts w:ascii="Times New Roman" w:cs="Times New Roman" w:eastAsia="Times New Roman" w:hAnsi="Times New Roman"/>
          <w:sz w:val="22"/>
          <w:szCs w:val="22"/>
          <w:color w:val="auto"/>
        </w:rPr>
        <w:t>19.2BITMAIN generally does not collect the Purchaser’s personal data unless (a) it is provided to BITMAIN voluntarily by the Purchaser directly or via a third party who has been duly authorized by the Purchaser to disclose the Purchaser’s personal data to BITMAIN (the Purchaser’s “authorized representative”) after (i) the Purchaser (or the Purchaser’s authorized representative) has been notified of the purposes for which the data is collected, and (ii) the Purchaser (or the Purchaser’s authorized representative) has provided written consent to the collection and usage of the Purchaser’s personal data for those purposes, or (b) collection and use of personal data without consent is permitted or required by related laws. BITMAIN shall seek the Purchaser’s consent before collecting any additional personal data and before using the Purchaser’s personal data for a purpose which has not been notified to the Purchaser (except where permitted or authorized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20. Survival</w:t>
      </w:r>
    </w:p>
    <w:p>
      <w:pPr>
        <w:spacing w:after="0" w:line="358"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2"/>
          <w:szCs w:val="22"/>
          <w:color w:val="auto"/>
        </w:rPr>
        <w:t>20.1. All provisions of Clauses 5, 6, 8, 9, 10, 11, 14 and 19 shall survive the termination or completion of this Agreement.</w:t>
      </w:r>
    </w:p>
    <w:p>
      <w:pPr>
        <w:spacing w:after="0" w:line="228"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21. Conflict with the Terms and Conditions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6" w:name="page267"/>
    <w:bookmarkEnd w:id="266"/>
    <w:p>
      <w:pPr>
        <w:ind w:left="-8" w:firstLine="8"/>
        <w:spacing w:after="0" w:line="286" w:lineRule="auto"/>
        <w:tabs>
          <w:tab w:leader="none" w:pos="307"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21.1In the event of any ambiguity or discrepancy between the provisions of this Agreement and the Terms and Conditions of BITMAIN from time to time, the provisions of this Agreement shall prevail and the Parties shall comply with and give effect to this Agreement.</w:t>
      </w:r>
    </w:p>
    <w:p>
      <w:pPr>
        <w:spacing w:after="0" w:line="195"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22. Governing Law and Dispute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7" w:name="page268"/>
    <w:bookmarkEnd w:id="267"/>
    <w:p>
      <w:pPr>
        <w:ind w:left="-8" w:firstLine="8"/>
        <w:spacing w:after="0" w:line="286" w:lineRule="auto"/>
        <w:tabs>
          <w:tab w:leader="none" w:pos="307"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2" w:right="60"/>
        <w:spacing w:after="0" w:line="258" w:lineRule="auto"/>
        <w:rPr>
          <w:sz w:val="20"/>
          <w:szCs w:val="20"/>
          <w:color w:val="auto"/>
        </w:rPr>
      </w:pPr>
      <w:r>
        <w:rPr>
          <w:rFonts w:ascii="Times New Roman" w:cs="Times New Roman" w:eastAsia="Times New Roman" w:hAnsi="Times New Roman"/>
          <w:sz w:val="22"/>
          <w:szCs w:val="22"/>
          <w:color w:val="auto"/>
        </w:rPr>
        <w:t>22.1This Agreement shall be solely governed by and construed in accordance with the laws of the State of New York,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12" w:right="40"/>
        <w:spacing w:after="0" w:line="234" w:lineRule="auto"/>
        <w:rPr>
          <w:sz w:val="20"/>
          <w:szCs w:val="20"/>
          <w:color w:val="auto"/>
        </w:rPr>
      </w:pPr>
      <w:r>
        <w:rPr>
          <w:rFonts w:ascii="Times New Roman" w:cs="Times New Roman" w:eastAsia="Times New Roman" w:hAnsi="Times New Roman"/>
          <w:sz w:val="22"/>
          <w:szCs w:val="22"/>
          <w:color w:val="auto"/>
        </w:rPr>
        <w:t>22.2All disputes arising under this agreement shall be governed by and interpreted in accordance with the laws of the State of New York, without regard to principles of conflict of laws. The parties to this agreement will submit all disputes arising under this agreement to arbitration in New York, New York before a single arbitrator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The arbitrator shall be an attorney admitted to practice law in the State of New York. No party to this agreement will challenge the jurisdiction or venue provisions as provided in this section. No party to this agreement will challenge the jurisdiction or venue provisions as provided in this section. Nothing contained herein shall prevent the party from obtaining an injunction. EACH PARTY HEREBY IRREVOCABLY AND UNCONDITIONALLY WAIVES ANY AND ALL RIGHT TO TRIAL BY JURY IN ANY ACTION, SUIT, PROCEEDING OR COUNTERCLAIM ARISING OUT OF OR RELATING TO THIS AGREEMENT OR THE TRANSACTIONS CONTEMPLATED HEREBY, WHETHER BASED ON CONTRACT, TORT OR ANY OTHER THEORY.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23. Waiver</w:t>
      </w:r>
    </w:p>
    <w:p>
      <w:pPr>
        <w:spacing w:after="0" w:line="344"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23.1Failure by either Party to enforce at any time any provision of this Agreement, or to exercise any election of options provided herein shall not constitute a waiver of such provision or option, nor affect the validity of this Agreement or any part hereof, or the right of the waiving Party to thereafter enforce each and every such provision or option.</w:t>
      </w:r>
    </w:p>
    <w:p>
      <w:pPr>
        <w:spacing w:after="0" w:line="209"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24. Counterparts and Electronic Signatures</w:t>
      </w:r>
    </w:p>
    <w:p>
      <w:pPr>
        <w:spacing w:after="0" w:line="344" w:lineRule="exact"/>
        <w:rPr>
          <w:sz w:val="20"/>
          <w:szCs w:val="20"/>
          <w:color w:val="auto"/>
        </w:rPr>
      </w:pPr>
    </w:p>
    <w:p>
      <w:pPr>
        <w:jc w:val="both"/>
        <w:ind w:left="112" w:right="60"/>
        <w:spacing w:after="0" w:line="239" w:lineRule="auto"/>
        <w:rPr>
          <w:sz w:val="20"/>
          <w:szCs w:val="20"/>
          <w:color w:val="auto"/>
        </w:rPr>
      </w:pPr>
      <w:r>
        <w:rPr>
          <w:rFonts w:ascii="Times New Roman" w:cs="Times New Roman" w:eastAsia="Times New Roman" w:hAnsi="Times New Roman"/>
          <w:sz w:val="22"/>
          <w:szCs w:val="22"/>
          <w:color w:val="auto"/>
        </w:rPr>
        <w:t>24.1This Agreement may be executed in one or more counterparts, each of which will be deemed to be an original copy of this Agreement, and all of which, when taken together, will be deemed to constitute one and the same agreement. The facsimile, email or other electronically delivered signatures of the Parties shall be deemed to constitute original signatures, and facsimile or electronic copies hereof shall be deemed to constitute duplicate originals.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8" w:name="page269"/>
    <w:bookmarkEnd w:id="268"/>
    <w:p>
      <w:pPr>
        <w:ind w:left="-8" w:firstLine="8"/>
        <w:spacing w:after="0" w:line="286" w:lineRule="auto"/>
        <w:tabs>
          <w:tab w:leader="none" w:pos="307"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ind w:left="492" w:hanging="373"/>
        <w:spacing w:after="0"/>
        <w:tabs>
          <w:tab w:leader="none" w:pos="492" w:val="left"/>
        </w:tabs>
        <w:numPr>
          <w:ilvl w:val="1"/>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Assurance</w:t>
      </w:r>
    </w:p>
    <w:p>
      <w:pPr>
        <w:spacing w:after="0" w:line="358" w:lineRule="exact"/>
        <w:rPr>
          <w:sz w:val="20"/>
          <w:szCs w:val="20"/>
          <w:color w:val="auto"/>
        </w:rPr>
      </w:pPr>
    </w:p>
    <w:p>
      <w:pPr>
        <w:jc w:val="both"/>
        <w:ind w:left="112" w:right="60"/>
        <w:spacing w:after="0" w:line="244" w:lineRule="auto"/>
        <w:rPr>
          <w:sz w:val="20"/>
          <w:szCs w:val="20"/>
          <w:color w:val="auto"/>
        </w:rPr>
      </w:pPr>
      <w:r>
        <w:rPr>
          <w:rFonts w:ascii="Times New Roman" w:cs="Times New Roman" w:eastAsia="Times New Roman" w:hAnsi="Times New Roman"/>
          <w:sz w:val="22"/>
          <w:szCs w:val="22"/>
          <w:color w:val="auto"/>
        </w:rPr>
        <w:t>25.1Each Party undertakes to the other Party to execute or procure to be executed all such documents and to do or procure to be done all such other acts and things as may be reasonable and necessary to give all Parties the full benefit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2"/>
          <w:szCs w:val="22"/>
          <w:i w:val="1"/>
          <w:iCs w:val="1"/>
          <w:color w:val="auto"/>
        </w:rPr>
        <w:t>[The rest part of the page is intentionally left in blank]</w:t>
      </w:r>
    </w:p>
    <w:p>
      <w:pPr>
        <w:spacing w:after="0" w:line="200" w:lineRule="exact"/>
        <w:rPr>
          <w:sz w:val="20"/>
          <w:szCs w:val="20"/>
          <w:color w:val="auto"/>
        </w:rPr>
      </w:pPr>
    </w:p>
    <w:p>
      <w:pPr>
        <w:spacing w:after="0" w:line="32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69" w:name="page270"/>
    <w:bookmarkEnd w:id="269"/>
    <w:p>
      <w:pPr>
        <w:ind w:left="-8" w:firstLine="8"/>
        <w:spacing w:after="0" w:line="286" w:lineRule="auto"/>
        <w:tabs>
          <w:tab w:leader="none" w:pos="307"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2"/>
          <w:szCs w:val="22"/>
          <w:color w:val="auto"/>
        </w:rPr>
        <w:t>Signed for and on behalf of BITMAIN</w:t>
      </w:r>
    </w:p>
    <w:p>
      <w:pPr>
        <w:spacing w:after="0" w:line="377" w:lineRule="exact"/>
        <w:rPr>
          <w:sz w:val="20"/>
          <w:szCs w:val="20"/>
          <w:color w:val="auto"/>
        </w:rPr>
      </w:pPr>
    </w:p>
    <w:p>
      <w:pPr>
        <w:ind w:left="4452"/>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w:t>
      </w:r>
    </w:p>
    <w:p>
      <w:pPr>
        <w:spacing w:after="0" w:line="358" w:lineRule="exact"/>
        <w:rPr>
          <w:sz w:val="20"/>
          <w:szCs w:val="20"/>
          <w:color w:val="auto"/>
        </w:rPr>
      </w:pPr>
    </w:p>
    <w:p>
      <w:pPr>
        <w:ind w:left="6812"/>
        <w:spacing w:after="0"/>
        <w:rPr>
          <w:sz w:val="20"/>
          <w:szCs w:val="20"/>
          <w:color w:val="auto"/>
        </w:rPr>
      </w:pPr>
      <w:r>
        <w:rPr>
          <w:rFonts w:ascii="Times New Roman" w:cs="Times New Roman" w:eastAsia="Times New Roman" w:hAnsi="Times New Roman"/>
          <w:sz w:val="22"/>
          <w:szCs w:val="22"/>
          <w:color w:val="auto"/>
        </w:rPr>
        <w:t>Signature /s/ Ran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-13970</wp:posOffset>
            </wp:positionV>
            <wp:extent cx="8102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2">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32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22"/>
          <w:szCs w:val="22"/>
          <w:color w:val="auto"/>
        </w:rPr>
        <w:t>Title Ran Cheng, Director</w:t>
      </w:r>
    </w:p>
    <w:p>
      <w:pPr>
        <w:spacing w:after="0" w:line="340"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2"/>
          <w:szCs w:val="22"/>
          <w:color w:val="auto"/>
        </w:rPr>
        <w:t>Signed for and on behalf of the Purchaser</w:t>
      </w:r>
    </w:p>
    <w:p>
      <w:pPr>
        <w:spacing w:after="0" w:line="350" w:lineRule="exact"/>
        <w:rPr>
          <w:sz w:val="20"/>
          <w:szCs w:val="20"/>
          <w:color w:val="auto"/>
        </w:rPr>
      </w:pPr>
    </w:p>
    <w:p>
      <w:pPr>
        <w:ind w:left="6872"/>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358" w:lineRule="exact"/>
        <w:rPr>
          <w:sz w:val="20"/>
          <w:szCs w:val="20"/>
          <w:color w:val="auto"/>
        </w:rPr>
      </w:pPr>
    </w:p>
    <w:p>
      <w:pPr>
        <w:ind w:left="6812"/>
        <w:spacing w:after="0"/>
        <w:rPr>
          <w:sz w:val="20"/>
          <w:szCs w:val="20"/>
          <w:color w:val="auto"/>
        </w:rPr>
      </w:pPr>
      <w:r>
        <w:rPr>
          <w:rFonts w:ascii="Times New Roman" w:cs="Times New Roman" w:eastAsia="Times New Roman" w:hAnsi="Times New Roman"/>
          <w:sz w:val="22"/>
          <w:szCs w:val="22"/>
          <w:color w:val="auto"/>
        </w:rPr>
        <w:t>Signature /s/ William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-13970</wp:posOffset>
            </wp:positionV>
            <wp:extent cx="120078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3">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2"/>
          <w:szCs w:val="22"/>
          <w:color w:val="auto"/>
        </w:rPr>
        <w:t>Title William Iwaschuk, Co-President and Chief Legal Officer</w:t>
      </w:r>
    </w:p>
    <w:p>
      <w:pPr>
        <w:spacing w:after="0" w:line="200" w:lineRule="exact"/>
        <w:rPr>
          <w:sz w:val="20"/>
          <w:szCs w:val="20"/>
          <w:color w:val="auto"/>
        </w:rPr>
      </w:pPr>
    </w:p>
    <w:p>
      <w:pPr>
        <w:spacing w:after="0" w:line="33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70" w:name="page271"/>
    <w:bookmarkEnd w:id="270"/>
    <w:p>
      <w:pPr>
        <w:ind w:left="-8" w:right="200" w:firstLine="8"/>
        <w:spacing w:after="0" w:line="286" w:lineRule="auto"/>
        <w:tabs>
          <w:tab w:leader="none" w:pos="307"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85" w:lineRule="exact"/>
        <w:rPr>
          <w:sz w:val="20"/>
          <w:szCs w:val="20"/>
          <w:color w:val="auto"/>
        </w:rPr>
      </w:pPr>
    </w:p>
    <w:p>
      <w:pPr>
        <w:ind w:left="372" w:hanging="253"/>
        <w:spacing w:after="0"/>
        <w:tabs>
          <w:tab w:leader="none" w:pos="372" w:val="left"/>
        </w:tabs>
        <w:numPr>
          <w:ilvl w:val="0"/>
          <w:numId w:val="2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Information of Products.</w:t>
      </w:r>
    </w:p>
    <w:p>
      <w:pPr>
        <w:spacing w:after="0" w:line="354"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color w:val="auto"/>
        </w:rPr>
        <w:t>1.1 The specifications of the Products are as follows:</w:t>
      </w:r>
    </w:p>
    <w:p>
      <w:pPr>
        <w:spacing w:after="0" w:line="291" w:lineRule="exact"/>
        <w:rPr>
          <w:sz w:val="20"/>
          <w:szCs w:val="20"/>
          <w:color w:val="auto"/>
        </w:rPr>
      </w:pPr>
    </w:p>
    <w:tbl>
      <w:tblPr>
        <w:tblLayout w:type="fixed"/>
        <w:tblInd w:w="142" w:type="dxa"/>
        <w:tblCellMar>
          <w:top w:w="0" w:type="dxa"/>
          <w:left w:w="0" w:type="dxa"/>
          <w:bottom w:w="0" w:type="dxa"/>
          <w:right w:w="0" w:type="dxa"/>
        </w:tblCellMar>
      </w:tblPr>
      <w:tr>
        <w:trPr>
          <w:trHeight w:val="379"/>
        </w:trPr>
        <w:tc>
          <w:tcPr>
            <w:tcW w:w="3820" w:type="dxa"/>
            <w:vAlign w:val="bottom"/>
            <w:tcBorders>
              <w:top w:val="single" w:sz="8" w:color="auto"/>
              <w:left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22"/>
                <w:szCs w:val="22"/>
                <w:b w:val="1"/>
                <w:bCs w:val="1"/>
                <w:color w:val="auto"/>
              </w:rPr>
              <w:t>Type</w:t>
            </w:r>
          </w:p>
        </w:tc>
        <w:tc>
          <w:tcPr>
            <w:tcW w:w="7200" w:type="dxa"/>
            <w:vAlign w:val="bottom"/>
            <w:tcBorders>
              <w:top w:val="single" w:sz="8" w:color="auto"/>
              <w:right w:val="single" w:sz="8" w:color="auto"/>
            </w:tcBorders>
          </w:tcPr>
          <w:p>
            <w:pPr>
              <w:ind w:left="3260"/>
              <w:spacing w:after="0"/>
              <w:rPr>
                <w:sz w:val="20"/>
                <w:szCs w:val="20"/>
                <w:color w:val="auto"/>
              </w:rPr>
            </w:pPr>
            <w:r>
              <w:rPr>
                <w:rFonts w:ascii="Times New Roman" w:cs="Times New Roman" w:eastAsia="Times New Roman" w:hAnsi="Times New Roman"/>
                <w:sz w:val="22"/>
                <w:szCs w:val="22"/>
                <w:b w:val="1"/>
                <w:bCs w:val="1"/>
                <w:color w:val="auto"/>
              </w:rPr>
              <w:t>Details</w:t>
            </w:r>
          </w:p>
        </w:tc>
        <w:tc>
          <w:tcPr>
            <w:tcW w:w="0" w:type="dxa"/>
            <w:vAlign w:val="bottom"/>
          </w:tcPr>
          <w:p>
            <w:pPr>
              <w:spacing w:after="0"/>
              <w:rPr>
                <w:sz w:val="1"/>
                <w:szCs w:val="1"/>
                <w:color w:val="auto"/>
              </w:rPr>
            </w:pPr>
          </w:p>
        </w:tc>
      </w:tr>
      <w:tr>
        <w:trPr>
          <w:trHeight w:val="39"/>
        </w:trPr>
        <w:tc>
          <w:tcPr>
            <w:tcW w:w="3820" w:type="dxa"/>
            <w:vAlign w:val="bottom"/>
            <w:tcBorders>
              <w:left w:val="single" w:sz="8" w:color="auto"/>
              <w:bottom w:val="single" w:sz="8" w:color="auto"/>
              <w:right w:val="single" w:sz="8" w:color="auto"/>
            </w:tcBorders>
          </w:tcPr>
          <w:p>
            <w:pPr>
              <w:spacing w:after="0"/>
              <w:rPr>
                <w:sz w:val="3"/>
                <w:szCs w:val="3"/>
                <w:color w:val="auto"/>
              </w:rPr>
            </w:pPr>
          </w:p>
        </w:tc>
        <w:tc>
          <w:tcPr>
            <w:tcW w:w="7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3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Product Name</w:t>
            </w: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HASH Super Computing Server</w:t>
            </w:r>
          </w:p>
        </w:tc>
        <w:tc>
          <w:tcPr>
            <w:tcW w:w="0" w:type="dxa"/>
            <w:vAlign w:val="bottom"/>
          </w:tcPr>
          <w:p>
            <w:pPr>
              <w:spacing w:after="0"/>
              <w:rPr>
                <w:sz w:val="1"/>
                <w:szCs w:val="1"/>
                <w:color w:val="auto"/>
              </w:rPr>
            </w:pPr>
          </w:p>
        </w:tc>
      </w:tr>
      <w:tr>
        <w:trPr>
          <w:trHeight w:val="69"/>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3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Model</w:t>
            </w: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T21</w:t>
            </w:r>
          </w:p>
        </w:tc>
        <w:tc>
          <w:tcPr>
            <w:tcW w:w="0" w:type="dxa"/>
            <w:vAlign w:val="bottom"/>
          </w:tcPr>
          <w:p>
            <w:pPr>
              <w:spacing w:after="0"/>
              <w:rPr>
                <w:sz w:val="1"/>
                <w:szCs w:val="1"/>
                <w:color w:val="auto"/>
              </w:rPr>
            </w:pPr>
          </w:p>
        </w:tc>
      </w:tr>
      <w:tr>
        <w:trPr>
          <w:trHeight w:val="69"/>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3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Rated hashrate per unit, T</w:t>
            </w: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190.00</w:t>
            </w:r>
          </w:p>
        </w:tc>
        <w:tc>
          <w:tcPr>
            <w:tcW w:w="0" w:type="dxa"/>
            <w:vAlign w:val="bottom"/>
          </w:tcPr>
          <w:p>
            <w:pPr>
              <w:spacing w:after="0"/>
              <w:rPr>
                <w:sz w:val="1"/>
                <w:szCs w:val="1"/>
                <w:color w:val="auto"/>
              </w:rPr>
            </w:pPr>
          </w:p>
        </w:tc>
      </w:tr>
      <w:tr>
        <w:trPr>
          <w:trHeight w:val="69"/>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3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Rated power per unit, W</w:t>
            </w: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3,610.00</w:t>
            </w:r>
          </w:p>
        </w:tc>
        <w:tc>
          <w:tcPr>
            <w:tcW w:w="0" w:type="dxa"/>
            <w:vAlign w:val="bottom"/>
          </w:tcPr>
          <w:p>
            <w:pPr>
              <w:spacing w:after="0"/>
              <w:rPr>
                <w:sz w:val="1"/>
                <w:szCs w:val="1"/>
                <w:color w:val="auto"/>
              </w:rPr>
            </w:pPr>
          </w:p>
        </w:tc>
      </w:tr>
      <w:tr>
        <w:trPr>
          <w:trHeight w:val="69"/>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3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J/T</w:t>
            </w: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19.00</w:t>
            </w:r>
          </w:p>
        </w:tc>
        <w:tc>
          <w:tcPr>
            <w:tcW w:w="0" w:type="dxa"/>
            <w:vAlign w:val="bottom"/>
          </w:tcPr>
          <w:p>
            <w:pPr>
              <w:spacing w:after="0"/>
              <w:rPr>
                <w:sz w:val="1"/>
                <w:szCs w:val="1"/>
                <w:color w:val="auto"/>
              </w:rPr>
            </w:pPr>
          </w:p>
        </w:tc>
      </w:tr>
      <w:tr>
        <w:trPr>
          <w:trHeight w:val="69"/>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3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Contracted Hashrate, T</w:t>
            </w: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7,105,240.00</w:t>
            </w:r>
          </w:p>
        </w:tc>
        <w:tc>
          <w:tcPr>
            <w:tcW w:w="0" w:type="dxa"/>
            <w:vAlign w:val="bottom"/>
          </w:tcPr>
          <w:p>
            <w:pPr>
              <w:spacing w:after="0"/>
              <w:rPr>
                <w:sz w:val="1"/>
                <w:szCs w:val="1"/>
                <w:color w:val="auto"/>
              </w:rPr>
            </w:pPr>
          </w:p>
        </w:tc>
      </w:tr>
      <w:tr>
        <w:trPr>
          <w:trHeight w:val="69"/>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3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Quantity of the Products</w:t>
            </w: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37,396</w:t>
            </w:r>
          </w:p>
        </w:tc>
        <w:tc>
          <w:tcPr>
            <w:tcW w:w="0" w:type="dxa"/>
            <w:vAlign w:val="bottom"/>
          </w:tcPr>
          <w:p>
            <w:pPr>
              <w:spacing w:after="0"/>
              <w:rPr>
                <w:sz w:val="1"/>
                <w:szCs w:val="1"/>
                <w:color w:val="auto"/>
              </w:rPr>
            </w:pPr>
          </w:p>
        </w:tc>
      </w:tr>
      <w:tr>
        <w:trPr>
          <w:trHeight w:val="69"/>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7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3820" w:type="dxa"/>
            <w:vAlign w:val="bottom"/>
            <w:tcBorders>
              <w:left w:val="single" w:sz="8" w:color="auto"/>
              <w:right w:val="single" w:sz="8" w:color="auto"/>
            </w:tcBorders>
          </w:tcPr>
          <w:p>
            <w:pPr>
              <w:spacing w:after="0"/>
              <w:rPr>
                <w:sz w:val="24"/>
                <w:szCs w:val="24"/>
                <w:color w:val="auto"/>
              </w:rPr>
            </w:pP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 BITMAIN undertakes that the error range of the J/T indicator does not</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tcPr>
          <w:p>
            <w:pPr>
              <w:spacing w:after="0"/>
              <w:rPr>
                <w:sz w:val="21"/>
                <w:szCs w:val="21"/>
                <w:color w:val="auto"/>
              </w:rPr>
            </w:pPr>
          </w:p>
        </w:tc>
        <w:tc>
          <w:tcPr>
            <w:tcW w:w="7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exceed 10%.</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tcPr>
          <w:p>
            <w:pPr>
              <w:spacing w:after="0"/>
              <w:rPr>
                <w:sz w:val="21"/>
                <w:szCs w:val="21"/>
                <w:color w:val="auto"/>
              </w:rPr>
            </w:pPr>
          </w:p>
        </w:tc>
        <w:tc>
          <w:tcPr>
            <w:tcW w:w="7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2. The Rated Hashrate per Unit and rated power per unit are for reference only</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tcPr>
          <w:p>
            <w:pPr>
              <w:spacing w:after="0"/>
              <w:rPr>
                <w:sz w:val="21"/>
                <w:szCs w:val="21"/>
                <w:color w:val="auto"/>
              </w:rPr>
            </w:pPr>
          </w:p>
        </w:tc>
        <w:tc>
          <w:tcPr>
            <w:tcW w:w="7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and such indicator of each batch or unit of Products may differ. BITMAIN</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tcPr>
          <w:p>
            <w:pPr>
              <w:spacing w:after="0"/>
              <w:rPr>
                <w:sz w:val="21"/>
                <w:szCs w:val="21"/>
                <w:color w:val="auto"/>
              </w:rPr>
            </w:pPr>
          </w:p>
        </w:tc>
        <w:tc>
          <w:tcPr>
            <w:tcW w:w="7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makes no representation on the Rated Hashrate per Unit and/or the rated power</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Description</w:t>
            </w:r>
          </w:p>
        </w:tc>
        <w:tc>
          <w:tcPr>
            <w:tcW w:w="7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per unit of any Products.</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vMerge w:val="continue"/>
          </w:tcPr>
          <w:p>
            <w:pPr>
              <w:spacing w:after="0"/>
              <w:rPr>
                <w:sz w:val="21"/>
                <w:szCs w:val="21"/>
                <w:color w:val="auto"/>
              </w:rPr>
            </w:pPr>
          </w:p>
        </w:tc>
        <w:tc>
          <w:tcPr>
            <w:tcW w:w="7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3. Purchaser shall not reject the Products on the grounds that the parameters of</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tcPr>
          <w:p>
            <w:pPr>
              <w:spacing w:after="0"/>
              <w:rPr>
                <w:sz w:val="21"/>
                <w:szCs w:val="21"/>
                <w:color w:val="auto"/>
              </w:rPr>
            </w:pPr>
          </w:p>
        </w:tc>
        <w:tc>
          <w:tcPr>
            <w:tcW w:w="7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delivered Products are not in consistence with the</w:t>
            </w:r>
          </w:p>
        </w:tc>
        <w:tc>
          <w:tcPr>
            <w:tcW w:w="0" w:type="dxa"/>
            <w:vAlign w:val="bottom"/>
          </w:tcPr>
          <w:p>
            <w:pPr>
              <w:spacing w:after="0"/>
              <w:rPr>
                <w:sz w:val="1"/>
                <w:szCs w:val="1"/>
                <w:color w:val="auto"/>
              </w:rPr>
            </w:pPr>
          </w:p>
        </w:tc>
      </w:tr>
      <w:tr>
        <w:trPr>
          <w:trHeight w:val="282"/>
        </w:trPr>
        <w:tc>
          <w:tcPr>
            <w:tcW w:w="3820" w:type="dxa"/>
            <w:vAlign w:val="bottom"/>
            <w:tcBorders>
              <w:left w:val="single" w:sz="8" w:color="auto"/>
              <w:right w:val="single" w:sz="8" w:color="auto"/>
            </w:tcBorders>
          </w:tcPr>
          <w:p>
            <w:pPr>
              <w:spacing w:after="0"/>
              <w:rPr>
                <w:sz w:val="24"/>
                <w:szCs w:val="24"/>
                <w:color w:val="auto"/>
              </w:rPr>
            </w:pPr>
          </w:p>
        </w:tc>
        <w:tc>
          <w:tcPr>
            <w:tcW w:w="7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reference indicators.</w:t>
            </w:r>
          </w:p>
        </w:tc>
        <w:tc>
          <w:tcPr>
            <w:tcW w:w="0" w:type="dxa"/>
            <w:vAlign w:val="bottom"/>
          </w:tcPr>
          <w:p>
            <w:pPr>
              <w:spacing w:after="0"/>
              <w:rPr>
                <w:sz w:val="1"/>
                <w:szCs w:val="1"/>
                <w:color w:val="auto"/>
              </w:rPr>
            </w:pPr>
          </w:p>
        </w:tc>
      </w:tr>
      <w:tr>
        <w:trPr>
          <w:trHeight w:val="999"/>
        </w:trPr>
        <w:tc>
          <w:tcPr>
            <w:tcW w:w="3820" w:type="dxa"/>
            <w:vAlign w:val="bottom"/>
            <w:tcBorders>
              <w:left w:val="single" w:sz="8" w:color="auto"/>
              <w:bottom w:val="single" w:sz="8" w:color="auto"/>
              <w:right w:val="single" w:sz="8" w:color="auto"/>
            </w:tcBorders>
          </w:tcPr>
          <w:p>
            <w:pPr>
              <w:spacing w:after="0"/>
              <w:rPr>
                <w:sz w:val="24"/>
                <w:szCs w:val="24"/>
                <w:color w:val="auto"/>
              </w:rPr>
            </w:pPr>
          </w:p>
        </w:tc>
        <w:tc>
          <w:tcPr>
            <w:tcW w:w="7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697" w:right="439" w:bottom="1440" w:gutter="0" w:footer="0" w:header="0"/>
        </w:sectPr>
      </w:pPr>
    </w:p>
    <w:bookmarkStart w:id="271" w:name="page272"/>
    <w:bookmarkEnd w:id="271"/>
    <w:p>
      <w:pPr>
        <w:ind w:left="-8" w:right="280" w:firstLine="8"/>
        <w:spacing w:after="0" w:line="286" w:lineRule="auto"/>
        <w:tabs>
          <w:tab w:leader="none" w:pos="307"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12" w:right="340"/>
        <w:spacing w:after="0" w:line="258" w:lineRule="auto"/>
        <w:rPr>
          <w:sz w:val="20"/>
          <w:szCs w:val="20"/>
          <w:color w:val="auto"/>
        </w:rPr>
      </w:pPr>
      <w:r>
        <w:rPr>
          <w:rFonts w:ascii="Times New Roman" w:cs="Times New Roman" w:eastAsia="Times New Roman" w:hAnsi="Times New Roman"/>
          <w:sz w:val="22"/>
          <w:szCs w:val="22"/>
          <w:color w:val="auto"/>
        </w:rPr>
        <w:t>1.2 It is estimated that each batch of Products shall be purchased and delivered in accordance with the following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42" w:type="dxa"/>
        <w:tblCellMar>
          <w:top w:w="0" w:type="dxa"/>
          <w:left w:w="0" w:type="dxa"/>
          <w:bottom w:w="0" w:type="dxa"/>
          <w:right w:w="0" w:type="dxa"/>
        </w:tblCellMar>
      </w:tblPr>
      <w:tr>
        <w:trPr>
          <w:trHeight w:val="241"/>
        </w:trPr>
        <w:tc>
          <w:tcPr>
            <w:tcW w:w="1140" w:type="dxa"/>
            <w:vAlign w:val="bottom"/>
            <w:tcBorders>
              <w:top w:val="single" w:sz="8" w:color="auto"/>
              <w:left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1320" w:type="dxa"/>
            <w:vAlign w:val="bottom"/>
            <w:tcBorders>
              <w:top w:val="single" w:sz="8" w:color="auto"/>
              <w:right w:val="single" w:sz="8" w:color="auto"/>
            </w:tcBorders>
          </w:tcPr>
          <w:p>
            <w:pPr>
              <w:jc w:val="center"/>
              <w:ind w:right="172"/>
              <w:spacing w:after="0" w:line="242" w:lineRule="exact"/>
              <w:rPr>
                <w:sz w:val="20"/>
                <w:szCs w:val="20"/>
                <w:color w:val="auto"/>
              </w:rPr>
            </w:pPr>
            <w:r>
              <w:rPr>
                <w:rFonts w:ascii="Times New Roman" w:cs="Times New Roman" w:eastAsia="Times New Roman" w:hAnsi="Times New Roman"/>
                <w:sz w:val="22"/>
                <w:szCs w:val="22"/>
                <w:b w:val="1"/>
                <w:bCs w:val="1"/>
                <w:color w:val="auto"/>
                <w:w w:val="99"/>
              </w:rPr>
              <w:t>Shipping</w:t>
            </w:r>
          </w:p>
        </w:tc>
        <w:tc>
          <w:tcPr>
            <w:tcW w:w="1440" w:type="dxa"/>
            <w:vAlign w:val="bottom"/>
            <w:tcBorders>
              <w:top w:val="single" w:sz="8" w:color="auto"/>
              <w:right w:val="single" w:sz="8" w:color="auto"/>
            </w:tcBorders>
          </w:tcPr>
          <w:p>
            <w:pPr>
              <w:jc w:val="right"/>
              <w:ind w:right="312"/>
              <w:spacing w:after="0" w:line="242" w:lineRule="exact"/>
              <w:rPr>
                <w:sz w:val="20"/>
                <w:szCs w:val="20"/>
                <w:color w:val="auto"/>
              </w:rPr>
            </w:pPr>
            <w:r>
              <w:rPr>
                <w:rFonts w:ascii="Times New Roman" w:cs="Times New Roman" w:eastAsia="Times New Roman" w:hAnsi="Times New Roman"/>
                <w:sz w:val="22"/>
                <w:szCs w:val="22"/>
                <w:b w:val="1"/>
                <w:bCs w:val="1"/>
                <w:color w:val="auto"/>
              </w:rPr>
              <w:t>Reference</w:t>
            </w:r>
          </w:p>
        </w:tc>
        <w:tc>
          <w:tcPr>
            <w:tcW w:w="1640" w:type="dxa"/>
            <w:vAlign w:val="bottom"/>
            <w:tcBorders>
              <w:top w:val="single" w:sz="8" w:color="auto"/>
              <w:right w:val="single" w:sz="8" w:color="auto"/>
            </w:tcBorders>
          </w:tcPr>
          <w:p>
            <w:pPr>
              <w:jc w:val="right"/>
              <w:ind w:right="352"/>
              <w:spacing w:after="0" w:line="242" w:lineRule="exact"/>
              <w:rPr>
                <w:sz w:val="20"/>
                <w:szCs w:val="20"/>
                <w:color w:val="auto"/>
              </w:rPr>
            </w:pPr>
            <w:r>
              <w:rPr>
                <w:rFonts w:ascii="Times New Roman" w:cs="Times New Roman" w:eastAsia="Times New Roman" w:hAnsi="Times New Roman"/>
                <w:sz w:val="22"/>
                <w:szCs w:val="22"/>
                <w:b w:val="1"/>
                <w:bCs w:val="1"/>
                <w:color w:val="auto"/>
              </w:rPr>
              <w:t>Total Rated</w:t>
            </w:r>
          </w:p>
        </w:tc>
        <w:tc>
          <w:tcPr>
            <w:tcW w:w="1880" w:type="dxa"/>
            <w:vAlign w:val="bottom"/>
            <w:tcBorders>
              <w:top w:val="single" w:sz="8" w:color="auto"/>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b w:val="1"/>
                <w:bCs w:val="1"/>
                <w:color w:val="auto"/>
              </w:rPr>
              <w:t>Purchase Unit</w:t>
            </w:r>
          </w:p>
        </w:tc>
        <w:tc>
          <w:tcPr>
            <w:tcW w:w="2520" w:type="dxa"/>
            <w:vAlign w:val="bottom"/>
            <w:tcBorders>
              <w:top w:val="single" w:sz="8" w:color="auto"/>
              <w:right w:val="single" w:sz="8" w:color="auto"/>
            </w:tcBorders>
          </w:tcPr>
          <w:p>
            <w:pPr>
              <w:ind w:left="40"/>
              <w:spacing w:after="0" w:line="242" w:lineRule="exact"/>
              <w:rPr>
                <w:sz w:val="20"/>
                <w:szCs w:val="20"/>
                <w:color w:val="auto"/>
              </w:rPr>
            </w:pPr>
            <w:r>
              <w:rPr>
                <w:rFonts w:ascii="Times New Roman" w:cs="Times New Roman" w:eastAsia="Times New Roman" w:hAnsi="Times New Roman"/>
                <w:sz w:val="22"/>
                <w:szCs w:val="22"/>
                <w:b w:val="1"/>
                <w:bCs w:val="1"/>
                <w:color w:val="auto"/>
              </w:rPr>
              <w:t>Corresponding Total</w:t>
            </w:r>
          </w:p>
        </w:tc>
        <w:tc>
          <w:tcPr>
            <w:tcW w:w="0" w:type="dxa"/>
            <w:vAlign w:val="bottom"/>
          </w:tcPr>
          <w:p>
            <w:pPr>
              <w:spacing w:after="0"/>
              <w:rPr>
                <w:sz w:val="1"/>
                <w:szCs w:val="1"/>
                <w:color w:val="auto"/>
              </w:rPr>
            </w:pPr>
          </w:p>
        </w:tc>
      </w:tr>
      <w:tr>
        <w:trPr>
          <w:trHeight w:val="313"/>
        </w:trPr>
        <w:tc>
          <w:tcPr>
            <w:tcW w:w="11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Batch</w:t>
            </w:r>
          </w:p>
        </w:tc>
        <w:tc>
          <w:tcPr>
            <w:tcW w:w="10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Model</w:t>
            </w:r>
          </w:p>
        </w:tc>
        <w:tc>
          <w:tcPr>
            <w:tcW w:w="13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144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Quantity</w:t>
            </w:r>
          </w:p>
        </w:tc>
        <w:tc>
          <w:tcPr>
            <w:tcW w:w="164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Hashrate (T)</w:t>
            </w:r>
          </w:p>
        </w:tc>
        <w:tc>
          <w:tcPr>
            <w:tcW w:w="1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Price(US$/T)</w:t>
            </w: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Purchase Price(US$)</w:t>
            </w:r>
          </w:p>
        </w:tc>
        <w:tc>
          <w:tcPr>
            <w:tcW w:w="0" w:type="dxa"/>
            <w:vAlign w:val="bottom"/>
          </w:tcPr>
          <w:p>
            <w:pPr>
              <w:spacing w:after="0"/>
              <w:rPr>
                <w:sz w:val="1"/>
                <w:szCs w:val="1"/>
                <w:color w:val="auto"/>
              </w:rPr>
            </w:pPr>
          </w:p>
        </w:tc>
      </w:tr>
      <w:tr>
        <w:trPr>
          <w:trHeight w:val="227"/>
        </w:trPr>
        <w:tc>
          <w:tcPr>
            <w:tcW w:w="114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1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SALE-</w:t>
            </w:r>
          </w:p>
        </w:tc>
        <w:tc>
          <w:tcPr>
            <w:tcW w:w="108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1205-</w:t>
            </w:r>
          </w:p>
        </w:tc>
        <w:tc>
          <w:tcPr>
            <w:tcW w:w="1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T21</w:t>
            </w:r>
          </w:p>
        </w:tc>
        <w:tc>
          <w:tcPr>
            <w:tcW w:w="1320" w:type="dxa"/>
            <w:vAlign w:val="bottom"/>
            <w:tcBorders>
              <w:right w:val="single" w:sz="8" w:color="auto"/>
            </w:tcBorders>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7"/>
              </w:rPr>
              <w:t>April 2025</w:t>
            </w:r>
          </w:p>
        </w:tc>
        <w:tc>
          <w:tcPr>
            <w:tcW w:w="1440" w:type="dxa"/>
            <w:vAlign w:val="bottom"/>
            <w:tcBorders>
              <w:right w:val="single" w:sz="8" w:color="auto"/>
            </w:tcBorders>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rPr>
              <w:t>37,396</w:t>
            </w:r>
          </w:p>
        </w:tc>
        <w:tc>
          <w:tcPr>
            <w:tcW w:w="1640" w:type="dxa"/>
            <w:vAlign w:val="bottom"/>
            <w:tcBorders>
              <w:right w:val="single" w:sz="8" w:color="auto"/>
            </w:tcBorders>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7,105,240.00</w:t>
            </w:r>
          </w:p>
        </w:tc>
        <w:tc>
          <w:tcPr>
            <w:tcW w:w="18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14.00</w:t>
            </w:r>
          </w:p>
        </w:tc>
        <w:tc>
          <w:tcPr>
            <w:tcW w:w="25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99,473,360.00</w:t>
            </w:r>
          </w:p>
        </w:tc>
        <w:tc>
          <w:tcPr>
            <w:tcW w:w="0" w:type="dxa"/>
            <w:vAlign w:val="bottom"/>
          </w:tcPr>
          <w:p>
            <w:pPr>
              <w:spacing w:after="0"/>
              <w:rPr>
                <w:sz w:val="1"/>
                <w:szCs w:val="1"/>
                <w:color w:val="auto"/>
              </w:rPr>
            </w:pPr>
          </w:p>
        </w:tc>
      </w:tr>
      <w:tr>
        <w:trPr>
          <w:trHeight w:val="175"/>
        </w:trPr>
        <w:tc>
          <w:tcPr>
            <w:tcW w:w="1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2023-</w:t>
            </w:r>
          </w:p>
        </w:tc>
        <w:tc>
          <w:tcPr>
            <w:tcW w:w="108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44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2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1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T21-1-03</w:t>
            </w:r>
          </w:p>
        </w:tc>
        <w:tc>
          <w:tcPr>
            <w:tcW w:w="108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1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1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 Total</w:t>
            </w:r>
          </w:p>
        </w:tc>
        <w:tc>
          <w:tcPr>
            <w:tcW w:w="108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37,396</w:t>
            </w:r>
          </w:p>
        </w:tc>
        <w:tc>
          <w:tcPr>
            <w:tcW w:w="16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99,473,360.00</w:t>
            </w:r>
          </w:p>
        </w:tc>
        <w:tc>
          <w:tcPr>
            <w:tcW w:w="0" w:type="dxa"/>
            <w:vAlign w:val="bottom"/>
          </w:tcPr>
          <w:p>
            <w:pPr>
              <w:spacing w:after="0"/>
              <w:rPr>
                <w:sz w:val="1"/>
                <w:szCs w:val="1"/>
                <w:color w:val="auto"/>
              </w:rPr>
            </w:pPr>
          </w:p>
        </w:tc>
      </w:tr>
      <w:tr>
        <w:trPr>
          <w:trHeight w:val="55"/>
        </w:trPr>
        <w:tc>
          <w:tcPr>
            <w:tcW w:w="1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0"/>
          <w:szCs w:val="20"/>
          <w:color w:val="auto"/>
        </w:rPr>
        <w:t>1.3 Total Purchase Price (tax exclusive): US$ 99,473,360.00 (exclusive of Call Purchase Fee, Call Purchase Price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12" w:right="340"/>
        <w:spacing w:after="0" w:line="239" w:lineRule="auto"/>
        <w:rPr>
          <w:sz w:val="20"/>
          <w:szCs w:val="20"/>
          <w:color w:val="auto"/>
        </w:rPr>
      </w:pPr>
      <w:r>
        <w:rPr>
          <w:rFonts w:ascii="Times New Roman" w:cs="Times New Roman" w:eastAsia="Times New Roman" w:hAnsi="Times New Roman"/>
          <w:sz w:val="22"/>
          <w:szCs w:val="22"/>
          <w:color w:val="auto"/>
        </w:rPr>
        <w:t>1.4 BITMAIN represents that all Products shall have a country of origin other than China and/or any OFAC-Sanctioned country. Purchaser may reject any Products with a country of origin inside China or any other OFAC-Sanctioned country and BITMAIN shall replace and provide identical Product manufactured in accordance herewith, per the inspection provisions as set out in in Section 4.13 of the Agreement.</w:t>
      </w:r>
    </w:p>
    <w:p>
      <w:pPr>
        <w:spacing w:after="0" w:line="314" w:lineRule="exact"/>
        <w:rPr>
          <w:sz w:val="20"/>
          <w:szCs w:val="20"/>
          <w:color w:val="auto"/>
        </w:rPr>
      </w:pPr>
    </w:p>
    <w:p>
      <w:pPr>
        <w:jc w:val="both"/>
        <w:ind w:left="112" w:right="340"/>
        <w:spacing w:after="0" w:line="237" w:lineRule="auto"/>
        <w:rPr>
          <w:sz w:val="20"/>
          <w:szCs w:val="20"/>
          <w:color w:val="auto"/>
        </w:rPr>
      </w:pPr>
      <w:r>
        <w:rPr>
          <w:rFonts w:ascii="Times New Roman" w:cs="Times New Roman" w:eastAsia="Times New Roman" w:hAnsi="Times New Roman"/>
          <w:sz w:val="22"/>
          <w:szCs w:val="22"/>
          <w:color w:val="auto"/>
        </w:rPr>
        <w:t>1.5 Both Parties confirm and agree that BITMAIN shall be entitled to adjust the quantity of each batch of Products based on the total hashrate; provided that, the total hashrate of the Products actually delivered by BITMAIN to the Purchaser shall not be less than the Contracted Hashrate as agreed in Clause 1.1 of this Appendix A. BITMAIN makes no representation that the quantity of the actually delivered Products shall be the same as the Quantity of the Products set forth in Clause 1.1 of this Appendix A.</w:t>
      </w:r>
    </w:p>
    <w:p>
      <w:pPr>
        <w:spacing w:after="0" w:line="207" w:lineRule="exact"/>
        <w:rPr>
          <w:sz w:val="20"/>
          <w:szCs w:val="20"/>
          <w:color w:val="auto"/>
        </w:rPr>
      </w:pPr>
    </w:p>
    <w:p>
      <w:pPr>
        <w:jc w:val="both"/>
        <w:ind w:left="112" w:right="320"/>
        <w:spacing w:after="0" w:line="237" w:lineRule="auto"/>
        <w:rPr>
          <w:sz w:val="20"/>
          <w:szCs w:val="20"/>
          <w:color w:val="auto"/>
        </w:rPr>
      </w:pPr>
      <w:r>
        <w:rPr>
          <w:rFonts w:ascii="Times New Roman" w:cs="Times New Roman" w:eastAsia="Times New Roman" w:hAnsi="Times New Roman"/>
          <w:sz w:val="22"/>
          <w:szCs w:val="22"/>
          <w:color w:val="auto"/>
        </w:rPr>
        <w:t>1.6 In the event that BITMAIN publishes any new type of products with less J/T value and suspends the production of the type of the Products as agreed in this Agreement, BITMAIN shall be entitled to release itself from any future obligation to deliver any subsequent Products by 10-day prior notice to the Purchaser and continue to deliver new types of products to the Purchaser, the total hashrate of which shall be no less than such subsequent Products replaced under this Agreement and the price of which</w:t>
      </w:r>
    </w:p>
    <w:p>
      <w:pPr>
        <w:spacing w:after="0" w:line="200" w:lineRule="exact"/>
        <w:rPr>
          <w:sz w:val="20"/>
          <w:szCs w:val="20"/>
          <w:color w:val="auto"/>
        </w:rPr>
      </w:pPr>
    </w:p>
    <w:p>
      <w:pPr>
        <w:spacing w:after="0" w:line="26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697" w:right="359" w:bottom="1440" w:gutter="0" w:footer="0" w:header="0"/>
        </w:sectPr>
      </w:pPr>
    </w:p>
    <w:bookmarkStart w:id="272" w:name="page273"/>
    <w:bookmarkEnd w:id="272"/>
    <w:p>
      <w:pPr>
        <w:ind w:left="-8" w:firstLine="8"/>
        <w:spacing w:after="0" w:line="286" w:lineRule="auto"/>
        <w:tabs>
          <w:tab w:leader="none" w:pos="307"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2" w:right="40" w:firstLine="377"/>
        <w:spacing w:after="0" w:line="236" w:lineRule="auto"/>
        <w:rPr>
          <w:sz w:val="20"/>
          <w:szCs w:val="20"/>
          <w:color w:val="auto"/>
        </w:rPr>
      </w:pPr>
      <w:r>
        <w:rPr>
          <w:rFonts w:ascii="Times New Roman" w:cs="Times New Roman" w:eastAsia="Times New Roman" w:hAnsi="Times New Roman"/>
          <w:sz w:val="22"/>
          <w:szCs w:val="22"/>
          <w:color w:val="auto"/>
        </w:rPr>
        <w:t>shall be determined in accordance with the J/T value. In the event that the Purchaser explicitly refuses to accept new types of products, the Purchaser is entitled to request, after two (2) years from the date of such refusal, for a refund of the remaining balance of the Total Purchase Price already paid by the Purchaser with no interest. If the Purchaser accepts the new types of Products delivered by BITMAIN, BITMAIN shall be obliged to deliver such new types of products to fulfill its obligations under this Agreement. The Purchaser may request to lower the total hashrate of the products delivered but shall not request to increase the total hashrate to the level exceeding the Contracted Hashrate.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12" w:right="40"/>
        <w:spacing w:after="0" w:line="236" w:lineRule="auto"/>
        <w:rPr>
          <w:sz w:val="20"/>
          <w:szCs w:val="20"/>
          <w:color w:val="auto"/>
        </w:rPr>
      </w:pPr>
      <w:r>
        <w:rPr>
          <w:rFonts w:ascii="Times New Roman" w:cs="Times New Roman" w:eastAsia="Times New Roman" w:hAnsi="Times New Roman"/>
          <w:sz w:val="22"/>
          <w:szCs w:val="22"/>
          <w:color w:val="auto"/>
        </w:rPr>
        <w:t>1.7 Both Parties hereby agree that the Purchaser shall be entitled to elect to change the Products and/or the Forward Deliverables (as defined in Appendix C) to any new type of products, to the extent such new type of products becomes reasonably available before the respective Shipping Periods of the Products hereunder and the Forward Deliverables, as applicable. If the J/T value of the new products is lower than that of the Products hereunder, the purchase unit price of the new products shall be separately negotiated and agreed upon in writing by both Parties. Otherwise, the purchase unit price of the new products shall remain the same as the Purchase Unit Price.</w:t>
      </w:r>
    </w:p>
    <w:p>
      <w:pPr>
        <w:spacing w:after="0" w:line="270"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b w:val="1"/>
          <w:bCs w:val="1"/>
          <w:color w:val="auto"/>
        </w:rPr>
        <w:t>2. Cargo insurance coverage limitations.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12" w:right="60"/>
        <w:spacing w:after="0" w:line="258" w:lineRule="auto"/>
        <w:rPr>
          <w:sz w:val="20"/>
          <w:szCs w:val="20"/>
          <w:color w:val="auto"/>
        </w:rPr>
      </w:pPr>
      <w:r>
        <w:rPr>
          <w:rFonts w:ascii="Times New Roman" w:cs="Times New Roman" w:eastAsia="Times New Roman" w:hAnsi="Times New Roman"/>
          <w:sz w:val="22"/>
          <w:szCs w:val="22"/>
          <w:color w:val="auto"/>
        </w:rPr>
        <w:t>2.1 This Clause 2 of Appendix A is only applicable if the Purchaser requests BITMAIN to send the Products pursuant to Clause 4.7.</w:t>
      </w:r>
    </w:p>
    <w:p>
      <w:pPr>
        <w:spacing w:after="0" w:line="184"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color w:val="auto"/>
        </w:rPr>
        <w:t>2.2 The cargo insurance coverage provided by BITMAIN is subject to the following limitations and exceptions:</w:t>
      </w:r>
    </w:p>
    <w:p>
      <w:pPr>
        <w:spacing w:after="0" w:line="23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(a) loss damage or expense attributable to willful misconduct of the Assured;</w:t>
      </w:r>
    </w:p>
    <w:p>
      <w:pPr>
        <w:spacing w:after="0" w:line="98" w:lineRule="exact"/>
        <w:rPr>
          <w:sz w:val="20"/>
          <w:szCs w:val="20"/>
          <w:color w:val="auto"/>
        </w:rPr>
      </w:pPr>
    </w:p>
    <w:p>
      <w:pPr>
        <w:ind w:left="752" w:right="60"/>
        <w:spacing w:after="0" w:line="237" w:lineRule="auto"/>
        <w:rPr>
          <w:sz w:val="20"/>
          <w:szCs w:val="20"/>
          <w:color w:val="auto"/>
        </w:rPr>
      </w:pPr>
      <w:r>
        <w:rPr>
          <w:rFonts w:ascii="Times New Roman" w:cs="Times New Roman" w:eastAsia="Times New Roman" w:hAnsi="Times New Roman"/>
          <w:sz w:val="22"/>
          <w:szCs w:val="22"/>
          <w:color w:val="auto"/>
        </w:rPr>
        <w:t>(b)ordinary leakage, ordinary loss in weight or volume, or ordinary wear and tear of the subject-matter insured; (c)loss damage or expense caused by insufficiency or unsuitability of packing or preparation of the subject-matter insured (for the purpose of this paragraph, “packing” shall be deemed to include stowage in a container or liftvan but only when such stowage is carried out prior to attachment of this insurance or by the Assured or their servants) (d) loss damage or expense caused by inherent vice or nature of the subject matter insured</w:t>
      </w:r>
    </w:p>
    <w:p>
      <w:pPr>
        <w:spacing w:after="0" w:line="86" w:lineRule="exact"/>
        <w:rPr>
          <w:sz w:val="20"/>
          <w:szCs w:val="20"/>
          <w:color w:val="auto"/>
        </w:rPr>
      </w:pPr>
    </w:p>
    <w:p>
      <w:pPr>
        <w:ind w:left="752" w:right="60"/>
        <w:spacing w:after="0" w:line="241" w:lineRule="auto"/>
        <w:rPr>
          <w:sz w:val="20"/>
          <w:szCs w:val="20"/>
          <w:color w:val="auto"/>
        </w:rPr>
      </w:pPr>
      <w:r>
        <w:rPr>
          <w:rFonts w:ascii="Times New Roman" w:cs="Times New Roman" w:eastAsia="Times New Roman" w:hAnsi="Times New Roman"/>
          <w:sz w:val="22"/>
          <w:szCs w:val="22"/>
          <w:color w:val="auto"/>
        </w:rPr>
        <w:t>(e)loss damage or expense proximately caused by delay, even though the delay be caused by a risk insured against (except expenses payable);</w:t>
      </w:r>
    </w:p>
    <w:p>
      <w:pPr>
        <w:spacing w:after="0" w:line="1" w:lineRule="exact"/>
        <w:rPr>
          <w:sz w:val="20"/>
          <w:szCs w:val="20"/>
          <w:color w:val="auto"/>
        </w:rPr>
      </w:pPr>
    </w:p>
    <w:p>
      <w:pPr>
        <w:ind w:left="752" w:right="60" w:hanging="3"/>
        <w:spacing w:after="0" w:line="237" w:lineRule="auto"/>
        <w:tabs>
          <w:tab w:leader="none" w:pos="101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damage or expense arising from insolvency or financial default of the owners managers charterers or operators of the vessel;</w:t>
      </w:r>
    </w:p>
    <w:p>
      <w:pPr>
        <w:spacing w:after="0" w:line="200" w:lineRule="exact"/>
        <w:rPr>
          <w:sz w:val="20"/>
          <w:szCs w:val="20"/>
          <w:color w:val="auto"/>
        </w:rPr>
      </w:pPr>
    </w:p>
    <w:p>
      <w:pPr>
        <w:spacing w:after="0" w:line="24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73" w:name="page274"/>
    <w:bookmarkEnd w:id="273"/>
    <w:p>
      <w:pPr>
        <w:ind w:firstLine="8"/>
        <w:spacing w:after="0" w:line="286" w:lineRule="auto"/>
        <w:tabs>
          <w:tab w:leader="none" w:pos="315"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60" w:right="40"/>
        <w:spacing w:after="0" w:line="241" w:lineRule="auto"/>
        <w:rPr>
          <w:sz w:val="20"/>
          <w:szCs w:val="20"/>
          <w:color w:val="auto"/>
        </w:rPr>
      </w:pPr>
      <w:r>
        <w:rPr>
          <w:rFonts w:ascii="Times New Roman" w:cs="Times New Roman" w:eastAsia="Times New Roman" w:hAnsi="Times New Roman"/>
          <w:sz w:val="22"/>
          <w:szCs w:val="22"/>
          <w:color w:val="auto"/>
        </w:rPr>
        <w:t>(g)loss, damage, or expense arising from the use of any weapon of war employing atomic or nuclear fission, and/or fusion or other like reaction or radioactive force or matter;</w:t>
      </w:r>
    </w:p>
    <w:p>
      <w:pPr>
        <w:spacing w:after="0" w:line="1" w:lineRule="exact"/>
        <w:rPr>
          <w:sz w:val="20"/>
          <w:szCs w:val="20"/>
          <w:color w:val="auto"/>
        </w:rPr>
      </w:pPr>
    </w:p>
    <w:p>
      <w:pPr>
        <w:jc w:val="both"/>
        <w:ind w:left="760" w:right="60"/>
        <w:spacing w:after="0" w:line="230" w:lineRule="auto"/>
        <w:rPr>
          <w:sz w:val="20"/>
          <w:szCs w:val="20"/>
          <w:color w:val="auto"/>
        </w:rPr>
      </w:pPr>
      <w:r>
        <w:rPr>
          <w:rFonts w:ascii="Times New Roman" w:cs="Times New Roman" w:eastAsia="Times New Roman" w:hAnsi="Times New Roman"/>
          <w:sz w:val="22"/>
          <w:szCs w:val="22"/>
          <w:color w:val="auto"/>
        </w:rPr>
        <w:t>(h)loss, damage or expense arising from unseaworthiness of vessel or craft, unfitness of vessel craft conveyance container or liftvan for the safe carriage of the subject-matter insured, where the Assured or their servants are privy to such unseaworthiness or unfitness, at the time the subject-matter insured is loaded therein;</w:t>
      </w:r>
    </w:p>
    <w:p>
      <w:pPr>
        <w:spacing w:after="0" w:line="1" w:lineRule="exact"/>
        <w:rPr>
          <w:sz w:val="20"/>
          <w:szCs w:val="20"/>
          <w:color w:val="auto"/>
        </w:rPr>
      </w:pPr>
    </w:p>
    <w:p>
      <w:pPr>
        <w:jc w:val="both"/>
        <w:ind w:left="760" w:right="60" w:hanging="3"/>
        <w:spacing w:after="0" w:line="230" w:lineRule="auto"/>
        <w:tabs>
          <w:tab w:leader="none" w:pos="102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waive any breach of the implied warranties of seaworthiness of the ship and fitness of the ship to carry the subject-matter insured to destination, unless the Assured or their servants are privy to such unseaworthiness or unfitness;</w:t>
      </w:r>
    </w:p>
    <w:p>
      <w:pPr>
        <w:jc w:val="both"/>
        <w:ind w:left="760" w:right="60" w:hanging="3"/>
        <w:spacing w:after="0" w:line="230" w:lineRule="auto"/>
        <w:tabs>
          <w:tab w:leader="none" w:pos="102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damage or expense caused by (1) war, civil war, revolution, rebellion, insurrection, or civil strife arising therefrom, or any hostile act by or against a belligerent power, (2) capture, seizure, arrest, restraint or detainment (piracy excepted), and the consequences thereof or any attempt threat, (3) derelict mines, torpedoes, bombs, or other derelict weapons of war; and</w:t>
      </w:r>
    </w:p>
    <w:p>
      <w:pPr>
        <w:spacing w:after="0" w:line="1" w:lineRule="exact"/>
        <w:rPr>
          <w:rFonts w:ascii="Times New Roman" w:cs="Times New Roman" w:eastAsia="Times New Roman" w:hAnsi="Times New Roman"/>
          <w:sz w:val="22"/>
          <w:szCs w:val="22"/>
          <w:color w:val="auto"/>
        </w:rPr>
      </w:pPr>
    </w:p>
    <w:p>
      <w:pPr>
        <w:jc w:val="both"/>
        <w:ind w:left="760" w:right="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(k)loss, damage, or expense caused by strikers, locked-out workmen, or persons taking part in labor disturbances, riots or civil commotion, resulting from strikes, lock-outs, labor disturbances, riots or civil commotions, caused by any terrorist or any person acting from a political motive.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380" w:hanging="253"/>
        <w:spacing w:after="0"/>
        <w:tabs>
          <w:tab w:leader="none" w:pos="380"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the Total Purchase Price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3.1 BITMAIN’s BANK ACCOUNT info: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Company Name: Bitmain Technologies Delaware Limited</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Company Address: 840 New Burton Street, Suite 201, Dover, Delaware, DE 19904 Account Number: ***</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Currency: USD</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Incoming Domestic (US) Wires:</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Beneficiary Bank: ***</w:t>
      </w:r>
    </w:p>
    <w:p>
      <w:pPr>
        <w:spacing w:after="0" w:line="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Beneficiary Bank ABA: ***</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Beneficiary Bank Address: ***</w:t>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International Incoming Wires: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Receiving Bank: ***</w:t>
      </w:r>
    </w:p>
    <w:p>
      <w:pPr>
        <w:spacing w:after="0" w:line="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Receiving Bank SWIFT Code: ***</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97" w:right="639" w:bottom="1440" w:gutter="0" w:footer="0" w:header="0"/>
        </w:sectPr>
      </w:pPr>
    </w:p>
    <w:bookmarkStart w:id="274" w:name="page275"/>
    <w:bookmarkEnd w:id="274"/>
    <w:p>
      <w:pPr>
        <w:ind w:left="-8" w:firstLine="8"/>
        <w:spacing w:after="0" w:line="286" w:lineRule="auto"/>
        <w:tabs>
          <w:tab w:leader="none" w:pos="307"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Receiving Bank Address: ***</w:t>
      </w:r>
    </w:p>
    <w:p>
      <w:pPr>
        <w:spacing w:after="0" w:line="3"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22"/>
          <w:szCs w:val="22"/>
          <w:color w:val="auto"/>
        </w:rPr>
        <w:t>Beneficiary Bank: ***</w:t>
      </w:r>
    </w:p>
    <w:p>
      <w:pPr>
        <w:ind w:left="752"/>
        <w:spacing w:after="0"/>
        <w:rPr>
          <w:sz w:val="20"/>
          <w:szCs w:val="20"/>
          <w:color w:val="auto"/>
        </w:rPr>
      </w:pPr>
      <w:r>
        <w:rPr>
          <w:rFonts w:ascii="Times New Roman" w:cs="Times New Roman" w:eastAsia="Times New Roman" w:hAnsi="Times New Roman"/>
          <w:sz w:val="22"/>
          <w:szCs w:val="22"/>
          <w:color w:val="auto"/>
        </w:rPr>
        <w:t>Beneficiary Bank ABA: ***</w:t>
      </w:r>
    </w:p>
    <w:p>
      <w:pPr>
        <w:spacing w:after="0" w:line="7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Beneficiary Bank Address: ***</w:t>
      </w:r>
    </w:p>
    <w:p>
      <w:pPr>
        <w:spacing w:after="0" w:line="340"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2"/>
          <w:szCs w:val="22"/>
          <w:color w:val="auto"/>
        </w:rPr>
        <w:t>3.2 The payment shall be arranged by the Purchaser as Appendix B.</w:t>
      </w:r>
    </w:p>
    <w:p>
      <w:pPr>
        <w:spacing w:after="0" w:line="340" w:lineRule="exact"/>
        <w:rPr>
          <w:sz w:val="20"/>
          <w:szCs w:val="20"/>
          <w:color w:val="auto"/>
        </w:rPr>
      </w:pPr>
    </w:p>
    <w:p>
      <w:pPr>
        <w:jc w:val="both"/>
        <w:ind w:left="112" w:right="40"/>
        <w:spacing w:after="0" w:line="234" w:lineRule="auto"/>
        <w:rPr>
          <w:sz w:val="20"/>
          <w:szCs w:val="20"/>
          <w:color w:val="auto"/>
        </w:rPr>
      </w:pPr>
      <w:r>
        <w:rPr>
          <w:rFonts w:ascii="Times New Roman" w:cs="Times New Roman" w:eastAsia="Times New Roman" w:hAnsi="Times New Roman"/>
          <w:sz w:val="22"/>
          <w:szCs w:val="22"/>
          <w:color w:val="auto"/>
        </w:rPr>
        <w:t>3.3 Without prejudice to any provisions hereof, the Purchase Unit Price and the Total Purchase Price of the Products and any amount paid or payable by the Purchaser under this Agreement shall be denominated and paid by the Purchaser in US Dollars (US$). In the event that the Parties agree that the Purchaser may make payment under this Agreement in Digital Currency, unless otherwise explicitly specified herein, the amount of the Digital Currency payable by the Purchaser, if converted in US$ using the spot rate at the time of such payment (the “</w:t>
      </w:r>
      <w:r>
        <w:rPr>
          <w:rFonts w:ascii="Times New Roman" w:cs="Times New Roman" w:eastAsia="Times New Roman" w:hAnsi="Times New Roman"/>
          <w:sz w:val="22"/>
          <w:szCs w:val="22"/>
          <w:b w:val="1"/>
          <w:bCs w:val="1"/>
          <w:color w:val="auto"/>
        </w:rPr>
        <w:t>Return Spot Rate</w:t>
      </w:r>
      <w:r>
        <w:rPr>
          <w:rFonts w:ascii="Times New Roman" w:cs="Times New Roman" w:eastAsia="Times New Roman" w:hAnsi="Times New Roman"/>
          <w:sz w:val="22"/>
          <w:szCs w:val="22"/>
          <w:color w:val="auto"/>
        </w:rPr>
        <w:t>”), shall be no less than the amount that BITMAIN would receive in US$. The Return Spot Rate of such Digital Currency shall be determined by BITMAIN. Unless otherwise agreed by BITMAIN, where the Parties agree that the Purchaser may make payment under this Agreement in Digital Currency, the designated Digital Currency shall be USDT. In any circumstance, the Purchaser shall not ask for any refund due to the change of exchange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697" w:right="639" w:bottom="1440" w:gutter="0" w:footer="0" w:header="0"/>
        </w:sectPr>
      </w:pPr>
    </w:p>
    <w:bookmarkStart w:id="275" w:name="page276"/>
    <w:bookmarkEnd w:id="275"/>
    <w:p>
      <w:pPr>
        <w:ind w:right="200" w:firstLine="8"/>
        <w:spacing w:after="0" w:line="286" w:lineRule="auto"/>
        <w:tabs>
          <w:tab w:leader="none" w:pos="315"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APPENDIX B</w:t>
            </w:r>
          </w:p>
        </w:tc>
        <w:tc>
          <w:tcPr>
            <w:tcW w:w="18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right"/>
              <w:ind w:right="572"/>
              <w:spacing w:after="0" w:line="214" w:lineRule="exact"/>
              <w:rPr>
                <w:sz w:val="20"/>
                <w:szCs w:val="20"/>
                <w:color w:val="auto"/>
              </w:rPr>
            </w:pPr>
            <w:r>
              <w:rPr>
                <w:rFonts w:ascii="Times New Roman" w:cs="Times New Roman" w:eastAsia="Times New Roman" w:hAnsi="Times New Roman"/>
                <w:sz w:val="22"/>
                <w:szCs w:val="22"/>
                <w:b w:val="1"/>
                <w:bCs w:val="1"/>
                <w:color w:val="auto"/>
              </w:rPr>
              <w:t>Payment</w:t>
            </w:r>
          </w:p>
        </w:tc>
        <w:tc>
          <w:tcPr>
            <w:tcW w:w="6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800" w:type="dxa"/>
            <w:vAlign w:val="bottom"/>
            <w:tcBorders>
              <w:right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Percentage</w:t>
            </w:r>
          </w:p>
        </w:tc>
        <w:tc>
          <w:tcPr>
            <w:tcW w:w="6800" w:type="dxa"/>
            <w:vAlign w:val="bottom"/>
            <w:tcBorders>
              <w:right w:val="single" w:sz="8" w:color="auto"/>
            </w:tcBorders>
          </w:tcPr>
          <w:p>
            <w:pPr>
              <w:ind w:left="2740"/>
              <w:spacing w:after="0"/>
              <w:rPr>
                <w:sz w:val="20"/>
                <w:szCs w:val="20"/>
                <w:color w:val="auto"/>
              </w:rPr>
            </w:pPr>
            <w:r>
              <w:rPr>
                <w:rFonts w:ascii="Times New Roman" w:cs="Times New Roman" w:eastAsia="Times New Roman" w:hAnsi="Times New Roman"/>
                <w:sz w:val="22"/>
                <w:szCs w:val="22"/>
                <w:b w:val="1"/>
                <w:bCs w:val="1"/>
                <w:color w:val="auto"/>
              </w:rPr>
              <w:t>Payment Date</w:t>
            </w:r>
          </w:p>
        </w:tc>
        <w:tc>
          <w:tcPr>
            <w:tcW w:w="0" w:type="dxa"/>
            <w:vAlign w:val="bottom"/>
          </w:tcPr>
          <w:p>
            <w:pPr>
              <w:spacing w:after="0"/>
              <w:rPr>
                <w:sz w:val="1"/>
                <w:szCs w:val="1"/>
                <w:color w:val="auto"/>
              </w:rPr>
            </w:pPr>
          </w:p>
        </w:tc>
      </w:tr>
      <w:tr>
        <w:trPr>
          <w:trHeight w:val="247"/>
        </w:trPr>
        <w:tc>
          <w:tcPr>
            <w:tcW w:w="160" w:type="dxa"/>
            <w:vAlign w:val="bottom"/>
            <w:tcBorders>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6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8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2"/>
                <w:szCs w:val="22"/>
                <w:color w:val="auto"/>
              </w:rPr>
              <w:t>10% of the Total Purchase Price of all batches of Products hereunder has</w:t>
            </w:r>
          </w:p>
        </w:tc>
        <w:tc>
          <w:tcPr>
            <w:tcW w:w="0" w:type="dxa"/>
            <w:vAlign w:val="bottom"/>
          </w:tcPr>
          <w:p>
            <w:pPr>
              <w:spacing w:after="0"/>
              <w:rPr>
                <w:sz w:val="1"/>
                <w:szCs w:val="1"/>
                <w:color w:val="auto"/>
              </w:rPr>
            </w:pPr>
          </w:p>
        </w:tc>
      </w:tr>
      <w:tr>
        <w:trPr>
          <w:trHeight w:val="239"/>
        </w:trPr>
        <w:tc>
          <w:tcPr>
            <w:tcW w:w="16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Down Payment</w:t>
            </w:r>
          </w:p>
        </w:tc>
        <w:tc>
          <w:tcPr>
            <w:tcW w:w="1800" w:type="dxa"/>
            <w:vAlign w:val="bottom"/>
            <w:tcBorders>
              <w:right w:val="single" w:sz="8" w:color="auto"/>
            </w:tcBorders>
            <w:vMerge w:val="restart"/>
          </w:tcPr>
          <w:p>
            <w:pPr>
              <w:jc w:val="right"/>
              <w:ind w:right="1272"/>
              <w:spacing w:after="0"/>
              <w:rPr>
                <w:sz w:val="20"/>
                <w:szCs w:val="20"/>
                <w:color w:val="auto"/>
              </w:rPr>
            </w:pPr>
            <w:r>
              <w:rPr>
                <w:rFonts w:ascii="Times New Roman" w:cs="Times New Roman" w:eastAsia="Times New Roman" w:hAnsi="Times New Roman"/>
                <w:sz w:val="22"/>
                <w:szCs w:val="22"/>
                <w:color w:val="auto"/>
                <w:w w:val="99"/>
              </w:rPr>
              <w:t>10%</w:t>
            </w:r>
          </w:p>
        </w:tc>
        <w:tc>
          <w:tcPr>
            <w:tcW w:w="6800" w:type="dxa"/>
            <w:vAlign w:val="bottom"/>
            <w:tcBorders>
              <w:right w:val="single" w:sz="8" w:color="auto"/>
            </w:tcBorders>
          </w:tcPr>
          <w:p>
            <w:pPr>
              <w:ind w:left="60"/>
              <w:spacing w:after="0" w:line="239" w:lineRule="exact"/>
              <w:rPr>
                <w:sz w:val="20"/>
                <w:szCs w:val="20"/>
                <w:color w:val="auto"/>
              </w:rPr>
            </w:pPr>
            <w:r>
              <w:rPr>
                <w:rFonts w:ascii="Times New Roman" w:cs="Times New Roman" w:eastAsia="Times New Roman" w:hAnsi="Times New Roman"/>
                <w:sz w:val="22"/>
                <w:szCs w:val="22"/>
                <w:color w:val="auto"/>
                <w:w w:val="99"/>
              </w:rPr>
              <w:t>been paid by the Purchaser through its affiliate, Cipher Mining Technologies</w:t>
            </w:r>
          </w:p>
        </w:tc>
        <w:tc>
          <w:tcPr>
            <w:tcW w:w="0" w:type="dxa"/>
            <w:vAlign w:val="bottom"/>
          </w:tcPr>
          <w:p>
            <w:pPr>
              <w:spacing w:after="0"/>
              <w:rPr>
                <w:sz w:val="1"/>
                <w:szCs w:val="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vMerge w:val="continue"/>
          </w:tcPr>
          <w:p>
            <w:pPr>
              <w:spacing w:after="0"/>
              <w:rPr>
                <w:sz w:val="21"/>
                <w:szCs w:val="21"/>
                <w:color w:val="auto"/>
              </w:rPr>
            </w:pPr>
          </w:p>
        </w:tc>
        <w:tc>
          <w:tcPr>
            <w:tcW w:w="1800" w:type="dxa"/>
            <w:vAlign w:val="bottom"/>
            <w:tcBorders>
              <w:right w:val="single" w:sz="8" w:color="auto"/>
            </w:tcBorders>
            <w:vMerge w:val="continue"/>
          </w:tcPr>
          <w:p>
            <w:pPr>
              <w:spacing w:after="0"/>
              <w:rPr>
                <w:sz w:val="21"/>
                <w:szCs w:val="21"/>
                <w:color w:val="auto"/>
              </w:rPr>
            </w:pPr>
          </w:p>
        </w:tc>
        <w:tc>
          <w:tcPr>
            <w:tcW w:w="68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w w:val="99"/>
              </w:rPr>
              <w:t>Inc. (“</w:t>
            </w:r>
            <w:r>
              <w:rPr>
                <w:rFonts w:ascii="Times New Roman" w:cs="Times New Roman" w:eastAsia="Times New Roman" w:hAnsi="Times New Roman"/>
                <w:sz w:val="22"/>
                <w:szCs w:val="22"/>
                <w:b w:val="1"/>
                <w:bCs w:val="1"/>
                <w:color w:val="auto"/>
                <w:w w:val="99"/>
              </w:rPr>
              <w:t>CMTI</w:t>
            </w:r>
            <w:r>
              <w:rPr>
                <w:rFonts w:ascii="Times New Roman" w:cs="Times New Roman" w:eastAsia="Times New Roman" w:hAnsi="Times New Roman"/>
                <w:sz w:val="22"/>
                <w:szCs w:val="22"/>
                <w:color w:val="auto"/>
                <w:w w:val="99"/>
              </w:rPr>
              <w:t>”) on December 12, 2023 as “Earnest Money” for the Products,</w:t>
            </w:r>
          </w:p>
        </w:tc>
        <w:tc>
          <w:tcPr>
            <w:tcW w:w="0" w:type="dxa"/>
            <w:vAlign w:val="bottom"/>
          </w:tcPr>
          <w:p>
            <w:pPr>
              <w:spacing w:after="0"/>
              <w:rPr>
                <w:sz w:val="1"/>
                <w:szCs w:val="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68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 xml:space="preserve">pursuant to the </w:t>
            </w:r>
            <w:r>
              <w:rPr>
                <w:rFonts w:ascii="Times New Roman" w:cs="Times New Roman" w:eastAsia="Times New Roman" w:hAnsi="Times New Roman"/>
                <w:sz w:val="22"/>
                <w:szCs w:val="22"/>
                <w:i w:val="1"/>
                <w:iCs w:val="1"/>
                <w:color w:val="auto"/>
              </w:rPr>
              <w:t>Letter of Intent for Bulk Purchase</w:t>
            </w:r>
            <w:r>
              <w:rPr>
                <w:rFonts w:ascii="Times New Roman" w:cs="Times New Roman" w:eastAsia="Times New Roman" w:hAnsi="Times New Roman"/>
                <w:sz w:val="22"/>
                <w:szCs w:val="22"/>
                <w:color w:val="auto"/>
              </w:rPr>
              <w:t xml:space="preserve"> entered by and between</w:t>
            </w:r>
          </w:p>
        </w:tc>
        <w:tc>
          <w:tcPr>
            <w:tcW w:w="0" w:type="dxa"/>
            <w:vAlign w:val="bottom"/>
          </w:tcPr>
          <w:p>
            <w:pPr>
              <w:spacing w:after="0"/>
              <w:rPr>
                <w:sz w:val="1"/>
                <w:szCs w:val="1"/>
                <w:color w:val="auto"/>
              </w:rPr>
            </w:pPr>
          </w:p>
        </w:tc>
      </w:tr>
      <w:tr>
        <w:trPr>
          <w:trHeight w:val="247"/>
        </w:trPr>
        <w:tc>
          <w:tcPr>
            <w:tcW w:w="1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6800" w:type="dxa"/>
            <w:vAlign w:val="bottom"/>
            <w:tcBorders>
              <w:right w:val="single" w:sz="8" w:color="auto"/>
            </w:tcBorders>
          </w:tcPr>
          <w:p>
            <w:pPr>
              <w:ind w:left="60"/>
              <w:spacing w:after="0" w:line="247" w:lineRule="exact"/>
              <w:rPr>
                <w:sz w:val="20"/>
                <w:szCs w:val="20"/>
                <w:color w:val="auto"/>
              </w:rPr>
            </w:pPr>
            <w:r>
              <w:rPr>
                <w:rFonts w:ascii="Times New Roman" w:cs="Times New Roman" w:eastAsia="Times New Roman" w:hAnsi="Times New Roman"/>
                <w:sz w:val="22"/>
                <w:szCs w:val="22"/>
                <w:color w:val="auto"/>
                <w:w w:val="98"/>
              </w:rPr>
              <w:t>BITMAIN DEVELOPMENT PTE. LTD. (“</w:t>
            </w:r>
            <w:r>
              <w:rPr>
                <w:rFonts w:ascii="Times New Roman" w:cs="Times New Roman" w:eastAsia="Times New Roman" w:hAnsi="Times New Roman"/>
                <w:sz w:val="22"/>
                <w:szCs w:val="22"/>
                <w:b w:val="1"/>
                <w:bCs w:val="1"/>
                <w:color w:val="auto"/>
                <w:w w:val="98"/>
              </w:rPr>
              <w:t>BITMAIN DEVELOPMENT</w:t>
            </w: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68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and CMTI, executed by CMTI on December 8, 2023 and by BITMAIN</w:t>
            </w:r>
          </w:p>
        </w:tc>
        <w:tc>
          <w:tcPr>
            <w:tcW w:w="0" w:type="dxa"/>
            <w:vAlign w:val="bottom"/>
          </w:tcPr>
          <w:p>
            <w:pPr>
              <w:spacing w:after="0"/>
              <w:rPr>
                <w:sz w:val="1"/>
                <w:szCs w:val="1"/>
                <w:color w:val="auto"/>
              </w:rPr>
            </w:pPr>
          </w:p>
        </w:tc>
      </w:tr>
      <w:tr>
        <w:trPr>
          <w:trHeight w:val="283"/>
        </w:trPr>
        <w:tc>
          <w:tcPr>
            <w:tcW w:w="160" w:type="dxa"/>
            <w:vAlign w:val="bottom"/>
            <w:tcBorders>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DEVELOPMENT on December 12, 2023.</w:t>
            </w:r>
          </w:p>
        </w:tc>
        <w:tc>
          <w:tcPr>
            <w:tcW w:w="0" w:type="dxa"/>
            <w:vAlign w:val="bottom"/>
          </w:tcPr>
          <w:p>
            <w:pPr>
              <w:spacing w:after="0"/>
              <w:rPr>
                <w:sz w:val="1"/>
                <w:szCs w:val="1"/>
                <w:color w:val="auto"/>
              </w:rPr>
            </w:pPr>
          </w:p>
        </w:tc>
      </w:tr>
      <w:tr>
        <w:trPr>
          <w:trHeight w:val="317"/>
        </w:trPr>
        <w:tc>
          <w:tcPr>
            <w:tcW w:w="16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40% of the Total Purchase Price of each batch of Products shall be paid at</w:t>
            </w:r>
          </w:p>
        </w:tc>
        <w:tc>
          <w:tcPr>
            <w:tcW w:w="0" w:type="dxa"/>
            <w:vAlign w:val="bottom"/>
          </w:tcPr>
          <w:p>
            <w:pPr>
              <w:spacing w:after="0"/>
              <w:rPr>
                <w:sz w:val="1"/>
                <w:szCs w:val="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Interim Payment</w:t>
            </w:r>
          </w:p>
        </w:tc>
        <w:tc>
          <w:tcPr>
            <w:tcW w:w="1800" w:type="dxa"/>
            <w:vAlign w:val="bottom"/>
            <w:tcBorders>
              <w:right w:val="single" w:sz="8" w:color="auto"/>
            </w:tcBorders>
            <w:vMerge w:val="restart"/>
          </w:tcPr>
          <w:p>
            <w:pPr>
              <w:jc w:val="right"/>
              <w:ind w:right="1272"/>
              <w:spacing w:after="0"/>
              <w:rPr>
                <w:sz w:val="20"/>
                <w:szCs w:val="20"/>
                <w:color w:val="auto"/>
              </w:rPr>
            </w:pPr>
            <w:r>
              <w:rPr>
                <w:rFonts w:ascii="Times New Roman" w:cs="Times New Roman" w:eastAsia="Times New Roman" w:hAnsi="Times New Roman"/>
                <w:sz w:val="22"/>
                <w:szCs w:val="22"/>
                <w:color w:val="auto"/>
                <w:w w:val="99"/>
              </w:rPr>
              <w:t>40%</w:t>
            </w:r>
          </w:p>
        </w:tc>
        <w:tc>
          <w:tcPr>
            <w:tcW w:w="68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least one hundred and eighty (180) days prior to the first day of the</w:t>
            </w:r>
          </w:p>
        </w:tc>
        <w:tc>
          <w:tcPr>
            <w:tcW w:w="0" w:type="dxa"/>
            <w:vAlign w:val="bottom"/>
          </w:tcPr>
          <w:p>
            <w:pPr>
              <w:spacing w:after="0"/>
              <w:rPr>
                <w:sz w:val="1"/>
                <w:szCs w:val="1"/>
                <w:color w:val="auto"/>
              </w:rPr>
            </w:pPr>
          </w:p>
        </w:tc>
      </w:tr>
      <w:tr>
        <w:trPr>
          <w:trHeight w:val="282"/>
        </w:trPr>
        <w:tc>
          <w:tcPr>
            <w:tcW w:w="16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vMerge w:val="continue"/>
          </w:tcPr>
          <w:p>
            <w:pPr>
              <w:spacing w:after="0"/>
              <w:rPr>
                <w:sz w:val="24"/>
                <w:szCs w:val="24"/>
                <w:color w:val="auto"/>
              </w:rPr>
            </w:pPr>
          </w:p>
        </w:tc>
        <w:tc>
          <w:tcPr>
            <w:tcW w:w="1800" w:type="dxa"/>
            <w:vAlign w:val="bottom"/>
            <w:tcBorders>
              <w:right w:val="single" w:sz="8" w:color="auto"/>
            </w:tcBorders>
            <w:vMerge w:val="continue"/>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Shipping Period of such batch of Products</w:t>
            </w:r>
          </w:p>
        </w:tc>
        <w:tc>
          <w:tcPr>
            <w:tcW w:w="0" w:type="dxa"/>
            <w:vAlign w:val="bottom"/>
          </w:tcPr>
          <w:p>
            <w:pPr>
              <w:spacing w:after="0"/>
              <w:rPr>
                <w:sz w:val="1"/>
                <w:szCs w:val="1"/>
                <w:color w:val="auto"/>
              </w:rPr>
            </w:pPr>
          </w:p>
        </w:tc>
      </w:tr>
      <w:tr>
        <w:trPr>
          <w:trHeight w:val="851"/>
        </w:trPr>
        <w:tc>
          <w:tcPr>
            <w:tcW w:w="160" w:type="dxa"/>
            <w:vAlign w:val="bottom"/>
            <w:tcBorders>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6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6800" w:type="dxa"/>
            <w:vAlign w:val="bottom"/>
            <w:tcBorders>
              <w:right w:val="single" w:sz="8" w:color="auto"/>
            </w:tcBorders>
          </w:tcPr>
          <w:p>
            <w:pPr>
              <w:ind w:left="60"/>
              <w:spacing w:after="0" w:line="222" w:lineRule="exact"/>
              <w:rPr>
                <w:sz w:val="20"/>
                <w:szCs w:val="20"/>
                <w:color w:val="auto"/>
              </w:rPr>
            </w:pPr>
            <w:r>
              <w:rPr>
                <w:rFonts w:ascii="Times New Roman" w:cs="Times New Roman" w:eastAsia="Times New Roman" w:hAnsi="Times New Roman"/>
                <w:sz w:val="22"/>
                <w:szCs w:val="22"/>
                <w:color w:val="auto"/>
              </w:rPr>
              <w:t>50% of the Total Purchase Price of each batch of Products shall be paid at</w:t>
            </w:r>
          </w:p>
        </w:tc>
        <w:tc>
          <w:tcPr>
            <w:tcW w:w="0" w:type="dxa"/>
            <w:vAlign w:val="bottom"/>
          </w:tcPr>
          <w:p>
            <w:pPr>
              <w:spacing w:after="0"/>
              <w:rPr>
                <w:sz w:val="1"/>
                <w:szCs w:val="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Balance Payment</w:t>
            </w:r>
          </w:p>
        </w:tc>
        <w:tc>
          <w:tcPr>
            <w:tcW w:w="1800" w:type="dxa"/>
            <w:vAlign w:val="bottom"/>
            <w:tcBorders>
              <w:right w:val="single" w:sz="8" w:color="auto"/>
            </w:tcBorders>
            <w:vMerge w:val="restart"/>
          </w:tcPr>
          <w:p>
            <w:pPr>
              <w:jc w:val="right"/>
              <w:ind w:right="1272"/>
              <w:spacing w:after="0"/>
              <w:rPr>
                <w:sz w:val="20"/>
                <w:szCs w:val="20"/>
                <w:color w:val="auto"/>
              </w:rPr>
            </w:pPr>
            <w:r>
              <w:rPr>
                <w:rFonts w:ascii="Times New Roman" w:cs="Times New Roman" w:eastAsia="Times New Roman" w:hAnsi="Times New Roman"/>
                <w:sz w:val="22"/>
                <w:szCs w:val="22"/>
                <w:color w:val="auto"/>
                <w:w w:val="99"/>
              </w:rPr>
              <w:t>50%</w:t>
            </w:r>
          </w:p>
        </w:tc>
        <w:tc>
          <w:tcPr>
            <w:tcW w:w="68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least seven (7) days prior to the first day of the Shipping Period of such</w:t>
            </w:r>
          </w:p>
        </w:tc>
        <w:tc>
          <w:tcPr>
            <w:tcW w:w="0" w:type="dxa"/>
            <w:vAlign w:val="bottom"/>
          </w:tcPr>
          <w:p>
            <w:pPr>
              <w:spacing w:after="0"/>
              <w:rPr>
                <w:sz w:val="1"/>
                <w:szCs w:val="1"/>
                <w:color w:val="auto"/>
              </w:rPr>
            </w:pPr>
          </w:p>
        </w:tc>
      </w:tr>
      <w:tr>
        <w:trPr>
          <w:trHeight w:val="282"/>
        </w:trPr>
        <w:tc>
          <w:tcPr>
            <w:tcW w:w="16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vMerge w:val="continue"/>
          </w:tcPr>
          <w:p>
            <w:pPr>
              <w:spacing w:after="0"/>
              <w:rPr>
                <w:sz w:val="24"/>
                <w:szCs w:val="24"/>
                <w:color w:val="auto"/>
              </w:rPr>
            </w:pPr>
          </w:p>
        </w:tc>
        <w:tc>
          <w:tcPr>
            <w:tcW w:w="1800" w:type="dxa"/>
            <w:vAlign w:val="bottom"/>
            <w:tcBorders>
              <w:right w:val="single" w:sz="8" w:color="auto"/>
            </w:tcBorders>
            <w:vMerge w:val="continue"/>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batch of Products</w:t>
            </w:r>
          </w:p>
        </w:tc>
        <w:tc>
          <w:tcPr>
            <w:tcW w:w="0" w:type="dxa"/>
            <w:vAlign w:val="bottom"/>
          </w:tcPr>
          <w:p>
            <w:pPr>
              <w:spacing w:after="0"/>
              <w:rPr>
                <w:sz w:val="1"/>
                <w:szCs w:val="1"/>
                <w:color w:val="auto"/>
              </w:rPr>
            </w:pPr>
          </w:p>
        </w:tc>
      </w:tr>
      <w:tr>
        <w:trPr>
          <w:trHeight w:val="379"/>
        </w:trPr>
        <w:tc>
          <w:tcPr>
            <w:tcW w:w="160" w:type="dxa"/>
            <w:vAlign w:val="bottom"/>
            <w:tcBorders>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97" w:right="439" w:bottom="1440" w:gutter="0" w:footer="0" w:header="0"/>
        </w:sectPr>
      </w:pPr>
    </w:p>
    <w:bookmarkStart w:id="276" w:name="page277"/>
    <w:bookmarkEnd w:id="276"/>
    <w:p>
      <w:pPr>
        <w:ind w:left="-8" w:right="300" w:firstLine="8"/>
        <w:spacing w:after="0" w:line="286" w:lineRule="auto"/>
        <w:tabs>
          <w:tab w:leader="none" w:pos="307"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32"/>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205" w:lineRule="exact"/>
        <w:rPr>
          <w:sz w:val="20"/>
          <w:szCs w:val="20"/>
          <w:color w:val="auto"/>
        </w:rPr>
      </w:pPr>
    </w:p>
    <w:p>
      <w:pPr>
        <w:ind w:left="432" w:hanging="432"/>
        <w:spacing w:after="0"/>
        <w:tabs>
          <w:tab w:leader="none" w:pos="432" w:val="left"/>
        </w:tabs>
        <w:numPr>
          <w:ilvl w:val="0"/>
          <w:numId w:val="2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Call Option for Purchasing Additional Products</w:t>
      </w:r>
    </w:p>
    <w:p>
      <w:pPr>
        <w:spacing w:after="0" w:line="209" w:lineRule="exact"/>
        <w:rPr>
          <w:rFonts w:ascii="Times New Roman" w:cs="Times New Roman" w:eastAsia="Times New Roman" w:hAnsi="Times New Roman"/>
          <w:sz w:val="22"/>
          <w:szCs w:val="22"/>
          <w:b w:val="1"/>
          <w:bCs w:val="1"/>
          <w:color w:val="auto"/>
        </w:rPr>
      </w:pPr>
    </w:p>
    <w:p>
      <w:pPr>
        <w:ind w:left="792" w:hanging="374"/>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Right to Purchase</w:t>
      </w:r>
      <w:r>
        <w:rPr>
          <w:rFonts w:ascii="Times New Roman" w:cs="Times New Roman" w:eastAsia="Times New Roman" w:hAnsi="Times New Roman"/>
          <w:sz w:val="22"/>
          <w:szCs w:val="22"/>
          <w:color w:val="auto"/>
        </w:rPr>
        <w:t>. Subject to the terms and conditions of this Agreement, at any time during the period from the date of this Agreement to December 31, 2024 (the “</w:t>
      </w:r>
      <w:r>
        <w:rPr>
          <w:rFonts w:ascii="Times New Roman" w:cs="Times New Roman" w:eastAsia="Times New Roman" w:hAnsi="Times New Roman"/>
          <w:sz w:val="22"/>
          <w:szCs w:val="22"/>
          <w:b w:val="1"/>
          <w:bCs w:val="1"/>
          <w:color w:val="auto"/>
        </w:rPr>
        <w:t>Call Option Period</w:t>
      </w:r>
      <w:r>
        <w:rPr>
          <w:rFonts w:ascii="Times New Roman" w:cs="Times New Roman" w:eastAsia="Times New Roman" w:hAnsi="Times New Roman"/>
          <w:sz w:val="22"/>
          <w:szCs w:val="22"/>
          <w:color w:val="auto"/>
        </w:rPr>
        <w:t>”), the Purchaser shall have the right (the “</w:t>
      </w:r>
      <w:r>
        <w:rPr>
          <w:rFonts w:ascii="Times New Roman" w:cs="Times New Roman" w:eastAsia="Times New Roman" w:hAnsi="Times New Roman"/>
          <w:sz w:val="22"/>
          <w:szCs w:val="22"/>
          <w:b w:val="1"/>
          <w:bCs w:val="1"/>
          <w:color w:val="auto"/>
        </w:rPr>
        <w:t>Call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but not the obligation, to purchase, in whole or in part, additional Products having the same or better 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specifications set out in clause 1.1. of Appendix A (the “</w:t>
      </w:r>
      <w:r>
        <w:rPr>
          <w:rFonts w:ascii="Times New Roman" w:cs="Times New Roman" w:eastAsia="Times New Roman" w:hAnsi="Times New Roman"/>
          <w:sz w:val="22"/>
          <w:szCs w:val="22"/>
          <w:b w:val="1"/>
          <w:bCs w:val="1"/>
          <w:color w:val="auto"/>
        </w:rPr>
        <w:t>Forward Deliverables</w:t>
      </w:r>
      <w:r>
        <w:rPr>
          <w:rFonts w:ascii="Times New Roman" w:cs="Times New Roman" w:eastAsia="Times New Roman" w:hAnsi="Times New Roman"/>
          <w:sz w:val="22"/>
          <w:szCs w:val="22"/>
          <w:color w:val="auto"/>
        </w:rPr>
        <w:t>”) at the Call Purchase Price (as defined below) in one or more transactions, which may be done in more than one batch in non-consecutive months. The maximum rated hashrate of the Forward Deliverables if exercising the Call Option shall be 8,684,140 T with a total purchase price of US$ 121,577,960 (“</w:t>
      </w:r>
      <w:r>
        <w:rPr>
          <w:rFonts w:ascii="Times New Roman" w:cs="Times New Roman" w:eastAsia="Times New Roman" w:hAnsi="Times New Roman"/>
          <w:sz w:val="22"/>
          <w:szCs w:val="22"/>
          <w:b w:val="1"/>
          <w:bCs w:val="1"/>
          <w:color w:val="auto"/>
        </w:rPr>
        <w:t>Call Purchase Price</w:t>
      </w:r>
      <w:r>
        <w:rPr>
          <w:rFonts w:ascii="Times New Roman" w:cs="Times New Roman" w:eastAsia="Times New Roman" w:hAnsi="Times New Roman"/>
          <w:sz w:val="22"/>
          <w:szCs w:val="22"/>
          <w:color w:val="auto"/>
        </w:rPr>
        <w:t>”), representing US$14 per T and a full unit price of US$2,660 per unit, and the maximum quantity of Forward Deliverables shall be approximately 45,706 units.</w:t>
      </w:r>
    </w:p>
    <w:p>
      <w:pPr>
        <w:spacing w:after="0" w:line="184" w:lineRule="exact"/>
        <w:rPr>
          <w:rFonts w:ascii="Times New Roman" w:cs="Times New Roman" w:eastAsia="Times New Roman" w:hAnsi="Times New Roman"/>
          <w:sz w:val="22"/>
          <w:szCs w:val="22"/>
          <w:b w:val="1"/>
          <w:bCs w:val="1"/>
          <w:color w:val="auto"/>
        </w:rPr>
      </w:pPr>
    </w:p>
    <w:p>
      <w:pPr>
        <w:ind w:left="792" w:hanging="374"/>
        <w:spacing w:after="0" w:line="25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Call Purchase Fee</w:t>
      </w:r>
      <w:r>
        <w:rPr>
          <w:rFonts w:ascii="Times New Roman" w:cs="Times New Roman" w:eastAsia="Times New Roman" w:hAnsi="Times New Roman"/>
          <w:sz w:val="20"/>
          <w:szCs w:val="20"/>
          <w:color w:val="auto"/>
        </w:rPr>
        <w:t>. The Purchaser shall pay BITMAIN an amount of US$12,157,796 as the consideration of the Call Option (“</w:t>
      </w:r>
      <w:r>
        <w:rPr>
          <w:rFonts w:ascii="Times New Roman" w:cs="Times New Roman" w:eastAsia="Times New Roman" w:hAnsi="Times New Roman"/>
          <w:sz w:val="20"/>
          <w:szCs w:val="20"/>
          <w:b w:val="1"/>
          <w:bCs w:val="1"/>
          <w:color w:val="auto"/>
        </w:rPr>
        <w:t>Call Purchase Fee</w:t>
      </w:r>
      <w:r>
        <w:rPr>
          <w:rFonts w:ascii="Times New Roman" w:cs="Times New Roman" w:eastAsia="Times New Roman" w:hAnsi="Times New Roman"/>
          <w:sz w:val="20"/>
          <w:szCs w:val="20"/>
          <w:color w:val="auto"/>
        </w:rPr>
        <w:t xml:space="preserve">”), which is calculated as 10% of the Call Purchase Price, within seven (7) days after the execution of this Agreement. In the event the Purchaser exercises the Call Option in whole, the Call Purchase Fee shall be applied in whole towards the settlement of the Call Purchase Price. In the event that the Purchaser only exercises Call Option in part at the end of the Call Option Period, the Call Purchase Fee corresponding to the proportion of the quantity to be purchased by the Purchaser to 45,706 units shall be applied by the Purchaser to settle the total purchase price of Forward Deliverables, while the remaining proportion of the Call Purchase Fee shall be forfeited to BITMAIN. To further clarify, upon exercise of the Call Option the Purchaser shall be obligated to pay the corresponding proportionate amount of the Call Purchase Price associated with the exercise of the Call Option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corresponding proportionate amount of the Call Purchase Fee already paid to BITMAIN, according to the schedule of payment as follows:</w:t>
      </w:r>
    </w:p>
    <w:p>
      <w:pPr>
        <w:spacing w:after="0" w:line="165" w:lineRule="exact"/>
        <w:rPr>
          <w:sz w:val="20"/>
          <w:szCs w:val="20"/>
          <w:color w:val="auto"/>
        </w:rPr>
      </w:pPr>
    </w:p>
    <w:tbl>
      <w:tblPr>
        <w:tblLayout w:type="fixed"/>
        <w:tblInd w:w="662" w:type="dxa"/>
        <w:tblCellMar>
          <w:top w:w="0" w:type="dxa"/>
          <w:left w:w="0" w:type="dxa"/>
          <w:bottom w:w="0" w:type="dxa"/>
          <w:right w:w="0" w:type="dxa"/>
        </w:tblCellMar>
      </w:tblPr>
      <w:tr>
        <w:trPr>
          <w:trHeight w:val="349"/>
        </w:trPr>
        <w:tc>
          <w:tcPr>
            <w:tcW w:w="228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7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6440" w:type="dxa"/>
            <w:vAlign w:val="bottom"/>
            <w:tcBorders>
              <w:top w:val="single" w:sz="8" w:color="auto"/>
              <w:right w:val="single" w:sz="8" w:color="auto"/>
            </w:tcBorders>
            <w:vMerge w:val="restart"/>
            <w:shd w:val="clear" w:color="auto" w:fill="BFBFBF"/>
          </w:tcPr>
          <w:p>
            <w:pPr>
              <w:ind w:left="2560"/>
              <w:spacing w:after="0"/>
              <w:rPr>
                <w:sz w:val="20"/>
                <w:szCs w:val="20"/>
                <w:color w:val="auto"/>
              </w:rPr>
            </w:pPr>
            <w:r>
              <w:rPr>
                <w:rFonts w:ascii="Times New Roman" w:cs="Times New Roman" w:eastAsia="Times New Roman" w:hAnsi="Times New Roman"/>
                <w:sz w:val="22"/>
                <w:szCs w:val="22"/>
                <w:b w:val="1"/>
                <w:bCs w:val="1"/>
                <w:color w:val="auto"/>
              </w:rPr>
              <w:t>Payment Date</w:t>
            </w:r>
          </w:p>
        </w:tc>
        <w:tc>
          <w:tcPr>
            <w:tcW w:w="0" w:type="dxa"/>
            <w:vAlign w:val="bottom"/>
          </w:tcPr>
          <w:p>
            <w:pPr>
              <w:spacing w:after="0"/>
              <w:rPr>
                <w:sz w:val="1"/>
                <w:szCs w:val="1"/>
                <w:color w:val="auto"/>
              </w:rPr>
            </w:pPr>
          </w:p>
        </w:tc>
      </w:tr>
      <w:tr>
        <w:trPr>
          <w:trHeight w:val="165"/>
        </w:trPr>
        <w:tc>
          <w:tcPr>
            <w:tcW w:w="2280" w:type="dxa"/>
            <w:vAlign w:val="bottom"/>
            <w:tcBorders>
              <w:left w:val="single" w:sz="8" w:color="auto"/>
              <w:right w:val="single" w:sz="8" w:color="auto"/>
            </w:tcBorders>
            <w:vMerge w:val="continue"/>
            <w:shd w:val="clear" w:color="auto" w:fill="BFBFBF"/>
          </w:tcPr>
          <w:p>
            <w:pPr>
              <w:spacing w:after="0"/>
              <w:rPr>
                <w:sz w:val="14"/>
                <w:szCs w:val="14"/>
                <w:color w:val="auto"/>
              </w:rPr>
            </w:pPr>
          </w:p>
        </w:tc>
        <w:tc>
          <w:tcPr>
            <w:tcW w:w="1720" w:type="dxa"/>
            <w:vAlign w:val="bottom"/>
            <w:tcBorders>
              <w:right w:val="single" w:sz="8" w:color="auto"/>
            </w:tcBorders>
            <w:vMerge w:val="restart"/>
            <w:shd w:val="clear" w:color="auto" w:fill="BFBFBF"/>
          </w:tcPr>
          <w:p>
            <w:pPr>
              <w:ind w:left="320"/>
              <w:spacing w:after="0"/>
              <w:rPr>
                <w:sz w:val="20"/>
                <w:szCs w:val="20"/>
                <w:color w:val="auto"/>
              </w:rPr>
            </w:pPr>
            <w:r>
              <w:rPr>
                <w:rFonts w:ascii="Times New Roman" w:cs="Times New Roman" w:eastAsia="Times New Roman" w:hAnsi="Times New Roman"/>
                <w:sz w:val="22"/>
                <w:szCs w:val="22"/>
                <w:b w:val="1"/>
                <w:bCs w:val="1"/>
                <w:color w:val="auto"/>
              </w:rPr>
              <w:t>Percentage</w:t>
            </w:r>
          </w:p>
        </w:tc>
        <w:tc>
          <w:tcPr>
            <w:tcW w:w="6440" w:type="dxa"/>
            <w:vAlign w:val="bottom"/>
            <w:tcBorders>
              <w:right w:val="single" w:sz="8" w:color="auto"/>
            </w:tcBorders>
            <w:vMerge w:val="continue"/>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shd w:val="clear" w:color="auto" w:fill="BFBFBF"/>
          </w:tcPr>
          <w:p>
            <w:pPr>
              <w:spacing w:after="0"/>
              <w:rPr>
                <w:sz w:val="10"/>
                <w:szCs w:val="10"/>
                <w:color w:val="auto"/>
              </w:rPr>
            </w:pPr>
          </w:p>
        </w:tc>
        <w:tc>
          <w:tcPr>
            <w:tcW w:w="1720" w:type="dxa"/>
            <w:vAlign w:val="bottom"/>
            <w:tcBorders>
              <w:right w:val="single" w:sz="8" w:color="auto"/>
            </w:tcBorders>
            <w:vMerge w:val="continue"/>
            <w:shd w:val="clear" w:color="auto" w:fill="BFBFBF"/>
          </w:tcPr>
          <w:p>
            <w:pPr>
              <w:spacing w:after="0"/>
              <w:rPr>
                <w:sz w:val="10"/>
                <w:szCs w:val="10"/>
                <w:color w:val="auto"/>
              </w:rPr>
            </w:pPr>
          </w:p>
        </w:tc>
        <w:tc>
          <w:tcPr>
            <w:tcW w:w="644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bottom w:val="single" w:sz="8" w:color="auto"/>
              <w:right w:val="single" w:sz="8" w:color="auto"/>
            </w:tcBorders>
            <w:shd w:val="clear" w:color="auto" w:fill="BFBFBF"/>
          </w:tcPr>
          <w:p>
            <w:pPr>
              <w:spacing w:after="0"/>
              <w:rPr>
                <w:sz w:val="10"/>
                <w:szCs w:val="10"/>
                <w:color w:val="auto"/>
              </w:rPr>
            </w:pPr>
          </w:p>
        </w:tc>
        <w:tc>
          <w:tcPr>
            <w:tcW w:w="1720" w:type="dxa"/>
            <w:vAlign w:val="bottom"/>
            <w:tcBorders>
              <w:bottom w:val="single" w:sz="8" w:color="auto"/>
              <w:right w:val="single" w:sz="8" w:color="auto"/>
            </w:tcBorders>
            <w:shd w:val="clear" w:color="auto" w:fill="BFBFBF"/>
          </w:tcPr>
          <w:p>
            <w:pPr>
              <w:spacing w:after="0"/>
              <w:rPr>
                <w:sz w:val="10"/>
                <w:szCs w:val="10"/>
                <w:color w:val="auto"/>
              </w:rPr>
            </w:pPr>
          </w:p>
        </w:tc>
        <w:tc>
          <w:tcPr>
            <w:tcW w:w="6440" w:type="dxa"/>
            <w:vAlign w:val="bottom"/>
            <w:tcBorders>
              <w:bottom w:val="single" w:sz="8" w:color="auto"/>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Down Payment / Call</w:t>
            </w:r>
          </w:p>
        </w:tc>
        <w:tc>
          <w:tcPr>
            <w:tcW w:w="1720" w:type="dxa"/>
            <w:vAlign w:val="bottom"/>
            <w:tcBorders>
              <w:right w:val="single" w:sz="8" w:color="auto"/>
            </w:tcBorders>
          </w:tcPr>
          <w:p>
            <w:pPr>
              <w:spacing w:after="0"/>
              <w:rPr>
                <w:sz w:val="24"/>
                <w:szCs w:val="24"/>
                <w:color w:val="auto"/>
              </w:rPr>
            </w:pPr>
          </w:p>
        </w:tc>
        <w:tc>
          <w:tcPr>
            <w:tcW w:w="6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 of the total purchase price of Forward Deliverables shall be paid</w:t>
            </w: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10%</w:t>
            </w:r>
          </w:p>
        </w:tc>
        <w:tc>
          <w:tcPr>
            <w:tcW w:w="6440" w:type="dxa"/>
            <w:vAlign w:val="bottom"/>
            <w:tcBorders>
              <w:right w:val="single" w:sz="8" w:color="auto"/>
            </w:tcBorders>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by the Purchaser within seven (7) days after the execution of this</w:t>
            </w: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Purchase Fee</w:t>
            </w:r>
          </w:p>
        </w:tc>
        <w:tc>
          <w:tcPr>
            <w:tcW w:w="1720" w:type="dxa"/>
            <w:vAlign w:val="bottom"/>
            <w:tcBorders>
              <w:right w:val="single" w:sz="8" w:color="auto"/>
            </w:tcBorders>
            <w:vMerge w:val="continue"/>
          </w:tcPr>
          <w:p>
            <w:pPr>
              <w:spacing w:after="0"/>
              <w:rPr>
                <w:sz w:val="10"/>
                <w:szCs w:val="10"/>
                <w:color w:val="auto"/>
              </w:rPr>
            </w:pPr>
          </w:p>
        </w:tc>
        <w:tc>
          <w:tcPr>
            <w:tcW w:w="6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right w:val="single" w:sz="8" w:color="auto"/>
            </w:tcBorders>
            <w:vMerge w:val="continue"/>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64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Agreement</w:t>
            </w:r>
          </w:p>
        </w:tc>
        <w:tc>
          <w:tcPr>
            <w:tcW w:w="0" w:type="dxa"/>
            <w:vAlign w:val="bottom"/>
          </w:tcPr>
          <w:p>
            <w:pPr>
              <w:spacing w:after="0"/>
              <w:rPr>
                <w:sz w:val="1"/>
                <w:szCs w:val="1"/>
                <w:color w:val="auto"/>
              </w:rPr>
            </w:pPr>
          </w:p>
        </w:tc>
      </w:tr>
      <w:tr>
        <w:trPr>
          <w:trHeight w:val="121"/>
        </w:trPr>
        <w:tc>
          <w:tcPr>
            <w:tcW w:w="2280" w:type="dxa"/>
            <w:vAlign w:val="bottom"/>
            <w:tcBorders>
              <w:left w:val="single" w:sz="8" w:color="auto"/>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6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28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w w:val="99"/>
              </w:rPr>
              <w:t>40% of the total purchase price of Forward Deliverables shall be paid at</w:t>
            </w: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Interim Payment</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40%</w:t>
            </w:r>
          </w:p>
        </w:tc>
        <w:tc>
          <w:tcPr>
            <w:tcW w:w="6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least one hundred and eight (180) days prior to the first day of the</w:t>
            </w: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right w:val="single" w:sz="8" w:color="auto"/>
            </w:tcBorders>
            <w:vMerge w:val="continue"/>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6440" w:type="dxa"/>
            <w:vAlign w:val="bottom"/>
            <w:tcBorders>
              <w:right w:val="single" w:sz="8" w:color="auto"/>
            </w:tcBorders>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Shipping Period of Call Purchase (as defined below) of such batch of</w:t>
            </w:r>
          </w:p>
        </w:tc>
        <w:tc>
          <w:tcPr>
            <w:tcW w:w="0" w:type="dxa"/>
            <w:vAlign w:val="bottom"/>
          </w:tcPr>
          <w:p>
            <w:pPr>
              <w:spacing w:after="0"/>
              <w:rPr>
                <w:sz w:val="1"/>
                <w:szCs w:val="1"/>
                <w:color w:val="auto"/>
              </w:rPr>
            </w:pPr>
          </w:p>
        </w:tc>
      </w:tr>
      <w:tr>
        <w:trPr>
          <w:trHeight w:val="82"/>
        </w:trPr>
        <w:tc>
          <w:tcPr>
            <w:tcW w:w="2280" w:type="dxa"/>
            <w:vAlign w:val="bottom"/>
            <w:tcBorders>
              <w:left w:val="single" w:sz="8" w:color="auto"/>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6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28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Forward Deliverables</w:t>
            </w:r>
          </w:p>
        </w:tc>
        <w:tc>
          <w:tcPr>
            <w:tcW w:w="0" w:type="dxa"/>
            <w:vAlign w:val="bottom"/>
          </w:tcPr>
          <w:p>
            <w:pPr>
              <w:spacing w:after="0"/>
              <w:rPr>
                <w:sz w:val="1"/>
                <w:szCs w:val="1"/>
                <w:color w:val="auto"/>
              </w:rPr>
            </w:pPr>
          </w:p>
        </w:tc>
      </w:tr>
      <w:tr>
        <w:trPr>
          <w:trHeight w:val="109"/>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28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50% of the Call Purchase Price of each batch of Forward Deliverables</w:t>
            </w: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Balance Payment</w:t>
            </w:r>
          </w:p>
        </w:tc>
        <w:tc>
          <w:tcPr>
            <w:tcW w:w="17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50%</w:t>
            </w:r>
          </w:p>
        </w:tc>
        <w:tc>
          <w:tcPr>
            <w:tcW w:w="6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shall be paid at least seven (7) days prior to the first day of the Shipping</w:t>
            </w:r>
          </w:p>
        </w:tc>
        <w:tc>
          <w:tcPr>
            <w:tcW w:w="0" w:type="dxa"/>
            <w:vAlign w:val="bottom"/>
          </w:tcPr>
          <w:p>
            <w:pPr>
              <w:spacing w:after="0"/>
              <w:rPr>
                <w:sz w:val="1"/>
                <w:szCs w:val="1"/>
                <w:color w:val="auto"/>
              </w:rPr>
            </w:pPr>
          </w:p>
        </w:tc>
      </w:tr>
      <w:tr>
        <w:trPr>
          <w:trHeight w:val="282"/>
        </w:trPr>
        <w:tc>
          <w:tcPr>
            <w:tcW w:w="228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Period of Call Purchase of such batch of Forward Deliverables</w:t>
            </w:r>
          </w:p>
        </w:tc>
        <w:tc>
          <w:tcPr>
            <w:tcW w:w="0" w:type="dxa"/>
            <w:vAlign w:val="bottom"/>
          </w:tcPr>
          <w:p>
            <w:pPr>
              <w:spacing w:after="0"/>
              <w:rPr>
                <w:sz w:val="1"/>
                <w:szCs w:val="1"/>
                <w:color w:val="auto"/>
              </w:rPr>
            </w:pPr>
          </w:p>
        </w:tc>
      </w:tr>
      <w:tr>
        <w:trPr>
          <w:trHeight w:val="109"/>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22"/>
          <w:szCs w:val="22"/>
          <w:color w:val="auto"/>
        </w:rPr>
        <w:t>1.3 A request to cancel such Call Option or refund any part of Call Purchase Fee would not be entertained by BITMAIN.</w:t>
      </w:r>
    </w:p>
    <w:p>
      <w:pPr>
        <w:spacing w:after="0" w:line="205"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697" w:right="339" w:bottom="1440" w:gutter="0" w:footer="0" w:header="0"/>
        </w:sectPr>
      </w:pPr>
    </w:p>
    <w:bookmarkStart w:id="277" w:name="page278"/>
    <w:bookmarkEnd w:id="277"/>
    <w:p>
      <w:pPr>
        <w:ind w:left="-8" w:right="300" w:firstLine="8"/>
        <w:spacing w:after="0" w:line="286" w:lineRule="auto"/>
        <w:tabs>
          <w:tab w:leader="none" w:pos="307"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confidential portions (indicated by brackets and asterisks) have been omitted from this exhibit because such information is both (i) non-material and (ii) would be competitively harmful if publicly disclosed.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7" w:lineRule="exact"/>
        <w:rPr>
          <w:rFonts w:ascii="Times New Roman" w:cs="Times New Roman" w:eastAsia="Times New Roman" w:hAnsi="Times New Roman"/>
          <w:sz w:val="18"/>
          <w:szCs w:val="18"/>
          <w:b w:val="1"/>
          <w:bCs w:val="1"/>
          <w:color w:val="auto"/>
        </w:rPr>
      </w:pPr>
    </w:p>
    <w:p>
      <w:pPr>
        <w:jc w:val="both"/>
        <w:ind w:left="1292" w:hanging="439"/>
        <w:spacing w:after="0" w:line="258" w:lineRule="auto"/>
        <w:tabs>
          <w:tab w:leader="none" w:pos="1292"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Purchaser desires to exercise the Call Option to purchase any Forward Deliverables, the Purchaser shall deliver to BITMAIN during the Call Option Period a written, unconditional, and irrevocable notice of exercise (“</w:t>
      </w:r>
      <w:r>
        <w:rPr>
          <w:rFonts w:ascii="Times New Roman" w:cs="Times New Roman" w:eastAsia="Times New Roman" w:hAnsi="Times New Roman"/>
          <w:sz w:val="20"/>
          <w:szCs w:val="20"/>
          <w:b w:val="1"/>
          <w:bCs w:val="1"/>
          <w:color w:val="auto"/>
        </w:rPr>
        <w:t>Notice of Exercise</w:t>
      </w:r>
      <w:r>
        <w:rPr>
          <w:rFonts w:ascii="Times New Roman" w:cs="Times New Roman" w:eastAsia="Times New Roman" w:hAnsi="Times New Roman"/>
          <w:sz w:val="20"/>
          <w:szCs w:val="20"/>
          <w:color w:val="auto"/>
        </w:rPr>
        <w:t>”) which shall specify: (a) the estimated time period when BITMAIN shall deliver or ship the applicable batch of Forward Deliverables on condition that the Purchaser has fulfilled its payment of corresponding proportionate amount of the Call Purchase Price associated with the exercise of the Call Option hereunder (“</w:t>
      </w:r>
      <w:r>
        <w:rPr>
          <w:rFonts w:ascii="Times New Roman" w:cs="Times New Roman" w:eastAsia="Times New Roman" w:hAnsi="Times New Roman"/>
          <w:sz w:val="20"/>
          <w:szCs w:val="20"/>
          <w:b w:val="1"/>
          <w:bCs w:val="1"/>
          <w:color w:val="auto"/>
        </w:rPr>
        <w:t>Shipping Period of Call Purchase</w:t>
      </w:r>
      <w:r>
        <w:rPr>
          <w:rFonts w:ascii="Times New Roman" w:cs="Times New Roman" w:eastAsia="Times New Roman" w:hAnsi="Times New Roman"/>
          <w:sz w:val="20"/>
          <w:szCs w:val="20"/>
          <w:color w:val="auto"/>
        </w:rPr>
        <w:t xml:space="preserve">”); (b) the quantity and total rated hashrate of the applicable batch of Forward Deliverables; and (c) a shipping address or its intention to self-pick up the Forward Deliverables in a manner as agreed by the Parties. The Parties agree that BITMAIN shall deliver or ship the Forward Deliverables contemplated in any Notice of Exercise as soon as possible but in any event no later than </w:t>
      </w:r>
      <w:r>
        <w:rPr>
          <w:rFonts w:ascii="Times New Roman" w:cs="Times New Roman" w:eastAsia="Times New Roman" w:hAnsi="Times New Roman"/>
          <w:sz w:val="20"/>
          <w:szCs w:val="20"/>
          <w:u w:val="single" w:color="auto"/>
          <w:color w:val="auto"/>
        </w:rPr>
        <w:t>180 days</w:t>
      </w:r>
      <w:r>
        <w:rPr>
          <w:rFonts w:ascii="Times New Roman" w:cs="Times New Roman" w:eastAsia="Times New Roman" w:hAnsi="Times New Roman"/>
          <w:sz w:val="20"/>
          <w:szCs w:val="20"/>
          <w:color w:val="auto"/>
        </w:rPr>
        <w:t xml:space="preserve"> from of date of the receipt by BITMAIN of the applicable Notice of Exercise. By way of example, if the Purchaser delivers a Notice of Exercise to BITMAIN on December 31, 2024, being the last date of the Call Option Period, then BITMAIN shall have until June 29, 2025 to deliver or ship the Forward Deliverables specified in such notice.</w:t>
      </w: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jc w:val="both"/>
        <w:ind w:left="1292" w:hanging="439"/>
        <w:spacing w:after="0" w:line="239" w:lineRule="auto"/>
        <w:tabs>
          <w:tab w:leader="none" w:pos="1292"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shipping of the Forward Deliverables shall be completed in accordance with the procedure as set forth in Clause 4 of this Agreement, and the Forward Deliverables shall be subject to all other applicable terms and conditions of this Agreement regarding Products, including but not limited to Clause 5 Customs, Clause 6 Warranty and Appendix A, unless otherwise specified in this Appendix C.</w:t>
      </w:r>
    </w:p>
    <w:p>
      <w:pPr>
        <w:spacing w:after="0" w:line="179" w:lineRule="exact"/>
        <w:rPr>
          <w:sz w:val="20"/>
          <w:szCs w:val="20"/>
          <w:color w:val="auto"/>
        </w:rPr>
      </w:pPr>
    </w:p>
    <w:p>
      <w:pPr>
        <w:jc w:val="both"/>
        <w:ind w:left="792" w:right="20" w:hanging="373"/>
        <w:spacing w:after="0" w:line="307"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In the event the Purchaser exercises the Call Option, the Purchaser and BITMAIN shall take all actions as may be reasonably necessary to consummate the purchase of any Forward Deliverables pursuant to this Appendix C.</w:t>
      </w:r>
    </w:p>
    <w:p>
      <w:pPr>
        <w:spacing w:after="0" w:line="113" w:lineRule="exact"/>
        <w:rPr>
          <w:sz w:val="20"/>
          <w:szCs w:val="20"/>
          <w:color w:val="auto"/>
        </w:rPr>
      </w:pPr>
    </w:p>
    <w:p>
      <w:pPr>
        <w:jc w:val="both"/>
        <w:ind w:left="792" w:hanging="373"/>
        <w:spacing w:after="0" w:line="239"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Constriction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w:t>
      </w:r>
      <w:r>
        <w:rPr>
          <w:rFonts w:ascii="Times New Roman" w:cs="Times New Roman" w:eastAsia="Times New Roman" w:hAnsi="Times New Roman"/>
          <w:sz w:val="22"/>
          <w:szCs w:val="22"/>
          <w:color w:val="auto"/>
        </w:rPr>
        <w:t xml:space="preserve"> the event that the Purchaser is in default of its obligations under this Agreement, including but not limited to the payment obligation, then without prejudice to any other rights and remedies that BITMAIN may have under this Agreement or otherwise, the Parties agree that the Call Option shall not be exercised and shall immediately become of no effect without any penalty to BITMAIN, unless such default is waived by BITMAIN.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697"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SUBSIDIARIES OF CIPHER MINING INC.</w:t>
            </w:r>
          </w:p>
        </w:tc>
      </w:tr>
      <w:tr>
        <w:trPr>
          <w:trHeight w:val="65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Alborz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Alborz Mining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Bear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Bear Mining 1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Bear Mining 2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Mining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Mountain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Cipher Black Pearl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Cipher Mining (Canada) Inc.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Cipher Mining Infrastructure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Cipher Mining Technologies Inc.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Cipher Operations and Maintenance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Cipher Red Dragon Limited</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Cipher Technology Inc.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CMO Mining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Odessa Mining LLC</w:t>
            </w:r>
          </w:p>
        </w:tc>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Delaware</w:t>
            </w:r>
          </w:p>
        </w:tc>
      </w:tr>
      <w:tr>
        <w:trPr>
          <w:trHeight w:val="991"/>
        </w:trPr>
        <w:tc>
          <w:tcPr>
            <w:tcW w:w="35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Cipher Mining Inc. on Form S-8 (File No. 333-261148), Form S-3 (File No. 333-267537) and Form S-3 (File No. 333-271641) of our report dated March 5, 2024, with respect to our audits of the consolidated financial statements of Cipher Mining Inc. as of December 31, 2023 and December 31, 2022 and for the years ended December 31, 2023 and December 31, 2022, which report is included in this Annual Report on Form 10-K of Cipher Mining Inc.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520" w:hanging="512"/>
        <w:spacing w:after="0"/>
        <w:tabs>
          <w:tab w:leader="none" w:pos="5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Mining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00" w:hanging="512"/>
        <w:spacing w:after="0" w:line="265" w:lineRule="auto"/>
        <w:tabs>
          <w:tab w:leader="none" w:pos="5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25" w:lineRule="exact"/>
        <w:rPr>
          <w:sz w:val="20"/>
          <w:szCs w:val="20"/>
          <w:color w:val="auto"/>
        </w:rPr>
      </w:pPr>
    </w:p>
    <w:p>
      <w:pPr>
        <w:ind w:left="520" w:hanging="512"/>
        <w:spacing w:after="0"/>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Mining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00" w:hanging="512"/>
        <w:spacing w:after="0" w:line="265"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Cipher Mining Inc. (the “Company”) for the year ended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Cipher Mining Inc. (the “Company”) for the year ended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162"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color w:val="auto"/>
        </w:rPr>
        <w:t>This CIPHER MINING INC. Compensation Recoupment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CIPHER MINING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November 2,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220" w:firstLine="8"/>
        <w:spacing w:after="0" w:line="281" w:lineRule="auto"/>
        <w:tabs>
          <w:tab w:leader="none" w:pos="50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 Capitalized terms used but not defined in this Policy shall have the meanings set forth in the Cipher Mining Inc. 2021 Incentive Award Plan (as may be amended from time to time).</w:t>
      </w:r>
    </w:p>
    <w:p>
      <w:pPr>
        <w:spacing w:after="0" w:line="132" w:lineRule="exact"/>
        <w:rPr>
          <w:sz w:val="20"/>
          <w:szCs w:val="20"/>
          <w:color w:val="auto"/>
        </w:rPr>
      </w:pPr>
    </w:p>
    <w:p>
      <w:pPr>
        <w:ind w:right="120" w:firstLine="8"/>
        <w:spacing w:after="0" w:line="268" w:lineRule="auto"/>
        <w:tabs>
          <w:tab w:leader="none" w:pos="5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29" w:lineRule="exact"/>
        <w:rPr>
          <w:rFonts w:ascii="Times New Roman" w:cs="Times New Roman" w:eastAsia="Times New Roman" w:hAnsi="Times New Roman"/>
          <w:sz w:val="18"/>
          <w:szCs w:val="18"/>
          <w:color w:val="auto"/>
        </w:rPr>
      </w:pPr>
    </w:p>
    <w:p>
      <w:pPr>
        <w:ind w:right="40" w:firstLine="8"/>
        <w:spacing w:after="0" w:line="286" w:lineRule="auto"/>
        <w:tabs>
          <w:tab w:leader="none" w:pos="5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117" w:lineRule="exact"/>
        <w:rPr>
          <w:sz w:val="20"/>
          <w:szCs w:val="20"/>
          <w:color w:val="auto"/>
        </w:rPr>
      </w:pPr>
    </w:p>
    <w:p>
      <w:pPr>
        <w:jc w:val="both"/>
        <w:ind w:right="360" w:firstLine="8"/>
        <w:spacing w:after="0" w:line="312" w:lineRule="auto"/>
        <w:tabs>
          <w:tab w:leader="none" w:pos="509"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12" w:lineRule="exact"/>
        <w:rPr>
          <w:rFonts w:ascii="Times New Roman" w:cs="Times New Roman" w:eastAsia="Times New Roman" w:hAnsi="Times New Roman"/>
          <w:sz w:val="17"/>
          <w:szCs w:val="17"/>
          <w:color w:val="auto"/>
        </w:rPr>
      </w:pPr>
    </w:p>
    <w:p>
      <w:pPr>
        <w:ind w:right="1120" w:firstLine="8"/>
        <w:spacing w:after="0" w:line="281" w:lineRule="auto"/>
        <w:tabs>
          <w:tab w:leader="none" w:pos="50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applicable to such Incentive-based Compensation.</w:t>
      </w:r>
    </w:p>
    <w:p>
      <w:pPr>
        <w:spacing w:after="0" w:line="11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29" w:lineRule="exact"/>
        <w:rPr>
          <w:sz w:val="20"/>
          <w:szCs w:val="20"/>
          <w:color w:val="auto"/>
        </w:rPr>
      </w:pPr>
    </w:p>
    <w:p>
      <w:pPr>
        <w:ind w:right="40" w:firstLine="8"/>
        <w:spacing w:after="0" w:line="286" w:lineRule="auto"/>
        <w:tabs>
          <w:tab w:leader="none" w:pos="5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(i) current or former Executive Officer and (ii) any other employee of the Company and its subsidiaries designated by the Committee as subject to this Policy from time to time.</w:t>
      </w:r>
    </w:p>
    <w:p>
      <w:pPr>
        <w:spacing w:after="0" w:line="12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October 2, 2023.</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84" w:lineRule="exact"/>
        <w:rPr>
          <w:rFonts w:ascii="Times New Roman" w:cs="Times New Roman" w:eastAsia="Times New Roman" w:hAnsi="Times New Roman"/>
          <w:sz w:val="18"/>
          <w:szCs w:val="18"/>
          <w:color w:val="auto"/>
        </w:rPr>
      </w:pPr>
    </w:p>
    <w:p>
      <w:pPr>
        <w:ind w:right="40" w:firstLine="8"/>
        <w:spacing w:after="0" w:line="256" w:lineRule="auto"/>
        <w:tabs>
          <w:tab w:leader="none" w:pos="5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53" w:lineRule="exact"/>
        <w:rPr>
          <w:rFonts w:ascii="Times New Roman" w:cs="Times New Roman" w:eastAsia="Times New Roman" w:hAnsi="Times New Roman"/>
          <w:sz w:val="18"/>
          <w:szCs w:val="18"/>
          <w:color w:val="auto"/>
        </w:rPr>
      </w:pPr>
    </w:p>
    <w:p>
      <w:pPr>
        <w:ind w:right="120" w:firstLine="8"/>
        <w:spacing w:after="0" w:line="291" w:lineRule="auto"/>
        <w:tabs>
          <w:tab w:leader="none" w:pos="509"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Reporting Measure</w:t>
      </w:r>
      <w:r>
        <w:rPr>
          <w:rFonts w:ascii="Times New Roman" w:cs="Times New Roman" w:eastAsia="Times New Roman" w:hAnsi="Times New Roman"/>
          <w:sz w:val="17"/>
          <w:szCs w:val="17"/>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962660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85" w:name="page286"/>
    <w:bookmarkEnd w:id="285"/>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Company’s financial statements or included in a filing with the U.S. Securities and Exchange Commission to constitute a Financial Reporting Measure.</w:t>
      </w:r>
    </w:p>
    <w:p>
      <w:pPr>
        <w:spacing w:after="0" w:line="118" w:lineRule="exact"/>
        <w:rPr>
          <w:sz w:val="20"/>
          <w:szCs w:val="20"/>
          <w:color w:val="auto"/>
        </w:rPr>
      </w:pPr>
    </w:p>
    <w:p>
      <w:pPr>
        <w:ind w:right="460" w:firstLine="8"/>
        <w:spacing w:after="0" w:line="286" w:lineRule="auto"/>
        <w:tabs>
          <w:tab w:leader="none" w:pos="50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Company’s material noncompliance with any financial reporting requirement under U.S. federal securities laws that is required in order to correct:</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pacing w:after="0" w:line="184" w:lineRule="exact"/>
        <w:rPr>
          <w:sz w:val="20"/>
          <w:szCs w:val="20"/>
          <w:color w:val="auto"/>
        </w:rPr>
      </w:pPr>
    </w:p>
    <w:p>
      <w:pPr>
        <w:ind w:left="520" w:hanging="512"/>
        <w:spacing w:after="0"/>
        <w:tabs>
          <w:tab w:leader="none" w:pos="52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error that would result in a material misstatement if the error were (A) corrected in the current period or (B) left uncorrected in the current period.</w:t>
      </w:r>
    </w:p>
    <w:p>
      <w:pPr>
        <w:spacing w:after="0" w:line="1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55" w:lineRule="exact"/>
        <w:rPr>
          <w:sz w:val="20"/>
          <w:szCs w:val="20"/>
          <w:color w:val="auto"/>
        </w:rPr>
      </w:pPr>
    </w:p>
    <w:p>
      <w:pPr>
        <w:ind w:firstLine="8"/>
        <w:spacing w:after="0" w:line="257" w:lineRule="auto"/>
        <w:tabs>
          <w:tab w:leader="none" w:pos="5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3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or any successor thereof.</w:t>
      </w:r>
    </w:p>
    <w:p>
      <w:pPr>
        <w:spacing w:after="0" w:line="184" w:lineRule="exact"/>
        <w:rPr>
          <w:rFonts w:ascii="Times New Roman" w:cs="Times New Roman" w:eastAsia="Times New Roman" w:hAnsi="Times New Roman"/>
          <w:sz w:val="18"/>
          <w:szCs w:val="18"/>
          <w:color w:val="auto"/>
        </w:rPr>
      </w:pPr>
    </w:p>
    <w:p>
      <w:pPr>
        <w:ind w:right="20" w:firstLine="8"/>
        <w:spacing w:after="0" w:line="262" w:lineRule="auto"/>
        <w:tabs>
          <w:tab w:leader="none" w:pos="5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Period</w:t>
      </w:r>
      <w:r>
        <w:rPr>
          <w:rFonts w:ascii="Times New Roman" w:cs="Times New Roman" w:eastAsia="Times New Roman" w:hAnsi="Times New Roman"/>
          <w:sz w:val="18"/>
          <w:szCs w:val="18"/>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47" w:lineRule="exact"/>
        <w:rPr>
          <w:rFonts w:ascii="Times New Roman" w:cs="Times New Roman" w:eastAsia="Times New Roman" w:hAnsi="Times New Roman"/>
          <w:sz w:val="18"/>
          <w:szCs w:val="18"/>
          <w:color w:val="auto"/>
        </w:rPr>
      </w:pPr>
    </w:p>
    <w:p>
      <w:pPr>
        <w:ind w:right="100" w:firstLine="8"/>
        <w:spacing w:after="0" w:line="268" w:lineRule="auto"/>
        <w:tabs>
          <w:tab w:leader="none" w:pos="5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Trigger Date</w:t>
      </w:r>
      <w:r>
        <w:rPr>
          <w:rFonts w:ascii="Times New Roman" w:cs="Times New Roman" w:eastAsia="Times New Roman" w:hAnsi="Times New Roman"/>
          <w:sz w:val="18"/>
          <w:szCs w:val="18"/>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33" w:lineRule="exact"/>
        <w:rPr>
          <w:sz w:val="20"/>
          <w:szCs w:val="20"/>
          <w:color w:val="auto"/>
        </w:rPr>
      </w:pPr>
    </w:p>
    <w:p>
      <w:pPr>
        <w:ind w:left="520" w:hanging="512"/>
        <w:spacing w:after="0"/>
        <w:tabs>
          <w:tab w:leader="none" w:pos="5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8"/>
        <w:spacing w:after="0" w:line="259" w:lineRule="auto"/>
        <w:tabs>
          <w:tab w:leader="none" w:pos="50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right="40" w:firstLine="8"/>
        <w:spacing w:after="0" w:line="260" w:lineRule="auto"/>
        <w:tabs>
          <w:tab w:leader="none" w:pos="50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286" w:name="page287"/>
    <w:bookmarkEnd w:id="286"/>
    <w:p>
      <w:pPr>
        <w:ind w:left="520"/>
        <w:spacing w:after="0"/>
        <w:rPr>
          <w:sz w:val="20"/>
          <w:szCs w:val="20"/>
          <w:color w:val="auto"/>
        </w:rPr>
      </w:pPr>
      <w:r>
        <w:rPr>
          <w:rFonts w:ascii="Times New Roman" w:cs="Times New Roman" w:eastAsia="Times New Roman" w:hAnsi="Times New Roman"/>
          <w:sz w:val="18"/>
          <w:szCs w:val="18"/>
          <w:color w:val="auto"/>
        </w:rPr>
        <w:t>stock price or total shareholder return (or the derivative measure thereof) upon which such Covered Compensation was received.</w:t>
      </w:r>
    </w:p>
    <w:p>
      <w:pPr>
        <w:spacing w:after="0" w:line="184" w:lineRule="exact"/>
        <w:rPr>
          <w:sz w:val="20"/>
          <w:szCs w:val="20"/>
          <w:color w:val="auto"/>
        </w:rPr>
      </w:pPr>
    </w:p>
    <w:p>
      <w:pPr>
        <w:ind w:right="60" w:firstLine="8"/>
        <w:spacing w:after="0" w:line="312" w:lineRule="auto"/>
        <w:tabs>
          <w:tab w:leader="none" w:pos="509"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12"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Sections 2(a) through (c) hereof, the Company shall not be required to recover any Erroneously</w:t>
      </w:r>
    </w:p>
    <w:p>
      <w:pPr>
        <w:spacing w:after="0" w:line="27"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spacing w:after="0" w:line="140" w:lineRule="exact"/>
        <w:rPr>
          <w:sz w:val="20"/>
          <w:szCs w:val="20"/>
          <w:color w:val="auto"/>
        </w:rPr>
      </w:pPr>
    </w:p>
    <w:p>
      <w:pPr>
        <w:ind w:right="40" w:firstLine="8"/>
        <w:spacing w:after="0" w:line="260" w:lineRule="auto"/>
        <w:tabs>
          <w:tab w:leader="none" w:pos="50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 or</w:t>
      </w:r>
    </w:p>
    <w:p>
      <w:pPr>
        <w:spacing w:after="0" w:line="141" w:lineRule="exact"/>
        <w:rPr>
          <w:rFonts w:ascii="Times New Roman" w:cs="Times New Roman" w:eastAsia="Times New Roman" w:hAnsi="Times New Roman"/>
          <w:sz w:val="18"/>
          <w:szCs w:val="18"/>
          <w:color w:val="auto"/>
        </w:rPr>
      </w:pPr>
    </w:p>
    <w:p>
      <w:pPr>
        <w:ind w:right="40" w:firstLine="8"/>
        <w:spacing w:after="0" w:line="265" w:lineRule="auto"/>
        <w:tabs>
          <w:tab w:leader="none" w:pos="50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ind w:firstLine="8"/>
        <w:spacing w:after="0" w:line="265" w:lineRule="auto"/>
        <w:tabs>
          <w:tab w:leader="none" w:pos="5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36" w:lineRule="exact"/>
        <w:rPr>
          <w:rFonts w:ascii="Times New Roman" w:cs="Times New Roman" w:eastAsia="Times New Roman" w:hAnsi="Times New Roman"/>
          <w:sz w:val="18"/>
          <w:szCs w:val="18"/>
          <w:color w:val="auto"/>
        </w:rPr>
      </w:pPr>
    </w:p>
    <w:p>
      <w:pPr>
        <w:ind w:firstLine="8"/>
        <w:spacing w:after="0" w:line="254" w:lineRule="auto"/>
        <w:tabs>
          <w:tab w:leader="none" w:pos="5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45" w:lineRule="exact"/>
        <w:rPr>
          <w:sz w:val="20"/>
          <w:szCs w:val="20"/>
          <w:color w:val="auto"/>
        </w:rPr>
      </w:pPr>
    </w:p>
    <w:p>
      <w:pPr>
        <w:ind w:right="20" w:firstLine="8"/>
        <w:spacing w:after="0" w:line="255" w:lineRule="auto"/>
        <w:tabs>
          <w:tab w:leader="none" w:pos="5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59" w:lineRule="exact"/>
        <w:rPr>
          <w:rFonts w:ascii="Times New Roman" w:cs="Times New Roman" w:eastAsia="Times New Roman" w:hAnsi="Times New Roman"/>
          <w:sz w:val="18"/>
          <w:szCs w:val="18"/>
          <w:color w:val="auto"/>
        </w:rPr>
      </w:pPr>
    </w:p>
    <w:p>
      <w:pPr>
        <w:ind w:right="120" w:firstLine="8"/>
        <w:spacing w:after="0" w:line="258" w:lineRule="auto"/>
        <w:tabs>
          <w:tab w:leader="none" w:pos="5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Section 10D of the Exchange Act and the Listing Rule,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287" w:name="page288"/>
    <w:bookmarkEnd w:id="287"/>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longer be effective from and after the date that the Company no longer has a class of securities publicly listed on a United States national securities exchange.</w:t>
      </w:r>
    </w:p>
    <w:p>
      <w:pPr>
        <w:spacing w:after="0" w:line="122" w:lineRule="exact"/>
        <w:rPr>
          <w:sz w:val="20"/>
          <w:szCs w:val="20"/>
          <w:color w:val="auto"/>
        </w:rPr>
      </w:pPr>
    </w:p>
    <w:p>
      <w:pPr>
        <w:jc w:val="both"/>
        <w:ind w:right="320" w:firstLine="8"/>
        <w:spacing w:after="0" w:line="258" w:lineRule="auto"/>
        <w:tabs>
          <w:tab w:leader="none" w:pos="5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54" w:lineRule="exact"/>
        <w:rPr>
          <w:rFonts w:ascii="Times New Roman" w:cs="Times New Roman" w:eastAsia="Times New Roman" w:hAnsi="Times New Roman"/>
          <w:sz w:val="18"/>
          <w:szCs w:val="18"/>
          <w:color w:val="auto"/>
        </w:rPr>
      </w:pPr>
    </w:p>
    <w:p>
      <w:pPr>
        <w:ind w:right="140" w:firstLine="8"/>
        <w:spacing w:after="0" w:line="255" w:lineRule="auto"/>
        <w:tabs>
          <w:tab w:leader="none" w:pos="5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Clawback/Recoupment Rights</w:t>
      </w:r>
      <w:r>
        <w:rPr>
          <w:rFonts w:ascii="Times New Roman" w:cs="Times New Roman" w:eastAsia="Times New Roman" w:hAnsi="Times New Roman"/>
          <w:sz w:val="18"/>
          <w:szCs w:val="18"/>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or clawed back under any other policy that would be recoupable under this Policy shall count toward any required clawback or recoupment under this Policy and vice versa.</w:t>
      </w:r>
    </w:p>
    <w:p>
      <w:pPr>
        <w:spacing w:after="0" w:line="146" w:lineRule="exact"/>
        <w:rPr>
          <w:rFonts w:ascii="Times New Roman" w:cs="Times New Roman" w:eastAsia="Times New Roman" w:hAnsi="Times New Roman"/>
          <w:sz w:val="18"/>
          <w:szCs w:val="18"/>
          <w:color w:val="auto"/>
        </w:rPr>
      </w:pPr>
    </w:p>
    <w:p>
      <w:pPr>
        <w:ind w:right="40" w:firstLine="8"/>
        <w:spacing w:after="0" w:line="276" w:lineRule="auto"/>
        <w:tabs>
          <w:tab w:leader="none" w:pos="509"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Compensation</w:t>
      </w:r>
      <w:r>
        <w:rPr>
          <w:rFonts w:ascii="Times New Roman" w:cs="Times New Roman" w:eastAsia="Times New Roman" w:hAnsi="Times New Roman"/>
          <w:sz w:val="17"/>
          <w:szCs w:val="17"/>
          <w:color w:val="auto"/>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amounts are in no way contingent on, and were not in any way granted on the basis of, the achievement of any Financial Reporting Measure performance goal.</w:t>
      </w:r>
    </w:p>
    <w:p>
      <w:pPr>
        <w:spacing w:after="0" w:line="129"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20" w:firstLine="8"/>
        <w:spacing w:after="0" w:line="258" w:lineRule="auto"/>
        <w:tabs>
          <w:tab w:leader="none" w:pos="5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Cipher Mining Inc. 2021 Incentive Award Plan and any successor plan thereto.</w:t>
      </w:r>
    </w:p>
    <w:p>
      <w:pPr>
        <w:spacing w:after="0" w:line="141" w:lineRule="exact"/>
        <w:rPr>
          <w:rFonts w:ascii="Times New Roman" w:cs="Times New Roman" w:eastAsia="Times New Roman" w:hAnsi="Times New Roman"/>
          <w:sz w:val="18"/>
          <w:szCs w:val="18"/>
          <w:color w:val="auto"/>
        </w:rPr>
      </w:pPr>
    </w:p>
    <w:p>
      <w:pPr>
        <w:ind w:right="260" w:firstLine="8"/>
        <w:spacing w:after="0" w:line="281" w:lineRule="auto"/>
        <w:tabs>
          <w:tab w:leader="none" w:pos="5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22" w:lineRule="exact"/>
        <w:rPr>
          <w:rFonts w:ascii="Times New Roman" w:cs="Times New Roman" w:eastAsia="Times New Roman" w:hAnsi="Times New Roman"/>
          <w:sz w:val="18"/>
          <w:szCs w:val="18"/>
          <w:color w:val="auto"/>
        </w:rPr>
      </w:pPr>
    </w:p>
    <w:p>
      <w:pPr>
        <w:ind w:firstLine="8"/>
        <w:spacing w:after="0" w:line="260" w:lineRule="auto"/>
        <w:tabs>
          <w:tab w:leader="none" w:pos="5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154" w:lineRule="exact"/>
        <w:rPr>
          <w:rFonts w:ascii="Times New Roman" w:cs="Times New Roman" w:eastAsia="Times New Roman" w:hAnsi="Times New Roman"/>
          <w:sz w:val="18"/>
          <w:szCs w:val="18"/>
          <w:color w:val="auto"/>
        </w:rPr>
      </w:pPr>
    </w:p>
    <w:p>
      <w:pPr>
        <w:ind w:firstLine="8"/>
        <w:spacing w:after="0" w:line="255" w:lineRule="auto"/>
        <w:tabs>
          <w:tab w:leader="none" w:pos="5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the federal and state courts sitting in New York, New York shall be the sole and exclusive forums for any and all disputes, claims, or causes of action arising from or relating to the enforcement, performance or interpretation of this Policy. The Covered Executives, their beneficiaries, heirs, executors, administrators and any other legal representative and the Company, shall not commence any suit, action or other proceeding arising out of or based upon this Agreement except in the United States District Court for the Southern District of New York or any New York court, and hereby waive, and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288" w:name="page289"/>
    <w:bookmarkEnd w:id="288"/>
    <w:p>
      <w:pPr>
        <w:ind w:firstLine="509"/>
        <w:spacing w:after="0" w:line="276" w:lineRule="auto"/>
        <w:rPr>
          <w:sz w:val="20"/>
          <w:szCs w:val="20"/>
          <w:color w:val="auto"/>
        </w:rPr>
      </w:pPr>
      <w:r>
        <w:rPr>
          <w:rFonts w:ascii="Times New Roman" w:cs="Times New Roman" w:eastAsia="Times New Roman" w:hAnsi="Times New Roman"/>
          <w:sz w:val="17"/>
          <w:szCs w:val="17"/>
          <w:color w:val="auto"/>
        </w:rPr>
        <w:t>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 To the fullest extent permitted by law, the Covered Executives, their beneficiaries, heirs, executors, administrators, and any other legal representative, and the Company, shall waive (and shall hereby be deemed to have waived) the right to resolve any such dispute through a trial by jury.</w:t>
      </w:r>
    </w:p>
    <w:p>
      <w:pPr>
        <w:spacing w:after="0" w:line="130" w:lineRule="exact"/>
        <w:rPr>
          <w:sz w:val="20"/>
          <w:szCs w:val="20"/>
          <w:color w:val="auto"/>
        </w:rPr>
      </w:pPr>
    </w:p>
    <w:p>
      <w:pPr>
        <w:ind w:firstLine="8"/>
        <w:spacing w:after="0" w:line="265" w:lineRule="auto"/>
        <w:tabs>
          <w:tab w:leader="none" w:pos="50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289" w:name="page290"/>
    <w:bookmarkEnd w:id="2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
      <w:numFmt w:val="bullet"/>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
      <w:numFmt w:val="bullet"/>
      <w:start w:val="1"/>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
      <w:numFmt w:val="bullet"/>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
      <w:numFmt w:val="bullet"/>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
      <w:numFmt w:val="bullet"/>
      <w:start w:val="1"/>
    </w:lvl>
  </w:abstractNum>
  <w:abstractNum w:abstractNumId="26">
    <w:nsid w:val="17180B0B"/>
    <w:multiLevelType w:val="hybridMultilevel"/>
    <w:lvl w:ilvl="0">
      <w:lvlJc w:val="left"/>
      <w:lvlText w:val="•"/>
      <w:numFmt w:val="bullet"/>
      <w:start w:val="1"/>
    </w:lvl>
  </w:abstractNum>
  <w:abstractNum w:abstractNumId="27">
    <w:nsid w:val="579328B9"/>
    <w:multiLevelType w:val="hybridMultilevel"/>
    <w:lvl w:ilvl="0">
      <w:lvlJc w:val="left"/>
      <w:lvlText w:val="•"/>
      <w:numFmt w:val="bullet"/>
      <w:start w:val="1"/>
    </w:lvl>
  </w:abstractNum>
  <w:abstractNum w:abstractNumId="28">
    <w:nsid w:val="5D205E20"/>
    <w:multiLevelType w:val="hybridMultilevel"/>
    <w:lvl w:ilvl="0">
      <w:lvlJc w:val="left"/>
      <w:lvlText w:val="•"/>
      <w:numFmt w:val="bullet"/>
      <w:start w:val="1"/>
    </w:lvl>
  </w:abstractNum>
  <w:abstractNum w:abstractNumId="29">
    <w:nsid w:val="11CCA8BA"/>
    <w:multiLevelType w:val="hybridMultilevel"/>
    <w:lvl w:ilvl="0">
      <w:lvlJc w:val="left"/>
      <w:lvlText w:val="•"/>
      <w:numFmt w:val="bullet"/>
      <w:start w:val="1"/>
    </w:lvl>
  </w:abstractNum>
  <w:abstractNum w:abstractNumId="30">
    <w:nsid w:val="4D32AB86"/>
    <w:multiLevelType w:val="hybridMultilevel"/>
    <w:lvl w:ilvl="0">
      <w:lvlJc w:val="left"/>
      <w:lvlText w:val="&amp;"/>
      <w:numFmt w:val="bullet"/>
      <w:start w:val="1"/>
    </w:lvl>
  </w:abstractNum>
  <w:abstractNum w:abstractNumId="31">
    <w:nsid w:val="3F07ACC3"/>
    <w:multiLevelType w:val="hybridMultilevel"/>
    <w:lvl w:ilvl="0">
      <w:lvlJc w:val="left"/>
      <w:lvlText w:val="•"/>
      <w:numFmt w:val="bullet"/>
      <w:start w:val="1"/>
    </w:lvl>
  </w:abstractNum>
  <w:abstractNum w:abstractNumId="32">
    <w:nsid w:val="6B47F63E"/>
    <w:multiLevelType w:val="hybridMultilevel"/>
    <w:lvl w:ilvl="0">
      <w:lvlJc w:val="left"/>
      <w:lvlText w:val="•"/>
      <w:numFmt w:val="bullet"/>
      <w:start w:val="1"/>
    </w:lvl>
  </w:abstractNum>
  <w:abstractNum w:abstractNumId="33">
    <w:nsid w:val="5CB44A05"/>
    <w:multiLevelType w:val="hybridMultilevel"/>
    <w:lvl w:ilvl="0">
      <w:lvlJc w:val="left"/>
      <w:lvlText w:val="•"/>
      <w:numFmt w:val="bullet"/>
      <w:start w:val="1"/>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1)"/>
      <w:numFmt w:val="lowerLetter"/>
      <w:start w:val="1"/>
    </w:lvl>
  </w:abstractNum>
  <w:abstractNum w:abstractNumId="36">
    <w:nsid w:val="3FCFAED9"/>
    <w:multiLevelType w:val="hybridMultilevel"/>
    <w:lvl w:ilvl="0">
      <w:lvlJc w:val="left"/>
      <w:lvlText w:val="(%1)"/>
      <w:numFmt w:val="lowerLetter"/>
      <w:start w:val="1"/>
    </w:lvl>
  </w:abstractNum>
  <w:abstractNum w:abstractNumId="37">
    <w:nsid w:val="F856867"/>
    <w:multiLevelType w:val="hybridMultilevel"/>
    <w:lvl w:ilvl="0">
      <w:lvlJc w:val="left"/>
      <w:lvlText w:val="(%1)"/>
      <w:numFmt w:val="lowerLetter"/>
      <w:start w:val="1"/>
    </w:lvl>
  </w:abstractNum>
  <w:abstractNum w:abstractNumId="38">
    <w:nsid w:val="11B1CC33"/>
    <w:multiLevelType w:val="hybridMultilevel"/>
    <w:lvl w:ilvl="0">
      <w:lvlJc w:val="left"/>
      <w:lvlText w:val="†"/>
      <w:numFmt w:val="bullet"/>
      <w:start w:val="1"/>
    </w:lvl>
  </w:abstractNum>
  <w:abstractNum w:abstractNumId="39">
    <w:nsid w:val="2E22FBB7"/>
    <w:multiLevelType w:val="hybridMultilevel"/>
    <w:lvl w:ilvl="0">
      <w:lvlJc w:val="left"/>
      <w:lvlText w:val="•"/>
      <w:numFmt w:val="bullet"/>
      <w:start w:val="1"/>
    </w:lvl>
  </w:abstractNum>
  <w:abstractNum w:abstractNumId="40">
    <w:nsid w:val="29934699"/>
    <w:multiLevelType w:val="hybridMultilevel"/>
    <w:lvl w:ilvl="0">
      <w:lvlJc w:val="left"/>
      <w:lvlText w:val="(%1)"/>
      <w:numFmt w:val="decimal"/>
      <w:start w:val="1"/>
    </w:lvl>
  </w:abstractNum>
  <w:abstractNum w:abstractNumId="41">
    <w:nsid w:val="77485850"/>
    <w:multiLevelType w:val="hybridMultilevel"/>
    <w:lvl w:ilvl="0">
      <w:lvlJc w:val="left"/>
      <w:lvlText w:val="•"/>
      <w:numFmt w:val="bullet"/>
      <w:start w:val="1"/>
    </w:lvl>
  </w:abstractNum>
  <w:abstractNum w:abstractNumId="42">
    <w:nsid w:val="744939A3"/>
    <w:multiLevelType w:val="hybridMultilevel"/>
    <w:lvl w:ilvl="0">
      <w:lvlJc w:val="left"/>
      <w:lvlText w:val="•"/>
      <w:numFmt w:val="bullet"/>
      <w:start w:val="1"/>
    </w:lvl>
  </w:abstractNum>
  <w:abstractNum w:abstractNumId="43">
    <w:nsid w:val="4FA0D2E3"/>
    <w:multiLevelType w:val="hybridMultilevel"/>
    <w:lvl w:ilvl="0">
      <w:lvlJc w:val="left"/>
      <w:lvlText w:val="•"/>
      <w:numFmt w:val="bullet"/>
      <w:start w:val="1"/>
    </w:lvl>
  </w:abstractNum>
  <w:abstractNum w:abstractNumId="44">
    <w:nsid w:val="6B1D2C14"/>
    <w:multiLevelType w:val="hybridMultilevel"/>
    <w:lvl w:ilvl="0">
      <w:lvlJc w:val="left"/>
      <w:lvlText w:val="•"/>
      <w:numFmt w:val="bullet"/>
      <w:start w:val="1"/>
    </w:lvl>
  </w:abstractNum>
  <w:abstractNum w:abstractNumId="45">
    <w:nsid w:val="68B867D3"/>
    <w:multiLevelType w:val="hybridMultilevel"/>
    <w:lvl w:ilvl="0">
      <w:lvlJc w:val="left"/>
      <w:lvlText w:val="(%1)"/>
      <w:numFmt w:val="decimal"/>
      <w:start w:val="1"/>
    </w:lvl>
  </w:abstractNum>
  <w:abstractNum w:abstractNumId="46">
    <w:nsid w:val="3F7F5DD9"/>
    <w:multiLevelType w:val="hybridMultilevel"/>
    <w:lvl w:ilvl="0">
      <w:lvlJc w:val="left"/>
      <w:lvlText w:val="(%1)"/>
      <w:numFmt w:val="lowerRoman"/>
      <w:start w:val="2"/>
    </w:lvl>
  </w:abstractNum>
  <w:abstractNum w:abstractNumId="47">
    <w:nsid w:val="2AE05A34"/>
    <w:multiLevelType w:val="hybridMultilevel"/>
    <w:lvl w:ilvl="0">
      <w:lvlJc w:val="left"/>
      <w:lvlText w:val="(%1)"/>
      <w:numFmt w:val="decimal"/>
      <w:start w:val="1"/>
    </w:lvl>
  </w:abstractNum>
  <w:abstractNum w:abstractNumId="48">
    <w:nsid w:val="32794FF7"/>
    <w:multiLevelType w:val="hybridMultilevel"/>
    <w:lvl w:ilvl="0">
      <w:lvlJc w:val="left"/>
      <w:lvlText w:val="(%1)"/>
      <w:numFmt w:val="decimal"/>
      <w:start w:val="1"/>
    </w:lvl>
  </w:abstractNum>
  <w:abstractNum w:abstractNumId="49">
    <w:nsid w:val="5454945E"/>
    <w:multiLevelType w:val="hybridMultilevel"/>
    <w:lvl w:ilvl="0">
      <w:lvlJc w:val="left"/>
      <w:lvlText w:val="•"/>
      <w:numFmt w:val="bullet"/>
      <w:start w:val="1"/>
    </w:lvl>
  </w:abstractNum>
  <w:abstractNum w:abstractNumId="50">
    <w:nsid w:val="4DEFDFA0"/>
    <w:multiLevelType w:val="hybridMultilevel"/>
    <w:lvl w:ilvl="0">
      <w:lvlJc w:val="left"/>
      <w:lvlText w:val="***"/>
      <w:numFmt w:val="bullet"/>
      <w:start w:val="1"/>
    </w:lvl>
  </w:abstractNum>
  <w:abstractNum w:abstractNumId="51">
    <w:nsid w:val="2123D5F2"/>
    <w:multiLevelType w:val="hybridMultilevel"/>
    <w:lvl w:ilvl="0">
      <w:lvlJc w:val="left"/>
      <w:lvlText w:val="***"/>
      <w:numFmt w:val="bullet"/>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
      <w:numFmt w:val="bullet"/>
      <w:start w:val="1"/>
    </w:lvl>
  </w:abstractNum>
  <w:abstractNum w:abstractNumId="54">
    <w:nsid w:val="DCDF8F6"/>
    <w:multiLevelType w:val="hybridMultilevel"/>
    <w:lvl w:ilvl="0">
      <w:lvlJc w:val="left"/>
      <w:lvlText w:val="***"/>
      <w:numFmt w:val="bullet"/>
      <w:start w:val="1"/>
    </w:lvl>
  </w:abstractNum>
  <w:abstractNum w:abstractNumId="55">
    <w:nsid w:val="52D7B105"/>
    <w:multiLevelType w:val="hybridMultilevel"/>
    <w:lvl w:ilvl="0">
      <w:lvlJc w:val="left"/>
      <w:lvlText w:val="***"/>
      <w:numFmt w:val="bullet"/>
      <w:start w:val="1"/>
    </w:lvl>
  </w:abstractNum>
  <w:abstractNum w:abstractNumId="56">
    <w:nsid w:val="2E8A6394"/>
    <w:multiLevelType w:val="hybridMultilevel"/>
    <w:lvl w:ilvl="0">
      <w:lvlJc w:val="left"/>
      <w:lvlText w:val="***"/>
      <w:numFmt w:val="bullet"/>
      <w:start w:val="1"/>
    </w:lvl>
  </w:abstractNum>
  <w:abstractNum w:abstractNumId="57">
    <w:nsid w:val="24E60401"/>
    <w:multiLevelType w:val="hybridMultilevel"/>
    <w:lvl w:ilvl="0">
      <w:lvlJc w:val="left"/>
      <w:lvlText w:val="***"/>
      <w:numFmt w:val="bullet"/>
      <w:start w:val="1"/>
    </w:lvl>
  </w:abstractNum>
  <w:abstractNum w:abstractNumId="58">
    <w:nsid w:val="2A6AD9BE"/>
    <w:multiLevelType w:val="hybridMultilevel"/>
    <w:lvl w:ilvl="0">
      <w:lvlJc w:val="left"/>
      <w:lvlText w:val="***"/>
      <w:numFmt w:val="bullet"/>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
      <w:numFmt w:val="bullet"/>
      <w:start w:val="1"/>
    </w:lvl>
  </w:abstractNum>
  <w:abstractNum w:abstractNumId="61">
    <w:nsid w:val="779D8544"/>
    <w:multiLevelType w:val="hybridMultilevel"/>
    <w:lvl w:ilvl="0">
      <w:lvlJc w:val="left"/>
      <w:lvlText w:val="***"/>
      <w:numFmt w:val="bullet"/>
      <w:start w:val="1"/>
    </w:lvl>
  </w:abstractNum>
  <w:abstractNum w:abstractNumId="62">
    <w:nsid w:val="4AB26E78"/>
    <w:multiLevelType w:val="hybridMultilevel"/>
    <w:lvl w:ilvl="0">
      <w:lvlJc w:val="left"/>
      <w:lvlText w:val="***"/>
      <w:numFmt w:val="bullet"/>
      <w:start w:val="1"/>
    </w:lvl>
  </w:abstractNum>
  <w:abstractNum w:abstractNumId="63">
    <w:nsid w:val="21FAA2FA"/>
    <w:multiLevelType w:val="hybridMultilevel"/>
    <w:lvl w:ilvl="0">
      <w:lvlJc w:val="left"/>
      <w:lvlText w:val="***"/>
      <w:numFmt w:val="bullet"/>
      <w:start w:val="1"/>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
      <w:numFmt w:val="bullet"/>
      <w:start w:val="1"/>
    </w:lvl>
  </w:abstractNum>
  <w:abstractNum w:abstractNumId="66">
    <w:nsid w:val="3E6400E6"/>
    <w:multiLevelType w:val="hybridMultilevel"/>
    <w:lvl w:ilvl="0">
      <w:lvlJc w:val="left"/>
      <w:lvlText w:val="(%1)"/>
      <w:numFmt w:val="lowerLetter"/>
      <w:start w:val="1"/>
    </w:lvl>
  </w:abstractNum>
  <w:abstractNum w:abstractNumId="67">
    <w:nsid w:val="14217E23"/>
    <w:multiLevelType w:val="hybridMultilevel"/>
    <w:lvl w:ilvl="0">
      <w:lvlJc w:val="left"/>
      <w:lvlText w:val="***"/>
      <w:numFmt w:val="bullet"/>
      <w:start w:val="1"/>
    </w:lvl>
    <w:lvl w:ilvl="1">
      <w:lvlJc w:val="left"/>
      <w:lvlText w:val="(%2)"/>
      <w:numFmt w:val="lowerLetter"/>
      <w:start w:val="3"/>
    </w:lvl>
  </w:abstractNum>
  <w:abstractNum w:abstractNumId="68">
    <w:nsid w:val="710757D0"/>
    <w:multiLevelType w:val="hybridMultilevel"/>
    <w:lvl w:ilvl="0">
      <w:lvlJc w:val="left"/>
      <w:lvlText w:val="***"/>
      <w:numFmt w:val="bullet"/>
      <w:start w:val="1"/>
    </w:lvl>
  </w:abstractNum>
  <w:abstractNum w:abstractNumId="69">
    <w:nsid w:val="5015CD1A"/>
    <w:multiLevelType w:val="hybridMultilevel"/>
    <w:lvl w:ilvl="0">
      <w:lvlJc w:val="left"/>
      <w:lvlText w:val="(%1)"/>
      <w:numFmt w:val="lowerLetter"/>
      <w:start w:val="1"/>
    </w:lvl>
  </w:abstractNum>
  <w:abstractNum w:abstractNumId="70">
    <w:nsid w:val="424479DA"/>
    <w:multiLevelType w:val="hybridMultilevel"/>
    <w:lvl w:ilvl="0">
      <w:lvlJc w:val="left"/>
      <w:lvlText w:val="&amp;"/>
      <w:numFmt w:val="bullet"/>
      <w:start w:val="1"/>
    </w:lvl>
    <w:lvl w:ilvl="1">
      <w:lvlJc w:val="left"/>
      <w:lvlText w:val="(%2)"/>
      <w:numFmt w:val="lowerLetter"/>
      <w:start w:val="1"/>
    </w:lvl>
  </w:abstractNum>
  <w:abstractNum w:abstractNumId="71">
    <w:nsid w:val="1A9A9E69"/>
    <w:multiLevelType w:val="hybridMultilevel"/>
    <w:lvl w:ilvl="0">
      <w:lvlJc w:val="left"/>
      <w:lvlText w:val="***"/>
      <w:numFmt w:val="bullet"/>
      <w:start w:val="1"/>
    </w:lvl>
  </w:abstractNum>
  <w:abstractNum w:abstractNumId="72">
    <w:nsid w:val="475E256A"/>
    <w:multiLevelType w:val="hybridMultilevel"/>
    <w:lvl w:ilvl="0">
      <w:lvlJc w:val="left"/>
      <w:lvlText w:val="(%1)"/>
      <w:numFmt w:val="lowerLetter"/>
      <w:start w:val="2"/>
    </w:lvl>
  </w:abstractNum>
  <w:abstractNum w:abstractNumId="73">
    <w:nsid w:val="368DB37E"/>
    <w:multiLevelType w:val="hybridMultilevel"/>
    <w:lvl w:ilvl="0">
      <w:lvlJc w:val="left"/>
      <w:lvlText w:val="***"/>
      <w:numFmt w:val="bullet"/>
      <w:start w:val="1"/>
    </w:lvl>
  </w:abstractNum>
  <w:abstractNum w:abstractNumId="74">
    <w:nsid w:val="6A3B714C"/>
    <w:multiLevelType w:val="hybridMultilevel"/>
    <w:lvl w:ilvl="0">
      <w:lvlJc w:val="left"/>
      <w:lvlText w:val="(%1)"/>
      <w:numFmt w:val="lowerLetter"/>
      <w:start w:val="1"/>
    </w:lvl>
  </w:abstractNum>
  <w:abstractNum w:abstractNumId="75">
    <w:nsid w:val="327B517E"/>
    <w:multiLevelType w:val="hybridMultilevel"/>
    <w:lvl w:ilvl="0">
      <w:lvlJc w:val="left"/>
      <w:lvlText w:val="***"/>
      <w:numFmt w:val="bullet"/>
      <w:start w:val="1"/>
    </w:lvl>
  </w:abstractNum>
  <w:abstractNum w:abstractNumId="76">
    <w:nsid w:val="1F461B51"/>
    <w:multiLevelType w:val="hybridMultilevel"/>
    <w:lvl w:ilvl="0">
      <w:lvlJc w:val="left"/>
      <w:lvlText w:val="(%1)"/>
      <w:numFmt w:val="lowerLetter"/>
      <w:start w:val="1"/>
    </w:lvl>
  </w:abstractNum>
  <w:abstractNum w:abstractNumId="77">
    <w:nsid w:val="29BACF25"/>
    <w:multiLevelType w:val="hybridMultilevel"/>
    <w:lvl w:ilvl="0">
      <w:lvlJc w:val="left"/>
      <w:lvlText w:val="***"/>
      <w:numFmt w:val="bullet"/>
      <w:start w:val="1"/>
    </w:lvl>
  </w:abstractNum>
  <w:abstractNum w:abstractNumId="78">
    <w:nsid w:val="5D5BABB3"/>
    <w:multiLevelType w:val="hybridMultilevel"/>
    <w:lvl w:ilvl="0">
      <w:lvlJc w:val="left"/>
      <w:lvlText w:val="(%1)"/>
      <w:numFmt w:val="lowerLetter"/>
      <w:start w:val="1"/>
    </w:lvl>
  </w:abstractNum>
  <w:abstractNum w:abstractNumId="79">
    <w:nsid w:val="51BF6B48"/>
    <w:multiLevelType w:val="hybridMultilevel"/>
    <w:lvl w:ilvl="0">
      <w:lvlJc w:val="left"/>
      <w:lvlText w:val="***"/>
      <w:numFmt w:val="bullet"/>
      <w:start w:val="1"/>
    </w:lvl>
  </w:abstractNum>
  <w:abstractNum w:abstractNumId="80">
    <w:nsid w:val="7E0F6384"/>
    <w:multiLevelType w:val="hybridMultilevel"/>
    <w:lvl w:ilvl="0">
      <w:lvlJc w:val="left"/>
      <w:lvlText w:val="%1"/>
      <w:numFmt w:val="decimal"/>
      <w:start w:val="1"/>
    </w:lvl>
    <w:lvl w:ilvl="1">
      <w:lvlJc w:val="left"/>
      <w:lvlText w:val="(%2)"/>
      <w:numFmt w:val="lowerLetter"/>
      <w:start w:val="7"/>
    </w:lvl>
  </w:abstractNum>
  <w:abstractNum w:abstractNumId="81">
    <w:nsid w:val="2B4B8B53"/>
    <w:multiLevelType w:val="hybridMultilevel"/>
    <w:lvl w:ilvl="0">
      <w:lvlJc w:val="left"/>
      <w:lvlText w:val="(%1)"/>
      <w:numFmt w:val="decimal"/>
      <w:start w:val="3"/>
    </w:lvl>
    <w:lvl w:ilvl="1">
      <w:lvlJc w:val="left"/>
      <w:lvlText w:val="(%2)"/>
      <w:numFmt w:val="lowerLetter"/>
      <w:start w:val="9"/>
    </w:lvl>
  </w:abstractNum>
  <w:abstractNum w:abstractNumId="82">
    <w:nsid w:val="72E3413A"/>
    <w:multiLevelType w:val="hybridMultilevel"/>
    <w:lvl w:ilvl="0">
      <w:lvlJc w:val="left"/>
      <w:lvlText w:val="(%1)"/>
      <w:numFmt w:val="lowerLetter"/>
      <w:start w:val="1"/>
    </w:lvl>
  </w:abstractNum>
  <w:abstractNum w:abstractNumId="83">
    <w:nsid w:val="116AE494"/>
    <w:multiLevelType w:val="hybridMultilevel"/>
    <w:lvl w:ilvl="0">
      <w:lvlJc w:val="left"/>
      <w:lvlText w:val="***"/>
      <w:numFmt w:val="bullet"/>
      <w:start w:val="1"/>
    </w:lvl>
  </w:abstractNum>
  <w:abstractNum w:abstractNumId="84">
    <w:nsid w:val="3494B2FB"/>
    <w:multiLevelType w:val="hybridMultilevel"/>
    <w:lvl w:ilvl="0">
      <w:lvlJc w:val="left"/>
      <w:lvlText w:val="(%1)"/>
      <w:numFmt w:val="lowerLetter"/>
      <w:start w:val="3"/>
    </w:lvl>
  </w:abstractNum>
  <w:abstractNum w:abstractNumId="85">
    <w:nsid w:val="B13A31"/>
    <w:multiLevelType w:val="hybridMultilevel"/>
    <w:lvl w:ilvl="0">
      <w:lvlJc w:val="left"/>
      <w:lvlText w:val="***"/>
      <w:numFmt w:val="bullet"/>
      <w:start w:val="1"/>
    </w:lvl>
  </w:abstractNum>
  <w:abstractNum w:abstractNumId="86">
    <w:nsid w:val="64429599"/>
    <w:multiLevelType w:val="hybridMultilevel"/>
    <w:lvl w:ilvl="0">
      <w:lvlJc w:val="left"/>
      <w:lvlText w:val="***"/>
      <w:numFmt w:val="bullet"/>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1)"/>
      <w:numFmt w:val="lowerLetter"/>
      <w:start w:val="1"/>
    </w:lvl>
  </w:abstractNum>
  <w:abstractNum w:abstractNumId="89">
    <w:nsid w:val="EAD6F57"/>
    <w:multiLevelType w:val="hybridMultilevel"/>
    <w:lvl w:ilvl="0">
      <w:lvlJc w:val="left"/>
      <w:lvlText w:val="(%1)"/>
      <w:numFmt w:val="lowerLetter"/>
      <w:start w:val="1"/>
    </w:lvl>
  </w:abstractNum>
  <w:abstractNum w:abstractNumId="90">
    <w:nsid w:val="6EC9D844"/>
    <w:multiLevelType w:val="hybridMultilevel"/>
    <w:lvl w:ilvl="0">
      <w:lvlJc w:val="left"/>
      <w:lvlText w:val="***"/>
      <w:numFmt w:val="bullet"/>
      <w:start w:val="1"/>
    </w:lvl>
    <w:lvl w:ilvl="1">
      <w:lvlJc w:val="left"/>
      <w:lvlText w:val="(%2)"/>
      <w:numFmt w:val="lowerLetter"/>
      <w:start w:val="2"/>
    </w:lvl>
  </w:abstractNum>
  <w:abstractNum w:abstractNumId="91">
    <w:nsid w:val="5C49EAEE"/>
    <w:multiLevelType w:val="hybridMultilevel"/>
    <w:lvl w:ilvl="0">
      <w:lvlJc w:val="left"/>
      <w:lvlText w:val="***"/>
      <w:numFmt w:val="bullet"/>
      <w:start w:val="1"/>
    </w:lvl>
  </w:abstractNum>
  <w:abstractNum w:abstractNumId="92">
    <w:nsid w:val="64AF49B"/>
    <w:multiLevelType w:val="hybridMultilevel"/>
    <w:lvl w:ilvl="0">
      <w:lvlJc w:val="left"/>
      <w:lvlText w:val="(%1)"/>
      <w:numFmt w:val="lowerLetter"/>
      <w:start w:val="7"/>
    </w:lvl>
  </w:abstractNum>
  <w:abstractNum w:abstractNumId="93">
    <w:nsid w:val="397C46BC"/>
    <w:multiLevelType w:val="hybridMultilevel"/>
    <w:lvl w:ilvl="0">
      <w:lvlJc w:val="left"/>
      <w:lvlText w:val="***"/>
      <w:numFmt w:val="bullet"/>
      <w:start w:val="1"/>
    </w:lvl>
    <w:lvl w:ilvl="1">
      <w:lvlJc w:val="left"/>
      <w:lvlText w:val="(%2)"/>
      <w:numFmt w:val="lowerLetter"/>
      <w:start w:val="10"/>
    </w:lvl>
  </w:abstractNum>
  <w:abstractNum w:abstractNumId="94">
    <w:nsid w:val="7E448DE9"/>
    <w:multiLevelType w:val="hybridMultilevel"/>
    <w:lvl w:ilvl="0">
      <w:lvlJc w:val="left"/>
      <w:lvlText w:val="***"/>
      <w:numFmt w:val="bullet"/>
      <w:start w:val="1"/>
    </w:lvl>
  </w:abstractNum>
  <w:abstractNum w:abstractNumId="95">
    <w:nsid w:val="5A9CC3E5"/>
    <w:multiLevelType w:val="hybridMultilevel"/>
    <w:lvl w:ilvl="0">
      <w:lvlJc w:val="left"/>
      <w:lvlText w:val="(%1)"/>
      <w:numFmt w:val="lowerLetter"/>
      <w:start w:val="1"/>
    </w:lvl>
  </w:abstractNum>
  <w:abstractNum w:abstractNumId="96">
    <w:nsid w:val="1AFE3625"/>
    <w:multiLevelType w:val="hybridMultilevel"/>
    <w:lvl w:ilvl="0">
      <w:lvlJc w:val="left"/>
      <w:lvlText w:val="(%1)"/>
      <w:numFmt w:val="lowerLetter"/>
      <w:start w:val="1"/>
    </w:lvl>
  </w:abstractNum>
  <w:abstractNum w:abstractNumId="97">
    <w:nsid w:val="3CA88ECF"/>
    <w:multiLevelType w:val="hybridMultilevel"/>
    <w:lvl w:ilvl="0">
      <w:lvlJc w:val="left"/>
      <w:lvlText w:val="***"/>
      <w:numFmt w:val="bullet"/>
      <w:start w:val="1"/>
    </w:lvl>
  </w:abstractNum>
  <w:abstractNum w:abstractNumId="98">
    <w:nsid w:val="6EBE4208"/>
    <w:multiLevelType w:val="hybridMultilevel"/>
    <w:lvl w:ilvl="0">
      <w:lvlJc w:val="left"/>
      <w:lvlText w:val="(%1)"/>
      <w:numFmt w:val="lowerLetter"/>
      <w:start w:val="2"/>
    </w:lvl>
  </w:abstractNum>
  <w:abstractNum w:abstractNumId="99">
    <w:nsid w:val="C058DF5"/>
    <w:multiLevelType w:val="hybridMultilevel"/>
    <w:lvl w:ilvl="0">
      <w:lvlJc w:val="left"/>
      <w:lvlText w:val="(%1)"/>
      <w:numFmt w:val="lowerLetter"/>
      <w:start w:val="1"/>
    </w:lvl>
  </w:abstractNum>
  <w:abstractNum w:abstractNumId="100">
    <w:nsid w:val="CBE5BE9"/>
    <w:multiLevelType w:val="hybridMultilevel"/>
    <w:lvl w:ilvl="0">
      <w:lvlJc w:val="left"/>
      <w:lvlText w:val="***"/>
      <w:numFmt w:val="bullet"/>
      <w:start w:val="1"/>
    </w:lvl>
    <w:lvl w:ilvl="1">
      <w:lvlJc w:val="left"/>
      <w:lvlText w:val="(%2)"/>
      <w:numFmt w:val="lowerLetter"/>
      <w:start w:val="3"/>
    </w:lvl>
  </w:abstractNum>
  <w:abstractNum w:abstractNumId="101">
    <w:nsid w:val="3102BBE2"/>
    <w:multiLevelType w:val="hybridMultilevel"/>
    <w:lvl w:ilvl="0">
      <w:lvlJc w:val="left"/>
      <w:lvlText w:val="(%1)"/>
      <w:numFmt w:val="lowerLetter"/>
      <w:start w:val="1"/>
    </w:lvl>
    <w:lvl w:ilvl="1">
      <w:lvlJc w:val="left"/>
      <w:lvlText w:val="(%2)"/>
      <w:numFmt w:val="lowerRoman"/>
      <w:start w:val="1"/>
    </w:lvl>
  </w:abstractNum>
  <w:abstractNum w:abstractNumId="102">
    <w:nsid w:val="26A02C5E"/>
    <w:multiLevelType w:val="hybridMultilevel"/>
    <w:lvl w:ilvl="0">
      <w:lvlJc w:val="left"/>
      <w:lvlText w:val="***"/>
      <w:numFmt w:val="bullet"/>
      <w:start w:val="1"/>
    </w:lvl>
  </w:abstractNum>
  <w:abstractNum w:abstractNumId="103">
    <w:nsid w:val="541C8153"/>
    <w:multiLevelType w:val="hybridMultilevel"/>
    <w:lvl w:ilvl="0">
      <w:lvlJc w:val="left"/>
      <w:lvlText w:val="(%1)"/>
      <w:numFmt w:val="lowerLetter"/>
      <w:start w:val="3"/>
    </w:lvl>
  </w:abstractNum>
  <w:abstractNum w:abstractNumId="104">
    <w:nsid w:val="67906F60"/>
    <w:multiLevelType w:val="hybridMultilevel"/>
    <w:lvl w:ilvl="0">
      <w:lvlJc w:val="left"/>
      <w:lvlText w:val="(%1)"/>
      <w:numFmt w:val="lowerLetter"/>
      <w:start w:val="2"/>
    </w:lvl>
    <w:lvl w:ilvl="1">
      <w:lvlJc w:val="left"/>
      <w:lvlText w:val="***"/>
      <w:numFmt w:val="bullet"/>
      <w:start w:val="1"/>
    </w:lvl>
  </w:abstractNum>
  <w:abstractNum w:abstractNumId="105">
    <w:nsid w:val="10DB9DAA"/>
    <w:multiLevelType w:val="hybridMultilevel"/>
    <w:lvl w:ilvl="0">
      <w:lvlJc w:val="left"/>
      <w:lvlText w:val="***"/>
      <w:numFmt w:val="bullet"/>
      <w:start w:val="1"/>
    </w:lvl>
  </w:abstractNum>
  <w:abstractNum w:abstractNumId="106">
    <w:nsid w:val="697D2D2"/>
    <w:multiLevelType w:val="hybridMultilevel"/>
    <w:lvl w:ilvl="0">
      <w:lvlJc w:val="left"/>
      <w:lvlText w:val="***"/>
      <w:numFmt w:val="bullet"/>
      <w:start w:val="1"/>
    </w:lvl>
  </w:abstractNum>
  <w:abstractNum w:abstractNumId="107">
    <w:nsid w:val="6D68AB2"/>
    <w:multiLevelType w:val="hybridMultilevel"/>
    <w:lvl w:ilvl="0">
      <w:lvlJc w:val="left"/>
      <w:lvlText w:val="(%1)"/>
      <w:numFmt w:val="lowerLetter"/>
      <w:start w:val="1"/>
    </w:lvl>
  </w:abstractNum>
  <w:abstractNum w:abstractNumId="108">
    <w:nsid w:val="3A966CD0"/>
    <w:multiLevelType w:val="hybridMultilevel"/>
    <w:lvl w:ilvl="0">
      <w:lvlJc w:val="left"/>
      <w:lvlText w:val="(%1)"/>
      <w:numFmt w:val="lowerLetter"/>
      <w:start w:val="1"/>
    </w:lvl>
  </w:abstractNum>
  <w:abstractNum w:abstractNumId="109">
    <w:nsid w:val="63F37E85"/>
    <w:multiLevelType w:val="hybridMultilevel"/>
    <w:lvl w:ilvl="0">
      <w:lvlJc w:val="left"/>
      <w:lvlText w:val="***"/>
      <w:numFmt w:val="bullet"/>
      <w:start w:val="1"/>
    </w:lvl>
  </w:abstractNum>
  <w:abstractNum w:abstractNumId="110">
    <w:nsid w:val="5895F5FA"/>
    <w:multiLevelType w:val="hybridMultilevel"/>
    <w:lvl w:ilvl="0">
      <w:lvlJc w:val="left"/>
      <w:lvlText w:val="(%1)"/>
      <w:numFmt w:val="lowerLetter"/>
      <w:start w:val="1"/>
    </w:lvl>
    <w:lvl w:ilvl="1">
      <w:lvlJc w:val="left"/>
      <w:lvlText w:val="(%2)"/>
      <w:numFmt w:val="lowerRoman"/>
      <w:start w:val="1"/>
    </w:lvl>
  </w:abstractNum>
  <w:abstractNum w:abstractNumId="111">
    <w:nsid w:val="38A5D054"/>
    <w:multiLevelType w:val="hybridMultilevel"/>
    <w:lvl w:ilvl="0">
      <w:lvlJc w:val="left"/>
      <w:lvlText w:val="***"/>
      <w:numFmt w:val="bullet"/>
      <w:start w:val="1"/>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112">
    <w:nsid w:val="F3F09D8"/>
    <w:multiLevelType w:val="hybridMultilevel"/>
    <w:lvl w:ilvl="0">
      <w:lvlJc w:val="left"/>
      <w:lvlText w:val="***"/>
      <w:numFmt w:val="bullet"/>
      <w:start w:val="1"/>
    </w:lvl>
    <w:lvl w:ilvl="1">
      <w:lvlJc w:val="left"/>
      <w:lvlText w:val="(%2)"/>
      <w:numFmt w:val="lowerLetter"/>
      <w:start w:val="8"/>
    </w:lvl>
    <w:lvl w:ilvl="2">
      <w:lvlJc w:val="left"/>
      <w:lvlText w:val="%3"/>
      <w:numFmt w:val="upperLetter"/>
      <w:start w:val="1"/>
    </w:lvl>
    <w:lvl w:ilvl="3">
      <w:lvlJc w:val="left"/>
      <w:lvlText w:val="%4"/>
      <w:numFmt w:val="lowerLetter"/>
      <w:start w:val="1"/>
    </w:lvl>
  </w:abstractNum>
  <w:abstractNum w:abstractNumId="113">
    <w:nsid w:val="4B793735"/>
    <w:multiLevelType w:val="hybridMultilevel"/>
    <w:lvl w:ilvl="0">
      <w:lvlJc w:val="left"/>
      <w:lvlText w:val="(%1)"/>
      <w:numFmt w:val="lowerLetter"/>
      <w:start w:val="1"/>
    </w:lvl>
  </w:abstractNum>
  <w:abstractNum w:abstractNumId="114">
    <w:nsid w:val="4A10B4E8"/>
    <w:multiLevelType w:val="hybridMultilevel"/>
    <w:lvl w:ilvl="0">
      <w:lvlJc w:val="left"/>
      <w:lvlText w:val="***"/>
      <w:numFmt w:val="bullet"/>
      <w:start w:val="1"/>
    </w:lvl>
  </w:abstractNum>
  <w:abstractNum w:abstractNumId="115">
    <w:nsid w:val="43D3BCD4"/>
    <w:multiLevelType w:val="hybridMultilevel"/>
    <w:lvl w:ilvl="0">
      <w:lvlJc w:val="left"/>
      <w:lvlText w:val="(%1)"/>
      <w:numFmt w:val="lowerLetter"/>
      <w:start w:val="3"/>
    </w:lvl>
  </w:abstractNum>
  <w:abstractNum w:abstractNumId="116">
    <w:nsid w:val="4C2A7166"/>
    <w:multiLevelType w:val="hybridMultilevel"/>
    <w:lvl w:ilvl="0">
      <w:lvlJc w:val="left"/>
      <w:lvlText w:val="(%1)"/>
      <w:numFmt w:val="lowerLetter"/>
      <w:start w:val="1"/>
    </w:lvl>
  </w:abstractNum>
  <w:abstractNum w:abstractNumId="117">
    <w:nsid w:val="2E534A82"/>
    <w:multiLevelType w:val="hybridMultilevel"/>
    <w:lvl w:ilvl="0">
      <w:lvlJc w:val="left"/>
      <w:lvlText w:val="***"/>
      <w:numFmt w:val="bullet"/>
      <w:start w:val="1"/>
    </w:lvl>
  </w:abstractNum>
  <w:abstractNum w:abstractNumId="118">
    <w:nsid w:val="26F2D364"/>
    <w:multiLevelType w:val="hybridMultilevel"/>
    <w:lvl w:ilvl="0">
      <w:lvlJc w:val="left"/>
      <w:lvlText w:val="(%1)"/>
      <w:numFmt w:val="lowerLetter"/>
      <w:start w:val="4"/>
    </w:lvl>
  </w:abstractNum>
  <w:abstractNum w:abstractNumId="119">
    <w:nsid w:val="71C1AF98"/>
    <w:multiLevelType w:val="hybridMultilevel"/>
    <w:lvl w:ilvl="0">
      <w:lvlJc w:val="left"/>
      <w:lvlText w:val="(%1)"/>
      <w:numFmt w:val="lowerLetter"/>
      <w:start w:val="1"/>
    </w:lvl>
    <w:lvl w:ilvl="1">
      <w:lvlJc w:val="left"/>
      <w:lvlText w:val="(%2)"/>
      <w:numFmt w:val="lowerRoman"/>
      <w:start w:val="1"/>
    </w:lvl>
  </w:abstractNum>
  <w:abstractNum w:abstractNumId="120">
    <w:nsid w:val="3D00B9D9"/>
    <w:multiLevelType w:val="hybridMultilevel"/>
    <w:lvl w:ilvl="0">
      <w:lvlJc w:val="left"/>
      <w:lvlText w:val="***"/>
      <w:numFmt w:val="bullet"/>
      <w:start w:val="1"/>
    </w:lvl>
  </w:abstractNum>
  <w:abstractNum w:abstractNumId="121">
    <w:nsid w:val="15BCABA8"/>
    <w:multiLevelType w:val="hybridMultilevel"/>
    <w:lvl w:ilvl="0">
      <w:lvlJc w:val="left"/>
      <w:lvlText w:val="(%1)"/>
      <w:numFmt w:val="lowerRoman"/>
      <w:start w:val="1"/>
    </w:lvl>
  </w:abstractNum>
  <w:abstractNum w:abstractNumId="122">
    <w:nsid w:val="4E0B9A87"/>
    <w:multiLevelType w:val="hybridMultilevel"/>
    <w:lvl w:ilvl="0">
      <w:lvlJc w:val="left"/>
      <w:lvlText w:val="***"/>
      <w:numFmt w:val="bullet"/>
      <w:start w:val="1"/>
    </w:lvl>
  </w:abstractNum>
  <w:abstractNum w:abstractNumId="123">
    <w:nsid w:val="434BAE75"/>
    <w:multiLevelType w:val="hybridMultilevel"/>
    <w:lvl w:ilvl="0">
      <w:lvlJc w:val="left"/>
      <w:lvlText w:val="%1"/>
      <w:numFmt w:val="lowerLetter"/>
      <w:start w:val="1"/>
    </w:lvl>
    <w:lvl w:ilvl="1">
      <w:lvlJc w:val="left"/>
      <w:lvlText w:val="(%2)"/>
      <w:numFmt w:val="lowerRoman"/>
      <w:start w:val="7"/>
    </w:lvl>
  </w:abstractNum>
  <w:abstractNum w:abstractNumId="124">
    <w:nsid w:val="4F38F265"/>
    <w:multiLevelType w:val="hybridMultilevel"/>
    <w:lvl w:ilvl="0">
      <w:lvlJc w:val="left"/>
      <w:lvlText w:val="(%1)"/>
      <w:numFmt w:val="lowerLetter"/>
      <w:start w:val="4"/>
    </w:lvl>
    <w:lvl w:ilvl="1">
      <w:lvlJc w:val="left"/>
      <w:lvlText w:val="(%2)"/>
      <w:numFmt w:val="lowerRoman"/>
      <w:start w:val="1"/>
    </w:lvl>
  </w:abstractNum>
  <w:abstractNum w:abstractNumId="125">
    <w:nsid w:val="4C502870"/>
    <w:multiLevelType w:val="hybridMultilevel"/>
    <w:lvl w:ilvl="0">
      <w:lvlJc w:val="left"/>
      <w:lvlText w:val="***"/>
      <w:numFmt w:val="bullet"/>
      <w:start w:val="1"/>
    </w:lvl>
  </w:abstractNum>
  <w:abstractNum w:abstractNumId="126">
    <w:nsid w:val="1DE8725A"/>
    <w:multiLevelType w:val="hybridMultilevel"/>
    <w:lvl w:ilvl="0">
      <w:lvlJc w:val="left"/>
      <w:lvlText w:val="(%1)"/>
      <w:numFmt w:val="lowerRoman"/>
      <w:start w:val="4"/>
    </w:lvl>
  </w:abstractNum>
  <w:abstractNum w:abstractNumId="127">
    <w:nsid w:val="6A37288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8"/>
    </w:lvl>
  </w:abstractNum>
  <w:abstractNum w:abstractNumId="128">
    <w:nsid w:val="8F8B73F"/>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129">
    <w:nsid w:val="CA6B462"/>
    <w:multiLevelType w:val="hybridMultilevel"/>
    <w:lvl w:ilvl="0">
      <w:lvlJc w:val="left"/>
      <w:lvlText w:val="***"/>
      <w:numFmt w:val="bullet"/>
      <w:start w:val="1"/>
    </w:lvl>
  </w:abstractNum>
  <w:abstractNum w:abstractNumId="130">
    <w:nsid w:val="763CB680"/>
    <w:multiLevelType w:val="hybridMultilevel"/>
    <w:lvl w:ilvl="0">
      <w:lvlJc w:val="left"/>
      <w:lvlText w:val="(%1)"/>
      <w:numFmt w:val="lowerRoman"/>
      <w:start w:val="1"/>
    </w:lvl>
  </w:abstractNum>
  <w:abstractNum w:abstractNumId="131">
    <w:nsid w:val="15B71329"/>
    <w:multiLevelType w:val="hybridMultilevel"/>
    <w:lvl w:ilvl="0">
      <w:lvlJc w:val="left"/>
      <w:lvlText w:val="(%1)"/>
      <w:numFmt w:val="lowerLetter"/>
      <w:start w:val="1"/>
    </w:lvl>
  </w:abstractNum>
  <w:abstractNum w:abstractNumId="132">
    <w:nsid w:val="3DA97044"/>
    <w:multiLevelType w:val="hybridMultilevel"/>
    <w:lvl w:ilvl="0">
      <w:lvlJc w:val="left"/>
      <w:lvlText w:val="***"/>
      <w:numFmt w:val="bullet"/>
      <w:start w:val="1"/>
    </w:lvl>
  </w:abstractNum>
  <w:abstractNum w:abstractNumId="133">
    <w:nsid w:val="1CDCE2DE"/>
    <w:multiLevelType w:val="hybridMultilevel"/>
    <w:lvl w:ilvl="0">
      <w:lvlJc w:val="left"/>
      <w:lvlText w:val="(%1)"/>
      <w:numFmt w:val="lowerLetter"/>
      <w:start w:val="5"/>
    </w:lvl>
  </w:abstractNum>
  <w:abstractNum w:abstractNumId="134">
    <w:nsid w:val="69D3947C"/>
    <w:multiLevelType w:val="hybridMultilevel"/>
    <w:lvl w:ilvl="0">
      <w:lvlJc w:val="left"/>
      <w:lvlText w:val="(%1)"/>
      <w:numFmt w:val="lowerLetter"/>
      <w:start w:val="1"/>
    </w:lvl>
  </w:abstractNum>
  <w:abstractNum w:abstractNumId="135">
    <w:nsid w:val="2539DFA5"/>
    <w:multiLevelType w:val="hybridMultilevel"/>
    <w:lvl w:ilvl="0">
      <w:lvlJc w:val="left"/>
      <w:lvlText w:val="***"/>
      <w:numFmt w:val="bullet"/>
      <w:start w:val="1"/>
    </w:lvl>
  </w:abstractNum>
  <w:abstractNum w:abstractNumId="136">
    <w:nsid w:val="2DB88089"/>
    <w:multiLevelType w:val="hybridMultilevel"/>
    <w:lvl w:ilvl="0">
      <w:lvlJc w:val="left"/>
      <w:lvlText w:val="***"/>
      <w:numFmt w:val="bullet"/>
      <w:start w:val="1"/>
    </w:lvl>
  </w:abstractNum>
  <w:abstractNum w:abstractNumId="137">
    <w:nsid w:val="706B674E"/>
    <w:multiLevelType w:val="hybridMultilevel"/>
    <w:lvl w:ilvl="0">
      <w:lvlJc w:val="left"/>
      <w:lvlText w:val="(%1)"/>
      <w:numFmt w:val="lowerLetter"/>
      <w:start w:val="1"/>
    </w:lvl>
  </w:abstractNum>
  <w:abstractNum w:abstractNumId="138">
    <w:nsid w:val="2C106A57"/>
    <w:multiLevelType w:val="hybridMultilevel"/>
    <w:lvl w:ilvl="0">
      <w:lvlJc w:val="left"/>
      <w:lvlText w:val="***"/>
      <w:numFmt w:val="bullet"/>
      <w:start w:val="1"/>
    </w:lvl>
    <w:lvl w:ilvl="1">
      <w:lvlJc w:val="left"/>
      <w:lvlText w:val="(%2)"/>
      <w:numFmt w:val="lowerLetter"/>
      <w:start w:val="2"/>
    </w:lvl>
  </w:abstractNum>
  <w:abstractNum w:abstractNumId="139">
    <w:nsid w:val="684EED59"/>
    <w:multiLevelType w:val="hybridMultilevel"/>
    <w:lvl w:ilvl="0">
      <w:lvlJc w:val="left"/>
      <w:lvlText w:val="***"/>
      <w:numFmt w:val="bullet"/>
      <w:start w:val="1"/>
    </w:lvl>
  </w:abstractNum>
  <w:abstractNum w:abstractNumId="140">
    <w:nsid w:val="545EE5D3"/>
    <w:multiLevelType w:val="hybridMultilevel"/>
    <w:lvl w:ilvl="0">
      <w:lvlJc w:val="left"/>
      <w:lvlText w:val="***"/>
      <w:numFmt w:val="bullet"/>
      <w:start w:val="1"/>
    </w:lvl>
  </w:abstractNum>
  <w:abstractNum w:abstractNumId="141">
    <w:nsid w:val="4A66051"/>
    <w:multiLevelType w:val="hybridMultilevel"/>
    <w:lvl w:ilvl="0">
      <w:lvlJc w:val="left"/>
      <w:lvlText w:val="***"/>
      <w:numFmt w:val="bullet"/>
      <w:start w:val="1"/>
    </w:lvl>
  </w:abstractNum>
  <w:abstractNum w:abstractNumId="142">
    <w:nsid w:val="20F4BDAD"/>
    <w:multiLevelType w:val="hybridMultilevel"/>
    <w:lvl w:ilvl="0">
      <w:lvlJc w:val="left"/>
      <w:lvlText w:val="***"/>
      <w:numFmt w:val="bullet"/>
      <w:start w:val="1"/>
    </w:lvl>
  </w:abstractNum>
  <w:abstractNum w:abstractNumId="143">
    <w:nsid w:val="639DEFAC"/>
    <w:multiLevelType w:val="hybridMultilevel"/>
    <w:lvl w:ilvl="0">
      <w:lvlJc w:val="left"/>
      <w:lvlText w:val="%1."/>
      <w:numFmt w:val="decimal"/>
      <w:start w:val="1"/>
    </w:lvl>
  </w:abstractNum>
  <w:abstractNum w:abstractNumId="144">
    <w:nsid w:val="501F9786"/>
    <w:multiLevelType w:val="hybridMultilevel"/>
    <w:lvl w:ilvl="0">
      <w:lvlJc w:val="left"/>
      <w:lvlText w:val="%1."/>
      <w:numFmt w:val="upperLetter"/>
      <w:start w:val="1"/>
    </w:lvl>
  </w:abstractNum>
  <w:abstractNum w:abstractNumId="145">
    <w:nsid w:val="6B057295"/>
    <w:multiLevelType w:val="hybridMultilevel"/>
    <w:lvl w:ilvl="0">
      <w:lvlJc w:val="left"/>
      <w:lvlText w:val="***"/>
      <w:numFmt w:val="bullet"/>
      <w:start w:val="1"/>
    </w:lvl>
  </w:abstractNum>
  <w:abstractNum w:abstractNumId="146">
    <w:nsid w:val="2771AC80"/>
    <w:multiLevelType w:val="hybridMultilevel"/>
    <w:lvl w:ilvl="0">
      <w:lvlJc w:val="left"/>
      <w:lvlText w:val="%1."/>
      <w:numFmt w:val="upperLetter"/>
      <w:start w:val="7"/>
    </w:lvl>
  </w:abstractNum>
  <w:abstractNum w:abstractNumId="147">
    <w:nsid w:val="1C4A08EC"/>
    <w:multiLevelType w:val="hybridMultilevel"/>
    <w:lvl w:ilvl="0">
      <w:lvlJc w:val="left"/>
      <w:lvlText w:val="***"/>
      <w:numFmt w:val="bullet"/>
      <w:start w:val="1"/>
    </w:lvl>
  </w:abstractNum>
  <w:abstractNum w:abstractNumId="148">
    <w:nsid w:val="1958BD17"/>
    <w:multiLevelType w:val="hybridMultilevel"/>
    <w:lvl w:ilvl="0">
      <w:lvlJc w:val="left"/>
      <w:lvlText w:val="%1."/>
      <w:numFmt w:val="upperLetter"/>
      <w:start w:val="13"/>
    </w:lvl>
  </w:abstractNum>
  <w:abstractNum w:abstractNumId="149">
    <w:nsid w:val="4E647FE4"/>
    <w:multiLevelType w:val="hybridMultilevel"/>
    <w:lvl w:ilvl="0">
      <w:lvlJc w:val="left"/>
      <w:lvlText w:val="%1."/>
      <w:numFmt w:val="upperLetter"/>
      <w:start w:val="15"/>
    </w:lvl>
  </w:abstractNum>
  <w:abstractNum w:abstractNumId="150">
    <w:nsid w:val="E0BB885"/>
    <w:multiLevelType w:val="hybridMultilevel"/>
    <w:lvl w:ilvl="0">
      <w:lvlJc w:val="left"/>
      <w:lvlText w:val="%1."/>
      <w:numFmt w:val="upperLetter"/>
      <w:start w:val="16"/>
    </w:lvl>
  </w:abstractNum>
  <w:abstractNum w:abstractNumId="151">
    <w:nsid w:val="565976F1"/>
    <w:multiLevelType w:val="hybridMultilevel"/>
    <w:lvl w:ilvl="0">
      <w:lvlJc w:val="left"/>
      <w:lvlText w:val="***"/>
      <w:numFmt w:val="bullet"/>
      <w:start w:val="1"/>
    </w:lvl>
  </w:abstractNum>
  <w:abstractNum w:abstractNumId="152">
    <w:nsid w:val="64212B8C"/>
    <w:multiLevelType w:val="hybridMultilevel"/>
    <w:lvl w:ilvl="0">
      <w:lvlJc w:val="left"/>
      <w:lvlText w:val="%1."/>
      <w:numFmt w:val="decimal"/>
      <w:start w:val="2"/>
    </w:lvl>
  </w:abstractNum>
  <w:abstractNum w:abstractNumId="153">
    <w:nsid w:val="5C17530C"/>
    <w:multiLevelType w:val="hybridMultilevel"/>
    <w:lvl w:ilvl="0">
      <w:lvlJc w:val="left"/>
      <w:lvlText w:val="%1."/>
      <w:numFmt w:val="upperLetter"/>
      <w:start w:val="1"/>
    </w:lvl>
  </w:abstractNum>
  <w:abstractNum w:abstractNumId="154">
    <w:nsid w:val="19A52566"/>
    <w:multiLevelType w:val="hybridMultilevel"/>
    <w:lvl w:ilvl="0">
      <w:lvlJc w:val="left"/>
      <w:lvlText w:val="***"/>
      <w:numFmt w:val="bullet"/>
      <w:start w:val="1"/>
    </w:lvl>
  </w:abstractNum>
  <w:abstractNum w:abstractNumId="155">
    <w:nsid w:val="335A1DF1"/>
    <w:multiLevelType w:val="hybridMultilevel"/>
    <w:lvl w:ilvl="0">
      <w:lvlJc w:val="left"/>
      <w:lvlText w:val="%1."/>
      <w:numFmt w:val="decimal"/>
      <w:start w:val="5"/>
    </w:lvl>
    <w:lvl w:ilvl="1">
      <w:lvlJc w:val="left"/>
      <w:lvlText w:val="%2"/>
      <w:numFmt w:val="upperLetter"/>
      <w:start w:val="1"/>
    </w:lvl>
  </w:abstractNum>
  <w:abstractNum w:abstractNumId="156">
    <w:nsid w:val="28677B7C"/>
    <w:multiLevelType w:val="hybridMultilevel"/>
    <w:lvl w:ilvl="0">
      <w:lvlJc w:val="left"/>
      <w:lvlText w:val="(%1)"/>
      <w:numFmt w:val="lowerRoman"/>
      <w:start w:val="1"/>
    </w:lvl>
  </w:abstractNum>
  <w:abstractNum w:abstractNumId="157">
    <w:nsid w:val="378D97C0"/>
    <w:multiLevelType w:val="hybridMultilevel"/>
    <w:lvl w:ilvl="0">
      <w:lvlJc w:val="left"/>
      <w:lvlText w:val="(%1)"/>
      <w:numFmt w:val="lowerRoman"/>
      <w:start w:val="2"/>
    </w:lvl>
  </w:abstractNum>
  <w:abstractNum w:abstractNumId="158">
    <w:nsid w:val="1D91467C"/>
    <w:multiLevelType w:val="hybridMultilevel"/>
    <w:lvl w:ilvl="0">
      <w:lvlJc w:val="left"/>
      <w:lvlText w:val="***"/>
      <w:numFmt w:val="bullet"/>
      <w:start w:val="1"/>
    </w:lvl>
  </w:abstractNum>
  <w:abstractNum w:abstractNumId="159">
    <w:nsid w:val="316032BB"/>
    <w:multiLevelType w:val="hybridMultilevel"/>
    <w:lvl w:ilvl="0">
      <w:lvlJc w:val="left"/>
      <w:lvlText w:val="%1."/>
      <w:numFmt w:val="upperLetter"/>
      <w:start w:val="2"/>
    </w:lvl>
  </w:abstractNum>
  <w:abstractNum w:abstractNumId="160">
    <w:nsid w:val="44344C22"/>
    <w:multiLevelType w:val="hybridMultilevel"/>
    <w:lvl w:ilvl="0">
      <w:lvlJc w:val="left"/>
      <w:lvlText w:val="***"/>
      <w:numFmt w:val="bullet"/>
      <w:start w:val="1"/>
    </w:lvl>
  </w:abstractNum>
  <w:abstractNum w:abstractNumId="161">
    <w:nsid w:val="13CDFCFC"/>
    <w:multiLevelType w:val="hybridMultilevel"/>
    <w:lvl w:ilvl="0">
      <w:lvlJc w:val="left"/>
      <w:lvlText w:val="%1."/>
      <w:numFmt w:val="decimal"/>
      <w:start w:val="6"/>
    </w:lvl>
  </w:abstractNum>
  <w:abstractNum w:abstractNumId="162">
    <w:nsid w:val="471745E4"/>
    <w:multiLevelType w:val="hybridMultilevel"/>
    <w:lvl w:ilvl="0">
      <w:lvlJc w:val="left"/>
      <w:lvlText w:val="%1."/>
      <w:numFmt w:val="upperLetter"/>
      <w:start w:val="1"/>
    </w:lvl>
  </w:abstractNum>
  <w:abstractNum w:abstractNumId="163">
    <w:nsid w:val="1DDBC66"/>
    <w:multiLevelType w:val="hybridMultilevel"/>
    <w:lvl w:ilvl="0">
      <w:lvlJc w:val="left"/>
      <w:lvlText w:val="%1."/>
      <w:numFmt w:val="decimal"/>
      <w:start w:val="7"/>
    </w:lvl>
    <w:lvl w:ilvl="1">
      <w:lvlJc w:val="left"/>
      <w:lvlText w:val="(%2)"/>
      <w:numFmt w:val="upperLetter"/>
      <w:start w:val="1"/>
    </w:lvl>
  </w:abstractNum>
  <w:abstractNum w:abstractNumId="164">
    <w:nsid w:val="30AADFDA"/>
    <w:multiLevelType w:val="hybridMultilevel"/>
    <w:lvl w:ilvl="0">
      <w:lvlJc w:val="left"/>
      <w:lvlText w:val="***"/>
      <w:numFmt w:val="bullet"/>
      <w:start w:val="1"/>
    </w:lvl>
  </w:abstractNum>
  <w:abstractNum w:abstractNumId="165">
    <w:nsid w:val="30EADA61"/>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166">
    <w:nsid w:val="27179C0B"/>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1"/>
    </w:lvl>
  </w:abstractNum>
  <w:abstractNum w:abstractNumId="167">
    <w:nsid w:val="5E636063"/>
    <w:multiLevelType w:val="hybridMultilevel"/>
    <w:lvl w:ilvl="0">
      <w:lvlJc w:val="left"/>
      <w:lvlText w:val="***"/>
      <w:numFmt w:val="bullet"/>
      <w:start w:val="1"/>
    </w:lvl>
  </w:abstractNum>
  <w:abstractNum w:abstractNumId="168">
    <w:nsid w:val="215641AF"/>
    <w:multiLevelType w:val="hybridMultilevel"/>
    <w:lvl w:ilvl="0">
      <w:lvlJc w:val="left"/>
      <w:lvlText w:val="%1."/>
      <w:numFmt w:val="decimal"/>
      <w:start w:val="10"/>
    </w:lvl>
    <w:lvl w:ilvl="1">
      <w:lvlJc w:val="left"/>
      <w:lvlText w:val="%2."/>
      <w:numFmt w:val="upperLetter"/>
      <w:start w:val="1"/>
    </w:lvl>
    <w:lvl w:ilvl="2">
      <w:lvlJc w:val="left"/>
      <w:lvlText w:val="%3."/>
      <w:numFmt w:val="upperLetter"/>
      <w:start w:val="1"/>
    </w:lvl>
  </w:abstractNum>
  <w:abstractNum w:abstractNumId="169">
    <w:nsid w:val="53280662"/>
    <w:multiLevelType w:val="hybridMultilevel"/>
    <w:lvl w:ilvl="0">
      <w:lvlJc w:val="left"/>
      <w:lvlText w:val="***"/>
      <w:numFmt w:val="bullet"/>
      <w:start w:val="1"/>
    </w:lvl>
  </w:abstractNum>
  <w:abstractNum w:abstractNumId="170">
    <w:nsid w:val="46B24DBC"/>
    <w:multiLevelType w:val="hybridMultilevel"/>
    <w:lvl w:ilvl="0">
      <w:lvlJc w:val="left"/>
      <w:lvlText w:val="%1."/>
      <w:numFmt w:val="decimal"/>
      <w:start w:val="12"/>
    </w:lvl>
    <w:lvl w:ilvl="1">
      <w:lvlJc w:val="left"/>
      <w:lvlText w:val="%2"/>
      <w:numFmt w:val="upperLetter"/>
      <w:start w:val="1"/>
    </w:lvl>
    <w:lvl w:ilvl="2">
      <w:lvlJc w:val="left"/>
      <w:lvlText w:val="(%3)"/>
      <w:numFmt w:val="lowerRoman"/>
      <w:start w:val="1"/>
    </w:lvl>
  </w:abstractNum>
  <w:abstractNum w:abstractNumId="171">
    <w:nsid w:val="75B52783"/>
    <w:multiLevelType w:val="hybridMultilevel"/>
    <w:lvl w:ilvl="0">
      <w:lvlJc w:val="left"/>
      <w:lvlText w:val="***"/>
      <w:numFmt w:val="bullet"/>
      <w:start w:val="1"/>
    </w:lvl>
  </w:abstractNum>
  <w:abstractNum w:abstractNumId="172">
    <w:nsid w:val="57CE66B4"/>
    <w:multiLevelType w:val="hybridMultilevel"/>
    <w:lvl w:ilvl="0">
      <w:lvlJc w:val="left"/>
      <w:lvlText w:val="%1"/>
      <w:numFmt w:val="decimal"/>
      <w:start w:val="1"/>
    </w:lvl>
    <w:lvl w:ilvl="1">
      <w:lvlJc w:val="left"/>
      <w:lvlText w:val="(%2)"/>
      <w:numFmt w:val="lowerRoman"/>
      <w:start w:val="6"/>
    </w:lvl>
    <w:lvl w:ilvl="2">
      <w:lvlJc w:val="left"/>
      <w:lvlText w:val="%3"/>
      <w:numFmt w:val="lowerRoman"/>
      <w:start w:val="1"/>
    </w:lvl>
    <w:lvl w:ilvl="3">
      <w:lvlJc w:val="left"/>
      <w:lvlText w:val="%4"/>
      <w:numFmt w:val="decimal"/>
      <w:start w:val="1"/>
    </w:lvl>
  </w:abstractNum>
  <w:abstractNum w:abstractNumId="173">
    <w:nsid w:val="67A70B69"/>
    <w:multiLevelType w:val="hybridMultilevel"/>
    <w:lvl w:ilvl="0">
      <w:lvlJc w:val="left"/>
      <w:lvlText w:val="(%1)"/>
      <w:numFmt w:val="decimal"/>
      <w:start w:val="30"/>
    </w:lvl>
    <w:lvl w:ilvl="1">
      <w:lvlJc w:val="left"/>
      <w:lvlText w:val="(%2)"/>
      <w:numFmt w:val="lowerRoman"/>
      <w:start w:val="7"/>
    </w:lvl>
    <w:lvl w:ilvl="2">
      <w:lvlJc w:val="left"/>
      <w:lvlText w:val="(%3)"/>
      <w:numFmt w:val="lowerRoman"/>
      <w:start w:val="1"/>
    </w:lvl>
    <w:lvl w:ilvl="3">
      <w:lvlJc w:val="left"/>
      <w:lvlText w:val="%4."/>
      <w:numFmt w:val="decimal"/>
      <w:start w:val="1"/>
    </w:lvl>
  </w:abstractNum>
  <w:abstractNum w:abstractNumId="174">
    <w:nsid w:val="5953172F"/>
    <w:multiLevelType w:val="hybridMultilevel"/>
    <w:lvl w:ilvl="0">
      <w:lvlJc w:val="left"/>
      <w:lvlText w:val="***"/>
      <w:numFmt w:val="bullet"/>
      <w:start w:val="1"/>
    </w:lvl>
    <w:lvl w:ilvl="1">
      <w:lvlJc w:val="left"/>
      <w:lvlText w:val="(%2)"/>
      <w:numFmt w:val="lowerRoman"/>
      <w:start w:val="3"/>
    </w:lvl>
    <w:lvl w:ilvl="2">
      <w:lvlJc w:val="left"/>
      <w:lvlText w:val="(%3)"/>
      <w:numFmt w:val="lowerRoman"/>
      <w:start w:val="4"/>
    </w:lvl>
  </w:abstractNum>
  <w:abstractNum w:abstractNumId="175">
    <w:nsid w:val="27EDFE3A"/>
    <w:multiLevelType w:val="hybridMultilevel"/>
    <w:lvl w:ilvl="0">
      <w:lvlJc w:val="left"/>
      <w:lvlText w:val="%1."/>
      <w:numFmt w:val="decimal"/>
      <w:start w:val="13"/>
    </w:lvl>
    <w:lvl w:ilvl="1">
      <w:lvlJc w:val="left"/>
      <w:lvlText w:val="%2."/>
      <w:numFmt w:val="lowerRoman"/>
      <w:start w:val="1"/>
    </w:lvl>
  </w:abstractNum>
  <w:abstractNum w:abstractNumId="176">
    <w:nsid w:val="52AC7DFF"/>
    <w:multiLevelType w:val="hybridMultilevel"/>
    <w:lvl w:ilvl="0">
      <w:lvlJc w:val="left"/>
      <w:lvlText w:val="***"/>
      <w:numFmt w:val="bullet"/>
      <w:start w:val="1"/>
    </w:lvl>
    <w:lvl w:ilvl="1">
      <w:lvlJc w:val="left"/>
      <w:lvlText w:val="%2."/>
      <w:numFmt w:val="lowerRoman"/>
      <w:start w:val="3"/>
    </w:lvl>
  </w:abstractNum>
  <w:abstractNum w:abstractNumId="177">
    <w:nsid w:val="C4C3AF"/>
    <w:multiLevelType w:val="hybridMultilevel"/>
    <w:lvl w:ilvl="0">
      <w:lvlJc w:val="left"/>
      <w:lvlText w:val="%1."/>
      <w:numFmt w:val="decimal"/>
      <w:start w:val="14"/>
    </w:lvl>
  </w:abstractNum>
  <w:abstractNum w:abstractNumId="178">
    <w:nsid w:val="44380727"/>
    <w:multiLevelType w:val="hybridMultilevel"/>
    <w:lvl w:ilvl="0">
      <w:lvlJc w:val="left"/>
      <w:lvlText w:val="***"/>
      <w:numFmt w:val="bullet"/>
      <w:start w:val="1"/>
    </w:lvl>
  </w:abstractNum>
  <w:abstractNum w:abstractNumId="179">
    <w:nsid w:val="6C053B16"/>
    <w:multiLevelType w:val="hybridMultilevel"/>
    <w:lvl w:ilvl="0">
      <w:lvlJc w:val="left"/>
      <w:lvlText w:val="%1."/>
      <w:numFmt w:val="decimal"/>
      <w:start w:val="16"/>
    </w:lvl>
    <w:lvl w:ilvl="1">
      <w:lvlJc w:val="left"/>
      <w:lvlText w:val="%2."/>
      <w:numFmt w:val="upperLetter"/>
      <w:start w:val="1"/>
    </w:lvl>
    <w:lvl w:ilvl="2">
      <w:lvlJc w:val="left"/>
      <w:lvlText w:val="(%3)"/>
      <w:numFmt w:val="lowerRoman"/>
      <w:start w:val="1"/>
    </w:lvl>
  </w:abstractNum>
  <w:abstractNum w:abstractNumId="180">
    <w:nsid w:val="4F294393"/>
    <w:multiLevelType w:val="hybridMultilevel"/>
    <w:lvl w:ilvl="0">
      <w:lvlJc w:val="left"/>
      <w:lvlText w:val="***"/>
      <w:numFmt w:val="bullet"/>
      <w:start w:val="1"/>
    </w:lvl>
  </w:abstractNum>
  <w:abstractNum w:abstractNumId="181">
    <w:nsid w:val="5243BFAC"/>
    <w:multiLevelType w:val="hybridMultilevel"/>
    <w:lvl w:ilvl="0">
      <w:lvlJc w:val="left"/>
      <w:lvlText w:val="(%1)"/>
      <w:numFmt w:val="lowerRoman"/>
      <w:start w:val="4"/>
    </w:lvl>
  </w:abstractNum>
  <w:abstractNum w:abstractNumId="182">
    <w:nsid w:val="425EB207"/>
    <w:multiLevelType w:val="hybridMultilevel"/>
    <w:lvl w:ilvl="0">
      <w:lvlJc w:val="left"/>
      <w:lvlText w:val="%1."/>
      <w:numFmt w:val="upperLetter"/>
      <w:start w:val="4"/>
    </w:lvl>
    <w:lvl w:ilvl="1">
      <w:lvlJc w:val="left"/>
      <w:lvlText w:val="%2."/>
      <w:numFmt w:val="upperLetter"/>
      <w:start w:val="4"/>
    </w:lvl>
    <w:lvl w:ilvl="2">
      <w:lvlJc w:val="left"/>
      <w:lvlText w:val="(%3)"/>
      <w:numFmt w:val="lowerRoman"/>
      <w:start w:val="1"/>
    </w:lvl>
    <w:lvl w:ilvl="3">
      <w:lvlJc w:val="left"/>
      <w:lvlText w:val="(%4)"/>
      <w:numFmt w:val="lowerRoman"/>
      <w:start w:val="1"/>
    </w:lvl>
  </w:abstractNum>
  <w:abstractNum w:abstractNumId="183">
    <w:nsid w:val="334A6F1F"/>
    <w:multiLevelType w:val="hybridMultilevel"/>
    <w:lvl w:ilvl="0">
      <w:lvlJc w:val="left"/>
      <w:lvlText w:val="***"/>
      <w:numFmt w:val="bullet"/>
      <w:start w:val="1"/>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lowerRoman"/>
      <w:start w:val="1"/>
    </w:lvl>
    <w:lvl w:ilvl="5">
      <w:lvlJc w:val="left"/>
      <w:lvlText w:val="%6"/>
      <w:numFmt w:val="lowerRoman"/>
      <w:start w:val="1"/>
    </w:lvl>
    <w:lvl w:ilvl="6">
      <w:lvlJc w:val="left"/>
      <w:lvlText w:val="(%7)"/>
      <w:numFmt w:val="lowerRoman"/>
      <w:start w:val="3"/>
    </w:lvl>
  </w:abstractNum>
  <w:abstractNum w:abstractNumId="184">
    <w:nsid w:val="2E5B12B8"/>
    <w:multiLevelType w:val="hybridMultilevel"/>
    <w:lvl w:ilvl="0">
      <w:lvlJc w:val="left"/>
      <w:lvlText w:val="***"/>
      <w:numFmt w:val="bullet"/>
      <w:start w:val="1"/>
    </w:lvl>
    <w:lvl w:ilvl="1">
      <w:lvlJc w:val="left"/>
      <w:lvlText w:val="%2"/>
      <w:numFmt w:val="upperLetter"/>
      <w:start w:val="1"/>
    </w:lvl>
    <w:lvl w:ilvl="2">
      <w:lvlJc w:val="left"/>
      <w:lvlText w:val="%3."/>
      <w:numFmt w:val="upperLetter"/>
      <w:start w:val="7"/>
    </w:lvl>
    <w:lvl w:ilvl="3">
      <w:lvlJc w:val="left"/>
      <w:lvlText w:val="%4"/>
      <w:numFmt w:val="upperLetter"/>
      <w:start w:val="1"/>
    </w:lvl>
    <w:lvl w:ilvl="4">
      <w:lvlJc w:val="left"/>
      <w:lvlText w:val="%5"/>
      <w:numFmt w:val="lowerRoman"/>
      <w:start w:val="1"/>
    </w:lvl>
    <w:lvl w:ilvl="5">
      <w:lvlJc w:val="left"/>
      <w:lvlText w:val="%6"/>
      <w:numFmt w:val="lowerRoman"/>
      <w:start w:val="1"/>
    </w:lvl>
    <w:lvl w:ilvl="6">
      <w:lvlJc w:val="left"/>
      <w:lvlText w:val="(%7)"/>
      <w:numFmt w:val="lowerRoman"/>
      <w:start w:val="1"/>
    </w:lvl>
  </w:abstractNum>
  <w:abstractNum w:abstractNumId="185">
    <w:nsid w:val="5C03D76D"/>
    <w:multiLevelType w:val="hybridMultilevel"/>
    <w:lvl w:ilvl="0">
      <w:lvlJc w:val="left"/>
      <w:lvlText w:val="***"/>
      <w:numFmt w:val="bullet"/>
      <w:start w:val="1"/>
    </w:lvl>
    <w:lvl w:ilvl="1">
      <w:lvlJc w:val="left"/>
      <w:lvlText w:val="%2."/>
      <w:numFmt w:val="upperLetter"/>
      <w:start w:val="8"/>
    </w:lvl>
    <w:lvl w:ilvl="2">
      <w:lvlJc w:val="left"/>
      <w:lvlText w:val="%3"/>
      <w:numFmt w:val="upperLetter"/>
      <w:start w:val="1"/>
    </w:lvl>
    <w:lvl w:ilvl="3">
      <w:lvlJc w:val="left"/>
      <w:lvlText w:val="%4"/>
      <w:numFmt w:val="upperLetter"/>
      <w:start w:val="1"/>
    </w:lvl>
    <w:lvl w:ilvl="4">
      <w:lvlJc w:val="left"/>
      <w:lvlText w:val="(%5)"/>
      <w:numFmt w:val="lowerRoman"/>
      <w:start w:val="1"/>
    </w:lvl>
    <w:lvl w:ilvl="5">
      <w:lvlJc w:val="left"/>
      <w:lvlText w:val="(%6)"/>
      <w:numFmt w:val="lowerRoman"/>
      <w:start w:val="2"/>
    </w:lvl>
    <w:lvl w:ilvl="6">
      <w:lvlJc w:val="left"/>
      <w:lvlText w:val="%7"/>
      <w:numFmt w:val="lowerRoman"/>
      <w:start w:val="1"/>
    </w:lvl>
  </w:abstractNum>
  <w:abstractNum w:abstractNumId="186">
    <w:nsid w:val="66A48D11"/>
    <w:multiLevelType w:val="hybridMultilevel"/>
    <w:lvl w:ilvl="0">
      <w:lvlJc w:val="left"/>
      <w:lvlText w:val="%1."/>
      <w:numFmt w:val="decimal"/>
      <w:start w:val="17"/>
    </w:lvl>
  </w:abstractNum>
  <w:abstractNum w:abstractNumId="187">
    <w:nsid w:val="56C28E34"/>
    <w:multiLevelType w:val="hybridMultilevel"/>
    <w:lvl w:ilvl="0">
      <w:lvlJc w:val="left"/>
      <w:lvlText w:val="***"/>
      <w:numFmt w:val="bullet"/>
      <w:start w:val="1"/>
    </w:lvl>
  </w:abstractNum>
  <w:abstractNum w:abstractNumId="188">
    <w:nsid w:val="13916F2D"/>
    <w:multiLevelType w:val="hybridMultilevel"/>
    <w:lvl w:ilvl="0">
      <w:lvlJc w:val="left"/>
      <w:lvlText w:val="%1."/>
      <w:numFmt w:val="decimal"/>
      <w:start w:val="18"/>
    </w:lvl>
  </w:abstractNum>
  <w:abstractNum w:abstractNumId="189">
    <w:nsid w:val="435D38D"/>
    <w:multiLevelType w:val="hybridMultilevel"/>
    <w:lvl w:ilvl="0">
      <w:lvlJc w:val="left"/>
      <w:lvlText w:val="***"/>
      <w:numFmt w:val="bullet"/>
      <w:start w:val="1"/>
    </w:lvl>
  </w:abstractNum>
  <w:abstractNum w:abstractNumId="190">
    <w:nsid w:val="822C0EF"/>
    <w:multiLevelType w:val="hybridMultilevel"/>
    <w:lvl w:ilvl="0">
      <w:lvlJc w:val="left"/>
      <w:lvlText w:val="%1."/>
      <w:numFmt w:val="decimal"/>
      <w:start w:val="23"/>
    </w:lvl>
  </w:abstractNum>
  <w:abstractNum w:abstractNumId="191">
    <w:nsid w:val="57C5BB4F"/>
    <w:multiLevelType w:val="hybridMultilevel"/>
    <w:lvl w:ilvl="0">
      <w:lvlJc w:val="left"/>
      <w:lvlText w:val="***"/>
      <w:numFmt w:val="bullet"/>
      <w:start w:val="1"/>
    </w:lvl>
  </w:abstractNum>
  <w:abstractNum w:abstractNumId="192">
    <w:nsid w:val="1803D089"/>
    <w:multiLevelType w:val="hybridMultilevel"/>
    <w:lvl w:ilvl="0">
      <w:lvlJc w:val="left"/>
      <w:lvlText w:val="***"/>
      <w:numFmt w:val="bullet"/>
      <w:start w:val="1"/>
    </w:lvl>
  </w:abstractNum>
  <w:abstractNum w:abstractNumId="193">
    <w:nsid w:val="4F3A06D4"/>
    <w:multiLevelType w:val="hybridMultilevel"/>
    <w:lvl w:ilvl="0">
      <w:lvlJc w:val="left"/>
      <w:lvlText w:val="%1."/>
      <w:numFmt w:val="decimal"/>
      <w:start w:val="24"/>
    </w:lvl>
  </w:abstractNum>
  <w:abstractNum w:abstractNumId="194">
    <w:nsid w:val="59A377B6"/>
    <w:multiLevelType w:val="hybridMultilevel"/>
    <w:lvl w:ilvl="0">
      <w:lvlJc w:val="left"/>
      <w:lvlText w:val="%1."/>
      <w:numFmt w:val="upperLetter"/>
      <w:start w:val="2"/>
    </w:lvl>
  </w:abstractNum>
  <w:abstractNum w:abstractNumId="195">
    <w:nsid w:val="48AEB063"/>
    <w:multiLevelType w:val="hybridMultilevel"/>
    <w:lvl w:ilvl="0">
      <w:lvlJc w:val="left"/>
      <w:lvlText w:val="***"/>
      <w:numFmt w:val="bullet"/>
      <w:start w:val="1"/>
    </w:lvl>
  </w:abstractNum>
  <w:abstractNum w:abstractNumId="196">
    <w:nsid w:val="24E135"/>
    <w:multiLevelType w:val="hybridMultilevel"/>
    <w:lvl w:ilvl="0">
      <w:lvlJc w:val="left"/>
      <w:lvlText w:val="%1."/>
      <w:numFmt w:val="upperLetter"/>
      <w:start w:val="6"/>
    </w:lvl>
  </w:abstractNum>
  <w:abstractNum w:abstractNumId="197">
    <w:nsid w:val="BB13C1"/>
    <w:multiLevelType w:val="hybridMultilevel"/>
    <w:lvl w:ilvl="0">
      <w:lvlJc w:val="left"/>
      <w:lvlText w:val="***"/>
      <w:numFmt w:val="bullet"/>
      <w:start w:val="1"/>
    </w:lvl>
  </w:abstractNum>
  <w:abstractNum w:abstractNumId="198">
    <w:nsid w:val="271210C7"/>
    <w:multiLevelType w:val="hybridMultilevel"/>
    <w:lvl w:ilvl="0">
      <w:lvlJc w:val="left"/>
      <w:lvlText w:val="%1."/>
      <w:numFmt w:val="decimal"/>
      <w:start w:val="26"/>
    </w:lvl>
  </w:abstractNum>
  <w:abstractNum w:abstractNumId="199">
    <w:nsid w:val="217B22E4"/>
    <w:multiLevelType w:val="hybridMultilevel"/>
    <w:lvl w:ilvl="0">
      <w:lvlJc w:val="left"/>
      <w:lvlText w:val="%1."/>
      <w:numFmt w:val="decimal"/>
      <w:start w:val="1"/>
    </w:lvl>
  </w:abstractNum>
  <w:abstractNum w:abstractNumId="200">
    <w:nsid w:val="53E31A24"/>
    <w:multiLevelType w:val="hybridMultilevel"/>
    <w:lvl w:ilvl="0">
      <w:lvlJc w:val="left"/>
      <w:lvlText w:val="%1."/>
      <w:numFmt w:val="decimal"/>
      <w:start w:val="4"/>
    </w:lvl>
  </w:abstractNum>
  <w:abstractNum w:abstractNumId="201">
    <w:nsid w:val="6DC45E83"/>
    <w:multiLevelType w:val="hybridMultilevel"/>
    <w:lvl w:ilvl="0">
      <w:lvlJc w:val="left"/>
      <w:lvlText w:val="***"/>
      <w:numFmt w:val="bullet"/>
      <w:start w:val="1"/>
    </w:lvl>
  </w:abstractNum>
  <w:abstractNum w:abstractNumId="202">
    <w:nsid w:val="17304A67"/>
    <w:multiLevelType w:val="hybridMultilevel"/>
    <w:lvl w:ilvl="0">
      <w:lvlJc w:val="left"/>
      <w:lvlText w:val="%1."/>
      <w:numFmt w:val="decimal"/>
      <w:start w:val="1"/>
    </w:lvl>
  </w:abstractNum>
  <w:abstractNum w:abstractNumId="203">
    <w:nsid w:val="2BB180D8"/>
    <w:multiLevelType w:val="hybridMultilevel"/>
    <w:lvl w:ilvl="0">
      <w:lvlJc w:val="left"/>
      <w:lvlText w:val="***"/>
      <w:numFmt w:val="bullet"/>
      <w:start w:val="1"/>
    </w:lvl>
  </w:abstractNum>
  <w:abstractNum w:abstractNumId="204">
    <w:nsid w:val="556B69ED"/>
    <w:multiLevelType w:val="hybridMultilevel"/>
    <w:lvl w:ilvl="0">
      <w:lvlJc w:val="left"/>
      <w:lvlText w:val="%1."/>
      <w:numFmt w:val="decimal"/>
      <w:start w:val="4"/>
    </w:lvl>
  </w:abstractNum>
  <w:abstractNum w:abstractNumId="205">
    <w:nsid w:val="70836196"/>
    <w:multiLevelType w:val="hybridMultilevel"/>
    <w:lvl w:ilvl="0">
      <w:lvlJc w:val="left"/>
      <w:lvlText w:val="***"/>
      <w:numFmt w:val="bullet"/>
      <w:start w:val="1"/>
    </w:lvl>
  </w:abstractNum>
  <w:abstractNum w:abstractNumId="206">
    <w:nsid w:val="539F7F12"/>
    <w:multiLevelType w:val="hybridMultilevel"/>
    <w:lvl w:ilvl="0">
      <w:lvlJc w:val="left"/>
      <w:lvlText w:val="***"/>
      <w:numFmt w:val="bullet"/>
      <w:start w:val="1"/>
    </w:lvl>
  </w:abstractNum>
  <w:abstractNum w:abstractNumId="207">
    <w:nsid w:val="2817E7EC"/>
    <w:multiLevelType w:val="hybridMultilevel"/>
    <w:lvl w:ilvl="0">
      <w:lvlJc w:val="left"/>
      <w:lvlText w:val="***"/>
      <w:numFmt w:val="bullet"/>
      <w:start w:val="1"/>
    </w:lvl>
  </w:abstractNum>
  <w:abstractNum w:abstractNumId="208">
    <w:nsid w:val="71482545"/>
    <w:multiLevelType w:val="hybridMultilevel"/>
    <w:lvl w:ilvl="0">
      <w:lvlJc w:val="left"/>
      <w:lvlText w:val="(%1)"/>
      <w:numFmt w:val="decimal"/>
      <w:start w:val="1"/>
    </w:lvl>
  </w:abstractNum>
  <w:abstractNum w:abstractNumId="209">
    <w:nsid w:val="17D78639"/>
    <w:multiLevelType w:val="hybridMultilevel"/>
    <w:lvl w:ilvl="0">
      <w:lvlJc w:val="left"/>
      <w:lvlText w:val="(%1)"/>
      <w:numFmt w:val="decimal"/>
      <w:start w:val="2"/>
    </w:lvl>
  </w:abstractNum>
  <w:abstractNum w:abstractNumId="210">
    <w:nsid w:val="141D2302"/>
    <w:multiLevelType w:val="hybridMultilevel"/>
    <w:lvl w:ilvl="0">
      <w:lvlJc w:val="left"/>
      <w:lvlText w:val="***"/>
      <w:numFmt w:val="bullet"/>
      <w:start w:val="1"/>
    </w:lvl>
  </w:abstractNum>
  <w:abstractNum w:abstractNumId="211">
    <w:nsid w:val="407168D8"/>
    <w:multiLevelType w:val="hybridMultilevel"/>
    <w:lvl w:ilvl="0">
      <w:lvlJc w:val="left"/>
      <w:lvlText w:val="***"/>
      <w:numFmt w:val="bullet"/>
      <w:start w:val="1"/>
    </w:lvl>
  </w:abstractNum>
  <w:abstractNum w:abstractNumId="212">
    <w:nsid w:val="6A1B45E5"/>
    <w:multiLevelType w:val="hybridMultilevel"/>
    <w:lvl w:ilvl="0">
      <w:lvlJc w:val="left"/>
      <w:lvlText w:val="***"/>
      <w:numFmt w:val="bullet"/>
      <w:start w:val="1"/>
    </w:lvl>
  </w:abstractNum>
  <w:abstractNum w:abstractNumId="213">
    <w:nsid w:val="567BD50A"/>
    <w:multiLevelType w:val="hybridMultilevel"/>
    <w:lvl w:ilvl="0">
      <w:lvlJc w:val="left"/>
      <w:lvlText w:val="***"/>
      <w:numFmt w:val="bullet"/>
      <w:start w:val="1"/>
    </w:lvl>
  </w:abstractNum>
  <w:abstractNum w:abstractNumId="214">
    <w:nsid w:val="73BBD7F8"/>
    <w:multiLevelType w:val="hybridMultilevel"/>
    <w:lvl w:ilvl="0">
      <w:lvlJc w:val="left"/>
      <w:lvlText w:val="(%1)"/>
      <w:numFmt w:val="lowerLetter"/>
      <w:start w:val="5"/>
    </w:lvl>
  </w:abstractNum>
  <w:abstractNum w:abstractNumId="215">
    <w:nsid w:val="1876589D"/>
    <w:multiLevelType w:val="hybridMultilevel"/>
    <w:lvl w:ilvl="0">
      <w:lvlJc w:val="left"/>
      <w:lvlText w:val="***"/>
      <w:numFmt w:val="bullet"/>
      <w:start w:val="1"/>
    </w:lvl>
  </w:abstractNum>
  <w:abstractNum w:abstractNumId="216">
    <w:nsid w:val="327FAC77"/>
    <w:multiLevelType w:val="hybridMultilevel"/>
    <w:lvl w:ilvl="0">
      <w:lvlJc w:val="left"/>
      <w:lvlText w:val="***"/>
      <w:numFmt w:val="bullet"/>
      <w:start w:val="1"/>
    </w:lvl>
  </w:abstractNum>
  <w:abstractNum w:abstractNumId="217">
    <w:nsid w:val="5A606509"/>
    <w:multiLevelType w:val="hybridMultilevel"/>
    <w:lvl w:ilvl="0">
      <w:lvlJc w:val="left"/>
      <w:lvlText w:val="***"/>
      <w:numFmt w:val="bullet"/>
      <w:start w:val="1"/>
    </w:lvl>
  </w:abstractNum>
  <w:abstractNum w:abstractNumId="218">
    <w:nsid w:val="6F38E6D1"/>
    <w:multiLevelType w:val="hybridMultilevel"/>
    <w:lvl w:ilvl="0">
      <w:lvlJc w:val="left"/>
      <w:lvlText w:val="***"/>
      <w:numFmt w:val="bullet"/>
      <w:start w:val="1"/>
    </w:lvl>
  </w:abstractNum>
  <w:abstractNum w:abstractNumId="219">
    <w:nsid w:val="46111BA5"/>
    <w:multiLevelType w:val="hybridMultilevel"/>
    <w:lvl w:ilvl="0">
      <w:lvlJc w:val="left"/>
      <w:lvlText w:val="***"/>
      <w:numFmt w:val="bullet"/>
      <w:start w:val="1"/>
    </w:lvl>
  </w:abstractNum>
  <w:abstractNum w:abstractNumId="220">
    <w:nsid w:val="5E963896"/>
    <w:multiLevelType w:val="hybridMultilevel"/>
    <w:lvl w:ilvl="0">
      <w:lvlJc w:val="left"/>
      <w:lvlText w:val="***"/>
      <w:numFmt w:val="bullet"/>
      <w:start w:val="1"/>
    </w:lvl>
  </w:abstractNum>
  <w:abstractNum w:abstractNumId="221">
    <w:nsid w:val="775BA7C1"/>
    <w:multiLevelType w:val="hybridMultilevel"/>
    <w:lvl w:ilvl="0">
      <w:lvlJc w:val="left"/>
      <w:lvlText w:val="***"/>
      <w:numFmt w:val="bullet"/>
      <w:start w:val="1"/>
    </w:lvl>
  </w:abstractNum>
  <w:abstractNum w:abstractNumId="222">
    <w:nsid w:val="1DD6D6F4"/>
    <w:multiLevelType w:val="hybridMultilevel"/>
    <w:lvl w:ilvl="0">
      <w:lvlJc w:val="left"/>
      <w:lvlText w:val="***"/>
      <w:numFmt w:val="bullet"/>
      <w:start w:val="1"/>
    </w:lvl>
  </w:abstractNum>
  <w:abstractNum w:abstractNumId="223">
    <w:nsid w:val="769A091F"/>
    <w:multiLevelType w:val="hybridMultilevel"/>
    <w:lvl w:ilvl="0">
      <w:lvlJc w:val="left"/>
      <w:lvlText w:val="***"/>
      <w:numFmt w:val="bullet"/>
      <w:start w:val="1"/>
    </w:lvl>
  </w:abstractNum>
  <w:abstractNum w:abstractNumId="224">
    <w:nsid w:val="4695AE95"/>
    <w:multiLevelType w:val="hybridMultilevel"/>
    <w:lvl w:ilvl="0">
      <w:lvlJc w:val="left"/>
      <w:lvlText w:val="***"/>
      <w:numFmt w:val="bullet"/>
      <w:start w:val="1"/>
    </w:lvl>
  </w:abstractNum>
  <w:abstractNum w:abstractNumId="225">
    <w:nsid w:val="777A4EAA"/>
    <w:multiLevelType w:val="hybridMultilevel"/>
    <w:lvl w:ilvl="0">
      <w:lvlJc w:val="left"/>
      <w:lvlText w:val="***"/>
      <w:numFmt w:val="bullet"/>
      <w:start w:val="1"/>
    </w:lvl>
  </w:abstractNum>
  <w:abstractNum w:abstractNumId="226">
    <w:nsid w:val="3F48B982"/>
    <w:multiLevelType w:val="hybridMultilevel"/>
    <w:lvl w:ilvl="0">
      <w:lvlJc w:val="left"/>
      <w:lvlText w:val="***"/>
      <w:numFmt w:val="bullet"/>
      <w:start w:val="1"/>
    </w:lvl>
  </w:abstractNum>
  <w:abstractNum w:abstractNumId="227">
    <w:nsid w:val="46BA8FCA"/>
    <w:multiLevelType w:val="hybridMultilevel"/>
    <w:lvl w:ilvl="0">
      <w:lvlJc w:val="left"/>
      <w:lvlText w:val="***"/>
      <w:numFmt w:val="bullet"/>
      <w:start w:val="1"/>
    </w:lvl>
  </w:abstractNum>
  <w:abstractNum w:abstractNumId="228">
    <w:nsid w:val="7835626C"/>
    <w:multiLevelType w:val="hybridMultilevel"/>
    <w:lvl w:ilvl="0">
      <w:lvlJc w:val="left"/>
      <w:lvlText w:val="***"/>
      <w:numFmt w:val="bullet"/>
      <w:start w:val="1"/>
    </w:lvl>
  </w:abstractNum>
  <w:abstractNum w:abstractNumId="229">
    <w:nsid w:val="665ACA49"/>
    <w:multiLevelType w:val="hybridMultilevel"/>
    <w:lvl w:ilvl="0">
      <w:lvlJc w:val="left"/>
      <w:lvlText w:val="(%1)"/>
      <w:numFmt w:val="lowerLetter"/>
      <w:start w:val="6"/>
    </w:lvl>
  </w:abstractNum>
  <w:abstractNum w:abstractNumId="230">
    <w:nsid w:val="6835B2AE"/>
    <w:multiLevelType w:val="hybridMultilevel"/>
    <w:lvl w:ilvl="0">
      <w:lvlJc w:val="left"/>
      <w:lvlText w:val="(%1)"/>
      <w:numFmt w:val="lowerLetter"/>
      <w:start w:val="8"/>
    </w:lvl>
  </w:abstractNum>
  <w:abstractNum w:abstractNumId="231">
    <w:nsid w:val="4C187C90"/>
    <w:multiLevelType w:val="hybridMultilevel"/>
    <w:lvl w:ilvl="0">
      <w:lvlJc w:val="left"/>
      <w:lvlText w:val="(%1)"/>
      <w:numFmt w:val="lowerLetter"/>
      <w:start w:val="9"/>
    </w:lvl>
  </w:abstractNum>
  <w:abstractNum w:abstractNumId="232">
    <w:nsid w:val="541F28CD"/>
    <w:multiLevelType w:val="hybridMultilevel"/>
    <w:lvl w:ilvl="0">
      <w:lvlJc w:val="left"/>
      <w:lvlText w:val="***"/>
      <w:numFmt w:val="bullet"/>
      <w:start w:val="1"/>
    </w:lvl>
  </w:abstractNum>
  <w:abstractNum w:abstractNumId="233">
    <w:nsid w:val="7F65FD16"/>
    <w:multiLevelType w:val="hybridMultilevel"/>
    <w:lvl w:ilvl="0">
      <w:lvlJc w:val="left"/>
      <w:lvlText w:val="***"/>
      <w:numFmt w:val="bullet"/>
      <w:start w:val="1"/>
    </w:lvl>
  </w:abstractNum>
  <w:abstractNum w:abstractNumId="234">
    <w:nsid w:val="77C9FD68"/>
    <w:multiLevelType w:val="hybridMultilevel"/>
    <w:lvl w:ilvl="0">
      <w:lvlJc w:val="left"/>
      <w:lvlText w:val="***"/>
      <w:numFmt w:val="bullet"/>
      <w:start w:val="1"/>
    </w:lvl>
  </w:abstractNum>
  <w:abstractNum w:abstractNumId="235">
    <w:nsid w:val="298A92BA"/>
    <w:multiLevelType w:val="hybridMultilevel"/>
    <w:lvl w:ilvl="0">
      <w:lvlJc w:val="left"/>
      <w:lvlText w:val="%1"/>
      <w:numFmt w:val="decimal"/>
      <w:start w:val="1"/>
    </w:lvl>
    <w:lvl w:ilvl="1">
      <w:lvlJc w:val="left"/>
      <w:lvlText w:val="(%2)"/>
      <w:numFmt w:val="lowerLetter"/>
      <w:start w:val="6"/>
    </w:lvl>
  </w:abstractNum>
  <w:abstractNum w:abstractNumId="236">
    <w:nsid w:val="6FE95EAC"/>
    <w:multiLevelType w:val="hybridMultilevel"/>
    <w:lvl w:ilvl="0">
      <w:lvlJc w:val="left"/>
      <w:lvlText w:val="%1"/>
      <w:numFmt w:val="decimal"/>
      <w:start w:val="1"/>
    </w:lvl>
    <w:lvl w:ilvl="1">
      <w:lvlJc w:val="left"/>
      <w:lvlText w:val="(%2)"/>
      <w:numFmt w:val="lowerLetter"/>
      <w:start w:val="9"/>
    </w:lvl>
  </w:abstractNum>
  <w:abstractNum w:abstractNumId="237">
    <w:nsid w:val="4B697C7A"/>
    <w:multiLevelType w:val="hybridMultilevel"/>
    <w:lvl w:ilvl="0">
      <w:lvlJc w:val="left"/>
      <w:lvlText w:val="%1."/>
      <w:numFmt w:val="decimal"/>
      <w:start w:val="8"/>
    </w:lvl>
    <w:lvl w:ilvl="1">
      <w:lvlJc w:val="left"/>
      <w:lvlText w:val="%2"/>
      <w:numFmt w:val="lowerLetter"/>
      <w:start w:val="1"/>
    </w:lvl>
  </w:abstractNum>
  <w:abstractNum w:abstractNumId="238">
    <w:nsid w:val="51A27AA6"/>
    <w:multiLevelType w:val="hybridMultilevel"/>
    <w:lvl w:ilvl="0">
      <w:lvlJc w:val="left"/>
      <w:lvlText w:val="***"/>
      <w:numFmt w:val="bullet"/>
      <w:start w:val="1"/>
    </w:lvl>
  </w:abstractNum>
  <w:abstractNum w:abstractNumId="239">
    <w:nsid w:val="613183F2"/>
    <w:multiLevelType w:val="hybridMultilevel"/>
    <w:lvl w:ilvl="0">
      <w:lvlJc w:val="left"/>
      <w:lvlText w:val="***"/>
      <w:numFmt w:val="bullet"/>
      <w:start w:val="1"/>
    </w:lvl>
  </w:abstractNum>
  <w:abstractNum w:abstractNumId="240">
    <w:nsid w:val="634102B4"/>
    <w:multiLevelType w:val="hybridMultilevel"/>
    <w:lvl w:ilvl="0">
      <w:lvlJc w:val="left"/>
      <w:lvlText w:val="***"/>
      <w:numFmt w:val="bullet"/>
      <w:start w:val="1"/>
    </w:lvl>
  </w:abstractNum>
  <w:abstractNum w:abstractNumId="241">
    <w:nsid w:val="65BF9DA8"/>
    <w:multiLevelType w:val="hybridMultilevel"/>
    <w:lvl w:ilvl="0">
      <w:lvlJc w:val="left"/>
      <w:lvlText w:val="***"/>
      <w:numFmt w:val="bullet"/>
      <w:start w:val="1"/>
    </w:lvl>
  </w:abstractNum>
  <w:abstractNum w:abstractNumId="242">
    <w:nsid w:val="21A2ECCA"/>
    <w:multiLevelType w:val="hybridMultilevel"/>
    <w:lvl w:ilvl="0">
      <w:lvlJc w:val="left"/>
      <w:lvlText w:val="***"/>
      <w:numFmt w:val="bullet"/>
      <w:start w:val="1"/>
    </w:lvl>
  </w:abstractNum>
  <w:abstractNum w:abstractNumId="243">
    <w:nsid w:val="4D5C4899"/>
    <w:multiLevelType w:val="hybridMultilevel"/>
    <w:lvl w:ilvl="0">
      <w:lvlJc w:val="left"/>
      <w:lvlText w:val="***"/>
      <w:numFmt w:val="bullet"/>
      <w:start w:val="1"/>
    </w:lvl>
  </w:abstractNum>
  <w:abstractNum w:abstractNumId="244">
    <w:nsid w:val="3C3B72B2"/>
    <w:multiLevelType w:val="hybridMultilevel"/>
    <w:lvl w:ilvl="0">
      <w:lvlJc w:val="left"/>
      <w:lvlText w:val="***"/>
      <w:numFmt w:val="bullet"/>
      <w:start w:val="1"/>
    </w:lvl>
  </w:abstractNum>
  <w:abstractNum w:abstractNumId="245">
    <w:nsid w:val="155EC4C2"/>
    <w:multiLevelType w:val="hybridMultilevel"/>
    <w:lvl w:ilvl="0">
      <w:lvlJc w:val="left"/>
      <w:lvlText w:val="***"/>
      <w:numFmt w:val="bullet"/>
      <w:start w:val="1"/>
    </w:lvl>
  </w:abstractNum>
  <w:abstractNum w:abstractNumId="246">
    <w:nsid w:val="65D2A137"/>
    <w:multiLevelType w:val="hybridMultilevel"/>
    <w:lvl w:ilvl="0">
      <w:lvlJc w:val="left"/>
      <w:lvlText w:val="***"/>
      <w:numFmt w:val="bullet"/>
      <w:start w:val="1"/>
    </w:lvl>
  </w:abstractNum>
  <w:abstractNum w:abstractNumId="247">
    <w:nsid w:val="6EBB1F2A"/>
    <w:multiLevelType w:val="hybridMultilevel"/>
    <w:lvl w:ilvl="0">
      <w:lvlJc w:val="left"/>
      <w:lvlText w:val="***"/>
      <w:numFmt w:val="bullet"/>
      <w:start w:val="1"/>
    </w:lvl>
  </w:abstractNum>
  <w:abstractNum w:abstractNumId="248">
    <w:nsid w:val="6FBF29CB"/>
    <w:multiLevelType w:val="hybridMultilevel"/>
    <w:lvl w:ilvl="0">
      <w:lvlJc w:val="left"/>
      <w:lvlText w:val="***"/>
      <w:numFmt w:val="bullet"/>
      <w:start w:val="1"/>
    </w:lvl>
  </w:abstractNum>
  <w:abstractNum w:abstractNumId="249">
    <w:nsid w:val="550B8808"/>
    <w:multiLevelType w:val="hybridMultilevel"/>
    <w:lvl w:ilvl="0">
      <w:lvlJc w:val="left"/>
      <w:lvlText w:val="***"/>
      <w:numFmt w:val="bullet"/>
      <w:start w:val="1"/>
    </w:lvl>
    <w:lvl w:ilvl="1">
      <w:lvlJc w:val="left"/>
      <w:lvlText w:val="%2."/>
      <w:numFmt w:val="decimal"/>
      <w:start w:val="16"/>
    </w:lvl>
  </w:abstractNum>
  <w:abstractNum w:abstractNumId="250">
    <w:nsid w:val="34CC3ACF"/>
    <w:multiLevelType w:val="hybridMultilevel"/>
    <w:lvl w:ilvl="0">
      <w:lvlJc w:val="left"/>
      <w:lvlText w:val="***"/>
      <w:numFmt w:val="bullet"/>
      <w:start w:val="1"/>
    </w:lvl>
    <w:lvl w:ilvl="1">
      <w:lvlJc w:val="left"/>
      <w:lvlText w:val="%2."/>
      <w:numFmt w:val="decimal"/>
      <w:start w:val="18"/>
    </w:lvl>
  </w:abstractNum>
  <w:abstractNum w:abstractNumId="251">
    <w:nsid w:val="4E556261"/>
    <w:multiLevelType w:val="hybridMultilevel"/>
    <w:lvl w:ilvl="0">
      <w:lvlJc w:val="left"/>
      <w:lvlText w:val="***"/>
      <w:numFmt w:val="bullet"/>
      <w:start w:val="1"/>
    </w:lvl>
  </w:abstractNum>
  <w:abstractNum w:abstractNumId="252">
    <w:nsid w:val="4C672FC9"/>
    <w:multiLevelType w:val="hybridMultilevel"/>
    <w:lvl w:ilvl="0">
      <w:lvlJc w:val="left"/>
      <w:lvlText w:val="***"/>
      <w:numFmt w:val="bullet"/>
      <w:start w:val="1"/>
    </w:lvl>
  </w:abstractNum>
  <w:abstractNum w:abstractNumId="253">
    <w:nsid w:val="52A311C3"/>
    <w:multiLevelType w:val="hybridMultilevel"/>
    <w:lvl w:ilvl="0">
      <w:lvlJc w:val="left"/>
      <w:lvlText w:val="***"/>
      <w:numFmt w:val="bullet"/>
      <w:start w:val="1"/>
    </w:lvl>
    <w:lvl w:ilvl="1">
      <w:lvlJc w:val="left"/>
      <w:lvlText w:val="%2."/>
      <w:numFmt w:val="decimal"/>
      <w:start w:val="25"/>
    </w:lvl>
  </w:abstractNum>
  <w:abstractNum w:abstractNumId="254">
    <w:nsid w:val="44EF6B80"/>
    <w:multiLevelType w:val="hybridMultilevel"/>
    <w:lvl w:ilvl="0">
      <w:lvlJc w:val="left"/>
      <w:lvlText w:val="***"/>
      <w:numFmt w:val="bullet"/>
      <w:start w:val="1"/>
    </w:lvl>
  </w:abstractNum>
  <w:abstractNum w:abstractNumId="255">
    <w:nsid w:val="12FCDE5E"/>
    <w:multiLevelType w:val="hybridMultilevel"/>
    <w:lvl w:ilvl="0">
      <w:lvlJc w:val="left"/>
      <w:lvlText w:val="***"/>
      <w:numFmt w:val="bullet"/>
      <w:start w:val="1"/>
    </w:lvl>
  </w:abstractNum>
  <w:abstractNum w:abstractNumId="256">
    <w:nsid w:val="4A1D606E"/>
    <w:multiLevelType w:val="hybridMultilevel"/>
    <w:lvl w:ilvl="0">
      <w:lvlJc w:val="left"/>
      <w:lvlText w:val="%1."/>
      <w:numFmt w:val="decimal"/>
      <w:start w:val="1"/>
    </w:lvl>
  </w:abstractNum>
  <w:abstractNum w:abstractNumId="257">
    <w:nsid w:val="4382503"/>
    <w:multiLevelType w:val="hybridMultilevel"/>
    <w:lvl w:ilvl="0">
      <w:lvlJc w:val="left"/>
      <w:lvlText w:val="***"/>
      <w:numFmt w:val="bullet"/>
      <w:start w:val="1"/>
    </w:lvl>
  </w:abstractNum>
  <w:abstractNum w:abstractNumId="258">
    <w:nsid w:val="59B76E28"/>
    <w:multiLevelType w:val="hybridMultilevel"/>
    <w:lvl w:ilvl="0">
      <w:lvlJc w:val="left"/>
      <w:lvlText w:val="***"/>
      <w:numFmt w:val="bullet"/>
      <w:start w:val="1"/>
    </w:lvl>
  </w:abstractNum>
  <w:abstractNum w:abstractNumId="259">
    <w:nsid w:val="4252C2DA"/>
    <w:multiLevelType w:val="hybridMultilevel"/>
    <w:lvl w:ilvl="0">
      <w:lvlJc w:val="left"/>
      <w:lvlText w:val="(%1)"/>
      <w:numFmt w:val="lowerLetter"/>
      <w:start w:val="6"/>
    </w:lvl>
  </w:abstractNum>
  <w:abstractNum w:abstractNumId="260">
    <w:nsid w:val="6A92EF4C"/>
    <w:multiLevelType w:val="hybridMultilevel"/>
    <w:lvl w:ilvl="0">
      <w:lvlJc w:val="left"/>
      <w:lvlText w:val="***"/>
      <w:numFmt w:val="bullet"/>
      <w:start w:val="1"/>
    </w:lvl>
  </w:abstractNum>
  <w:abstractNum w:abstractNumId="261">
    <w:nsid w:val="41ED20D7"/>
    <w:multiLevelType w:val="hybridMultilevel"/>
    <w:lvl w:ilvl="0">
      <w:lvlJc w:val="left"/>
      <w:lvlText w:val="%1"/>
      <w:numFmt w:val="decimal"/>
      <w:start w:val="1"/>
    </w:lvl>
    <w:lvl w:ilvl="1">
      <w:lvlJc w:val="left"/>
      <w:lvlText w:val="(%2)"/>
      <w:numFmt w:val="lowerLetter"/>
      <w:start w:val="9"/>
    </w:lvl>
  </w:abstractNum>
  <w:abstractNum w:abstractNumId="262">
    <w:nsid w:val="E6B3F6A"/>
    <w:multiLevelType w:val="hybridMultilevel"/>
    <w:lvl w:ilvl="0">
      <w:lvlJc w:val="left"/>
      <w:lvlText w:val="%1."/>
      <w:numFmt w:val="decimal"/>
      <w:start w:val="3"/>
    </w:lvl>
    <w:lvl w:ilvl="1">
      <w:lvlJc w:val="left"/>
      <w:lvlText w:val="%2"/>
      <w:numFmt w:val="lowerLetter"/>
      <w:start w:val="1"/>
    </w:lvl>
  </w:abstractNum>
  <w:abstractNum w:abstractNumId="263">
    <w:nsid w:val="3EB21819"/>
    <w:multiLevelType w:val="hybridMultilevel"/>
    <w:lvl w:ilvl="0">
      <w:lvlJc w:val="left"/>
      <w:lvlText w:val="***"/>
      <w:numFmt w:val="bullet"/>
      <w:start w:val="1"/>
    </w:lvl>
  </w:abstractNum>
  <w:abstractNum w:abstractNumId="264">
    <w:nsid w:val="41531DED"/>
    <w:multiLevelType w:val="hybridMultilevel"/>
    <w:lvl w:ilvl="0">
      <w:lvlJc w:val="left"/>
      <w:lvlText w:val="***"/>
      <w:numFmt w:val="bullet"/>
      <w:start w:val="1"/>
    </w:lvl>
  </w:abstractNum>
  <w:abstractNum w:abstractNumId="265">
    <w:nsid w:val="6353CD2"/>
    <w:multiLevelType w:val="hybridMultilevel"/>
    <w:lvl w:ilvl="0">
      <w:lvlJc w:val="left"/>
      <w:lvlText w:val="***"/>
      <w:numFmt w:val="bullet"/>
      <w:start w:val="1"/>
    </w:lvl>
  </w:abstractNum>
  <w:abstractNum w:abstractNumId="266">
    <w:nsid w:val="683CAAD3"/>
    <w:multiLevelType w:val="hybridMultilevel"/>
    <w:lvl w:ilvl="0">
      <w:lvlJc w:val="left"/>
      <w:lvlText w:val="%1."/>
      <w:numFmt w:val="decimal"/>
      <w:start w:val="1"/>
    </w:lvl>
  </w:abstractNum>
  <w:abstractNum w:abstractNumId="267">
    <w:nsid w:val="313C7C99"/>
    <w:multiLevelType w:val="hybridMultilevel"/>
    <w:lvl w:ilvl="0">
      <w:lvlJc w:val="left"/>
      <w:lvlText w:val="***"/>
      <w:numFmt w:val="bullet"/>
      <w:start w:val="1"/>
    </w:lvl>
    <w:lvl w:ilvl="1">
      <w:lvlJc w:val="left"/>
      <w:lvlText w:val="%2."/>
      <w:numFmt w:val="lowerRoman"/>
      <w:start w:val="1"/>
    </w:lvl>
  </w:abstractNum>
  <w:abstractNum w:abstractNumId="268">
    <w:nsid w:val="519EB94C"/>
    <w:multiLevelType w:val="hybridMultilevel"/>
    <w:lvl w:ilvl="0">
      <w:lvlJc w:val="left"/>
      <w:lvlText w:val="%1."/>
      <w:numFmt w:val="decimal"/>
      <w:start w:val="1"/>
    </w:lvl>
    <w:lvl w:ilvl="1">
      <w:lvlJc w:val="left"/>
      <w:lvlText w:val="(%2)"/>
      <w:numFmt w:val="lowerLetter"/>
      <w:start w:val="1"/>
    </w:lvl>
  </w:abstractNum>
  <w:abstractNum w:abstractNumId="269">
    <w:nsid w:val="39DF2579"/>
    <w:multiLevelType w:val="hybridMultilevel"/>
    <w:lvl w:ilvl="0">
      <w:lvlJc w:val="left"/>
      <w:lvlText w:val="%1."/>
      <w:numFmt w:val="decimal"/>
      <w:start w:val="1"/>
    </w:lvl>
    <w:lvl w:ilvl="1">
      <w:lvlJc w:val="left"/>
      <w:lvlText w:val="(%2)"/>
      <w:numFmt w:val="lowerLetter"/>
      <w:start w:val="1"/>
    </w:lvl>
  </w:abstractNum>
  <w:abstractNum w:abstractNumId="270">
    <w:nsid w:val="126E008B"/>
    <w:multiLevelType w:val="hybridMultilevel"/>
    <w:lvl w:ilvl="0">
      <w:lvlJc w:val="left"/>
      <w:lvlText w:val="(%1)"/>
      <w:numFmt w:val="decimal"/>
      <w:start w:val="1"/>
    </w:lvl>
  </w:abstractNum>
  <w:abstractNum w:abstractNumId="271">
    <w:nsid w:val="34DFBC00"/>
    <w:multiLevelType w:val="hybridMultilevel"/>
    <w:lvl w:ilvl="0">
      <w:lvlJc w:val="left"/>
      <w:lvlText w:val="(%1)"/>
      <w:numFmt w:val="decimal"/>
      <w:start w:val="1"/>
    </w:lvl>
  </w:abstractNum>
  <w:abstractNum w:abstractNumId="272">
    <w:nsid w:val="1F9EC322"/>
    <w:multiLevelType w:val="hybridMultilevel"/>
    <w:lvl w:ilvl="0">
      <w:lvlJc w:val="left"/>
      <w:lvlText w:val="%1."/>
      <w:numFmt w:val="decimal"/>
      <w:start w:val="1"/>
    </w:lvl>
  </w:abstractNum>
  <w:abstractNum w:abstractNumId="273">
    <w:nsid w:val="3410ED56"/>
    <w:multiLevelType w:val="hybridMultilevel"/>
    <w:lvl w:ilvl="0">
      <w:lvlJc w:val="left"/>
      <w:lvlText w:val="(%1)"/>
      <w:numFmt w:val="lowerLetter"/>
      <w:start w:val="1"/>
    </w:lvl>
  </w:abstractNum>
  <w:abstractNum w:abstractNumId="274">
    <w:nsid w:val="23C049A"/>
    <w:multiLevelType w:val="hybridMultilevel"/>
    <w:lvl w:ilvl="0">
      <w:lvlJc w:val="left"/>
      <w:lvlText w:val="(%1)"/>
      <w:numFmt w:val="lowerRoman"/>
      <w:start w:val="1"/>
    </w:lvl>
  </w:abstractNum>
  <w:abstractNum w:abstractNumId="275">
    <w:nsid w:val="5BDA35D4"/>
    <w:multiLevelType w:val="hybridMultilevel"/>
    <w:lvl w:ilvl="0">
      <w:lvlJc w:val="left"/>
      <w:lvlText w:val="(%1)"/>
      <w:numFmt w:val="lowerLetter"/>
      <w:start w:val="3"/>
    </w:lvl>
  </w:abstractNum>
  <w:abstractNum w:abstractNumId="276">
    <w:nsid w:val="496FB218"/>
    <w:multiLevelType w:val="hybridMultilevel"/>
    <w:lvl w:ilvl="0">
      <w:lvlJc w:val="left"/>
      <w:lvlText w:val="(%1)"/>
      <w:numFmt w:val="lowerLetter"/>
      <w:start w:val="8"/>
    </w:lvl>
  </w:abstractNum>
  <w:abstractNum w:abstractNumId="277">
    <w:nsid w:val="680EA5D1"/>
    <w:multiLevelType w:val="hybridMultilevel"/>
    <w:lvl w:ilvl="0">
      <w:lvlJc w:val="left"/>
      <w:lvlText w:val="(%1)"/>
      <w:numFmt w:val="lowerRoman"/>
      <w:start w:val="2"/>
    </w:lvl>
  </w:abstractNum>
  <w:abstractNum w:abstractNumId="278">
    <w:nsid w:val="4A9554FE"/>
    <w:multiLevelType w:val="hybridMultilevel"/>
    <w:lvl w:ilvl="0">
      <w:lvlJc w:val="left"/>
      <w:lvlText w:val="(%1)"/>
      <w:numFmt w:val="lowerLetter"/>
      <w:start w:val="9"/>
    </w:lvl>
  </w:abstractNum>
  <w:abstractNum w:abstractNumId="279">
    <w:nsid w:val="392EDBE4"/>
    <w:multiLevelType w:val="hybridMultilevel"/>
    <w:lvl w:ilvl="0">
      <w:lvlJc w:val="left"/>
      <w:lvlText w:val="%1."/>
      <w:numFmt w:val="decimal"/>
      <w:start w:val="2"/>
    </w:lvl>
  </w:abstractNum>
  <w:abstractNum w:abstractNumId="280">
    <w:nsid w:val="3D1A2DD9"/>
    <w:multiLevelType w:val="hybridMultilevel"/>
    <w:lvl w:ilvl="0">
      <w:lvlJc w:val="left"/>
      <w:lvlText w:val="(%1)"/>
      <w:numFmt w:val="lowerLetter"/>
      <w:start w:val="1"/>
    </w:lvl>
  </w:abstractNum>
  <w:abstractNum w:abstractNumId="281">
    <w:nsid w:val="7F618FCD"/>
    <w:multiLevelType w:val="hybridMultilevel"/>
    <w:lvl w:ilvl="0">
      <w:lvlJc w:val="left"/>
      <w:lvlText w:val="(%1)"/>
      <w:numFmt w:val="lowerLetter"/>
      <w:start w:val="3"/>
    </w:lvl>
  </w:abstractNum>
  <w:abstractNum w:abstractNumId="282">
    <w:nsid w:val="7843E45"/>
    <w:multiLevelType w:val="hybridMultilevel"/>
    <w:lvl w:ilvl="0">
      <w:lvlJc w:val="left"/>
      <w:lvlText w:val="(%1)"/>
      <w:numFmt w:val="lowerRoman"/>
      <w:start w:val="1"/>
    </w:lvl>
  </w:abstractNum>
  <w:abstractNum w:abstractNumId="283">
    <w:nsid w:val="9815DA3"/>
    <w:multiLevelType w:val="hybridMultilevel"/>
    <w:lvl w:ilvl="0">
      <w:lvlJc w:val="left"/>
      <w:lvlText w:val="(%1)"/>
      <w:numFmt w:val="lowerLetter"/>
      <w:start w:val="5"/>
    </w:lvl>
  </w:abstractNum>
  <w:abstractNum w:abstractNumId="284">
    <w:nsid w:val="5204A191"/>
    <w:multiLevelType w:val="hybridMultilevel"/>
    <w:lvl w:ilvl="0">
      <w:lvlJc w:val="left"/>
      <w:lvlText w:val="%1."/>
      <w:numFmt w:val="decimal"/>
      <w:start w:val="3"/>
    </w:lvl>
  </w:abstractNum>
  <w:abstractNum w:abstractNumId="285">
    <w:nsid w:val="4C73A9C6"/>
    <w:multiLevelType w:val="hybridMultilevel"/>
    <w:lvl w:ilvl="0">
      <w:lvlJc w:val="left"/>
      <w:lvlText w:val="%1."/>
      <w:numFmt w:val="decimal"/>
      <w:start w:val="5"/>
    </w:lvl>
  </w:abstractNum>
  <w:abstractNum w:abstractNumId="286">
    <w:nsid w:val="1C7E3C01"/>
    <w:multiLevelType w:val="hybridMultilevel"/>
    <w:lvl w:ilvl="0">
      <w:lvlJc w:val="left"/>
      <w:lvlText w:val="(%1)"/>
      <w:numFmt w:val="lowerLetter"/>
      <w:start w:val="1"/>
    </w:lvl>
  </w:abstractNum>
  <w:abstractNum w:abstractNumId="287">
    <w:nsid w:val="1C2201FF"/>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6" Type="http://schemas.openxmlformats.org/officeDocument/2006/relationships/image" Target="media/image130.png"/><Relationship Id="rId167"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301" Type="http://schemas.openxmlformats.org/officeDocument/2006/relationships/image" Target="media/image256.png"/><Relationship Id="rId302" Type="http://schemas.openxmlformats.org/officeDocument/2006/relationships/image" Target="media/image257.png"/><Relationship Id="rId303" Type="http://schemas.openxmlformats.org/officeDocument/2006/relationships/image" Target="media/image258.png"/><Relationship Id="rId304" Type="http://schemas.openxmlformats.org/officeDocument/2006/relationships/image" Target="media/image259.png"/><Relationship Id="rId305" Type="http://schemas.openxmlformats.org/officeDocument/2006/relationships/image" Target="media/image260.png"/><Relationship Id="rId306" Type="http://schemas.openxmlformats.org/officeDocument/2006/relationships/image" Target="media/image261.png"/><Relationship Id="rId307" Type="http://schemas.openxmlformats.org/officeDocument/2006/relationships/image" Target="media/image262.png"/><Relationship Id="rId308" Type="http://schemas.openxmlformats.org/officeDocument/2006/relationships/image" Target="media/image263.png"/><Relationship Id="rId309" Type="http://schemas.openxmlformats.org/officeDocument/2006/relationships/image" Target="media/image264.png"/><Relationship Id="rId310" Type="http://schemas.openxmlformats.org/officeDocument/2006/relationships/image" Target="media/image265.png"/><Relationship Id="rId311" Type="http://schemas.openxmlformats.org/officeDocument/2006/relationships/image" Target="media/image266.png"/><Relationship Id="rId312" Type="http://schemas.openxmlformats.org/officeDocument/2006/relationships/image" Target="media/image267.png"/><Relationship Id="rId313" Type="http://schemas.openxmlformats.org/officeDocument/2006/relationships/image" Target="media/image268.png"/><Relationship Id="rId314" Type="http://schemas.openxmlformats.org/officeDocument/2006/relationships/image" Target="media/image269.png"/><Relationship Id="rId315" Type="http://schemas.openxmlformats.org/officeDocument/2006/relationships/image" Target="media/image270.png"/><Relationship Id="rId316" Type="http://schemas.openxmlformats.org/officeDocument/2006/relationships/image" Target="media/image271.png"/><Relationship Id="rId317" Type="http://schemas.openxmlformats.org/officeDocument/2006/relationships/image" Target="media/image272.png"/><Relationship Id="rId318" Type="http://schemas.openxmlformats.org/officeDocument/2006/relationships/image" Target="media/image273.png"/><Relationship Id="rId319" Type="http://schemas.openxmlformats.org/officeDocument/2006/relationships/image" Target="media/image274.png"/><Relationship Id="rId320" Type="http://schemas.openxmlformats.org/officeDocument/2006/relationships/image" Target="media/image275.png"/><Relationship Id="rId321" Type="http://schemas.openxmlformats.org/officeDocument/2006/relationships/image" Target="media/image276.png"/><Relationship Id="rId322"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6" Type="http://schemas.openxmlformats.org/officeDocument/2006/relationships/image" Target="media/image281.png"/><Relationship Id="rId327" Type="http://schemas.openxmlformats.org/officeDocument/2006/relationships/image" Target="media/image282.png"/><Relationship Id="rId328" Type="http://schemas.openxmlformats.org/officeDocument/2006/relationships/image" Target="media/image283.png"/><Relationship Id="rId329" Type="http://schemas.openxmlformats.org/officeDocument/2006/relationships/image" Target="media/image284.png"/><Relationship Id="rId330" Type="http://schemas.openxmlformats.org/officeDocument/2006/relationships/image" Target="media/image285.png"/><Relationship Id="rId331" Type="http://schemas.openxmlformats.org/officeDocument/2006/relationships/image" Target="media/image286.png"/><Relationship Id="rId332" Type="http://schemas.openxmlformats.org/officeDocument/2006/relationships/image" Target="media/image287.png"/><Relationship Id="rId333" Type="http://schemas.openxmlformats.org/officeDocument/2006/relationships/image" Target="media/image288.png"/><Relationship Id="rId334" Type="http://schemas.openxmlformats.org/officeDocument/2006/relationships/image" Target="media/image289.png"/><Relationship Id="rId335" Type="http://schemas.openxmlformats.org/officeDocument/2006/relationships/image" Target="media/image290.png"/><Relationship Id="rId336" Type="http://schemas.openxmlformats.org/officeDocument/2006/relationships/image" Target="media/image291.png"/><Relationship Id="rId337" Type="http://schemas.openxmlformats.org/officeDocument/2006/relationships/image" Target="media/image292.png"/><Relationship Id="rId338" Type="http://schemas.openxmlformats.org/officeDocument/2006/relationships/image" Target="media/image293.png"/><Relationship Id="rId339" Type="http://schemas.openxmlformats.org/officeDocument/2006/relationships/image" Target="media/image294.png"/><Relationship Id="rId340" Type="http://schemas.openxmlformats.org/officeDocument/2006/relationships/image" Target="media/image295.png"/><Relationship Id="rId341" Type="http://schemas.openxmlformats.org/officeDocument/2006/relationships/image" Target="media/image296.png"/><Relationship Id="rId342" Type="http://schemas.openxmlformats.org/officeDocument/2006/relationships/image" Target="media/image297.png"/><Relationship Id="rId343" Type="http://schemas.openxmlformats.org/officeDocument/2006/relationships/image" Target="media/image298.png"/><Relationship Id="rId344" Type="http://schemas.openxmlformats.org/officeDocument/2006/relationships/image" Target="media/image299.png"/><Relationship Id="rId345" Type="http://schemas.openxmlformats.org/officeDocument/2006/relationships/image" Target="media/image300.png"/><Relationship Id="rId346" Type="http://schemas.openxmlformats.org/officeDocument/2006/relationships/image" Target="media/image301.png"/><Relationship Id="rId347" Type="http://schemas.openxmlformats.org/officeDocument/2006/relationships/image" Target="media/image302.png"/><Relationship Id="rId348" Type="http://schemas.openxmlformats.org/officeDocument/2006/relationships/image" Target="media/image303.png"/><Relationship Id="rId349" Type="http://schemas.openxmlformats.org/officeDocument/2006/relationships/image" Target="media/image304.png"/><Relationship Id="rId350" Type="http://schemas.openxmlformats.org/officeDocument/2006/relationships/image" Target="media/image305.png"/><Relationship Id="rId351" Type="http://schemas.openxmlformats.org/officeDocument/2006/relationships/image" Target="media/image306.png"/><Relationship Id="rId352" Type="http://schemas.openxmlformats.org/officeDocument/2006/relationships/image" Target="media/image307.png"/><Relationship Id="rId353" Type="http://schemas.openxmlformats.org/officeDocument/2006/relationships/image" Target="media/image308.png"/><Relationship Id="rId354" Type="http://schemas.openxmlformats.org/officeDocument/2006/relationships/image" Target="media/image309.png"/><Relationship Id="rId355" Type="http://schemas.openxmlformats.org/officeDocument/2006/relationships/image" Target="media/image310.png"/><Relationship Id="rId356" Type="http://schemas.openxmlformats.org/officeDocument/2006/relationships/image" Target="media/image311.png"/><Relationship Id="rId357" Type="http://schemas.openxmlformats.org/officeDocument/2006/relationships/image" Target="media/image312.png"/><Relationship Id="rId358" Type="http://schemas.openxmlformats.org/officeDocument/2006/relationships/image" Target="media/image313.png"/><Relationship Id="rId359" Type="http://schemas.openxmlformats.org/officeDocument/2006/relationships/image" Target="media/image314.png"/><Relationship Id="rId360" Type="http://schemas.openxmlformats.org/officeDocument/2006/relationships/image" Target="media/image315.png"/><Relationship Id="rId361" Type="http://schemas.openxmlformats.org/officeDocument/2006/relationships/image" Target="media/image316.png"/><Relationship Id="rId362" Type="http://schemas.openxmlformats.org/officeDocument/2006/relationships/image" Target="media/image317.png"/><Relationship Id="rId363" Type="http://schemas.openxmlformats.org/officeDocument/2006/relationships/image" Target="media/image318.png"/><Relationship Id="rId364" Type="http://schemas.openxmlformats.org/officeDocument/2006/relationships/image" Target="media/image319.png"/><Relationship Id="rId365" Type="http://schemas.openxmlformats.org/officeDocument/2006/relationships/image" Target="media/image320.png"/><Relationship Id="rId366" Type="http://schemas.openxmlformats.org/officeDocument/2006/relationships/image" Target="media/image321.png"/><Relationship Id="rId367" Type="http://schemas.openxmlformats.org/officeDocument/2006/relationships/image" Target="media/image322.png"/><Relationship Id="rId368" Type="http://schemas.openxmlformats.org/officeDocument/2006/relationships/image" Target="media/image323.png"/><Relationship Id="rId369" Type="http://schemas.openxmlformats.org/officeDocument/2006/relationships/image" Target="media/image324.png"/><Relationship Id="rId370" Type="http://schemas.openxmlformats.org/officeDocument/2006/relationships/image" Target="media/image325.png"/><Relationship Id="rId371" Type="http://schemas.openxmlformats.org/officeDocument/2006/relationships/image" Target="media/image326.png"/><Relationship Id="rId372" Type="http://schemas.openxmlformats.org/officeDocument/2006/relationships/image" Target="media/image327.png"/><Relationship Id="rId373" Type="http://schemas.openxmlformats.org/officeDocument/2006/relationships/image" Target="media/image328.png"/><Relationship Id="rId374" Type="http://schemas.openxmlformats.org/officeDocument/2006/relationships/image" Target="media/image329.png"/><Relationship Id="rId375" Type="http://schemas.openxmlformats.org/officeDocument/2006/relationships/image" Target="media/image330.png"/><Relationship Id="rId376" Type="http://schemas.openxmlformats.org/officeDocument/2006/relationships/image" Target="media/image331.png"/><Relationship Id="rId377" Type="http://schemas.openxmlformats.org/officeDocument/2006/relationships/image" Target="media/image332.png"/><Relationship Id="rId378" Type="http://schemas.openxmlformats.org/officeDocument/2006/relationships/image" Target="media/image333.png"/><Relationship Id="rId379" Type="http://schemas.openxmlformats.org/officeDocument/2006/relationships/image" Target="media/image334.png"/><Relationship Id="rId380" Type="http://schemas.openxmlformats.org/officeDocument/2006/relationships/image" Target="media/image335.png"/><Relationship Id="rId381" Type="http://schemas.openxmlformats.org/officeDocument/2006/relationships/image" Target="media/image336.png"/><Relationship Id="rId382" Type="http://schemas.openxmlformats.org/officeDocument/2006/relationships/image" Target="media/image337.png"/><Relationship Id="rId383" Type="http://schemas.openxmlformats.org/officeDocument/2006/relationships/image" Target="media/image338.png"/><Relationship Id="rId384" Type="http://schemas.openxmlformats.org/officeDocument/2006/relationships/image" Target="media/image339.png"/><Relationship Id="rId385" Type="http://schemas.openxmlformats.org/officeDocument/2006/relationships/image" Target="media/image340.png"/><Relationship Id="rId386" Type="http://schemas.openxmlformats.org/officeDocument/2006/relationships/image" Target="media/image341.png"/><Relationship Id="rId387" Type="http://schemas.openxmlformats.org/officeDocument/2006/relationships/image" Target="media/image342.png"/><Relationship Id="rId388" Type="http://schemas.openxmlformats.org/officeDocument/2006/relationships/image" Target="media/image343.png"/><Relationship Id="rId389" Type="http://schemas.openxmlformats.org/officeDocument/2006/relationships/image" Target="media/image344.png"/><Relationship Id="rId390" Type="http://schemas.openxmlformats.org/officeDocument/2006/relationships/image" Target="media/image345.png"/><Relationship Id="rId391" Type="http://schemas.openxmlformats.org/officeDocument/2006/relationships/image" Target="media/image346.png"/><Relationship Id="rId392" Type="http://schemas.openxmlformats.org/officeDocument/2006/relationships/image" Target="media/image347.png"/><Relationship Id="rId393" Type="http://schemas.openxmlformats.org/officeDocument/2006/relationships/image" Target="media/image348.png"/><Relationship Id="rId394" Type="http://schemas.openxmlformats.org/officeDocument/2006/relationships/image" Target="media/image349.png"/><Relationship Id="rId395" Type="http://schemas.openxmlformats.org/officeDocument/2006/relationships/image" Target="media/image350.png"/><Relationship Id="rId396" Type="http://schemas.openxmlformats.org/officeDocument/2006/relationships/image" Target="media/image351.png"/><Relationship Id="rId397" Type="http://schemas.openxmlformats.org/officeDocument/2006/relationships/image" Target="media/image352.png"/><Relationship Id="rId398" Type="http://schemas.openxmlformats.org/officeDocument/2006/relationships/image" Target="media/image353.png"/><Relationship Id="rId399" Type="http://schemas.openxmlformats.org/officeDocument/2006/relationships/image" Target="media/image354.png"/><Relationship Id="rId400" Type="http://schemas.openxmlformats.org/officeDocument/2006/relationships/image" Target="media/image355.png"/><Relationship Id="rId401" Type="http://schemas.openxmlformats.org/officeDocument/2006/relationships/image" Target="media/image356.png"/><Relationship Id="rId402" Type="http://schemas.openxmlformats.org/officeDocument/2006/relationships/image" Target="media/image357.png"/><Relationship Id="rId403" Type="http://schemas.openxmlformats.org/officeDocument/2006/relationships/image" Target="media/image358.png"/><Relationship Id="rId404" Type="http://schemas.openxmlformats.org/officeDocument/2006/relationships/image" Target="media/image359.png"/><Relationship Id="rId405" Type="http://schemas.openxmlformats.org/officeDocument/2006/relationships/image" Target="media/image360.png"/><Relationship Id="rId406" Type="http://schemas.openxmlformats.org/officeDocument/2006/relationships/image" Target="media/image361.png"/><Relationship Id="rId407" Type="http://schemas.openxmlformats.org/officeDocument/2006/relationships/image" Target="media/image362.png"/><Relationship Id="rId408" Type="http://schemas.openxmlformats.org/officeDocument/2006/relationships/image" Target="media/image363.png"/><Relationship Id="rId409" Type="http://schemas.openxmlformats.org/officeDocument/2006/relationships/image" Target="media/image364.png"/><Relationship Id="rId410" Type="http://schemas.openxmlformats.org/officeDocument/2006/relationships/image" Target="media/image365.png"/><Relationship Id="rId411" Type="http://schemas.openxmlformats.org/officeDocument/2006/relationships/image" Target="media/image366.png"/><Relationship Id="rId412" Type="http://schemas.openxmlformats.org/officeDocument/2006/relationships/image" Target="media/image367.png"/><Relationship Id="rId413" Type="http://schemas.openxmlformats.org/officeDocument/2006/relationships/image" Target="media/image368.png"/><Relationship Id="rId414" Type="http://schemas.openxmlformats.org/officeDocument/2006/relationships/image" Target="media/image369.png"/><Relationship Id="rId415"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427" Type="http://schemas.openxmlformats.org/officeDocument/2006/relationships/image" Target="media/image382.png"/><Relationship Id="rId428" Type="http://schemas.openxmlformats.org/officeDocument/2006/relationships/image" Target="media/image383.png"/><Relationship Id="rId429"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pn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435" Type="http://schemas.openxmlformats.org/officeDocument/2006/relationships/image" Target="media/image390.png"/><Relationship Id="rId436" Type="http://schemas.openxmlformats.org/officeDocument/2006/relationships/image" Target="media/image391.png"/><Relationship Id="rId437" Type="http://schemas.openxmlformats.org/officeDocument/2006/relationships/image" Target="media/image392.png"/><Relationship Id="rId438" Type="http://schemas.openxmlformats.org/officeDocument/2006/relationships/image" Target="media/image393.png"/><Relationship Id="rId439" Type="http://schemas.openxmlformats.org/officeDocument/2006/relationships/image" Target="media/image394.png"/><Relationship Id="rId440"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3" Type="http://schemas.openxmlformats.org/officeDocument/2006/relationships/image" Target="media/image398.png"/><Relationship Id="rId444" Type="http://schemas.openxmlformats.org/officeDocument/2006/relationships/image" Target="media/image399.png"/><Relationship Id="rId445" Type="http://schemas.openxmlformats.org/officeDocument/2006/relationships/image" Target="media/image400.png"/><Relationship Id="rId446" Type="http://schemas.openxmlformats.org/officeDocument/2006/relationships/image" Target="media/image401.png"/><Relationship Id="rId447"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3" Type="http://schemas.openxmlformats.org/officeDocument/2006/relationships/image" Target="media/image408.png"/><Relationship Id="rId454" Type="http://schemas.openxmlformats.org/officeDocument/2006/relationships/image" Target="media/image409.png"/><Relationship Id="rId455" Type="http://schemas.openxmlformats.org/officeDocument/2006/relationships/image" Target="media/image410.png"/><Relationship Id="rId456" Type="http://schemas.openxmlformats.org/officeDocument/2006/relationships/image" Target="media/image411.png"/><Relationship Id="rId457" Type="http://schemas.openxmlformats.org/officeDocument/2006/relationships/image" Target="media/image412.png"/><Relationship Id="rId458"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2" Type="http://schemas.openxmlformats.org/officeDocument/2006/relationships/image" Target="media/image427.png"/><Relationship Id="rId473" Type="http://schemas.openxmlformats.org/officeDocument/2006/relationships/image" Target="media/image428.png"/><Relationship Id="rId474" Type="http://schemas.openxmlformats.org/officeDocument/2006/relationships/image" Target="media/image429.png"/><Relationship Id="rId475" Type="http://schemas.openxmlformats.org/officeDocument/2006/relationships/image" Target="media/image430.png"/><Relationship Id="rId476"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79"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2" Type="http://schemas.openxmlformats.org/officeDocument/2006/relationships/image" Target="media/image437.png"/><Relationship Id="rId483" Type="http://schemas.openxmlformats.org/officeDocument/2006/relationships/image" Target="media/image438.png"/><Relationship Id="rId484" Type="http://schemas.openxmlformats.org/officeDocument/2006/relationships/image" Target="media/image439.png"/><Relationship Id="rId485" Type="http://schemas.openxmlformats.org/officeDocument/2006/relationships/image" Target="media/image440.png"/><Relationship Id="rId486" Type="http://schemas.openxmlformats.org/officeDocument/2006/relationships/image" Target="media/image441.png"/><Relationship Id="rId487" Type="http://schemas.openxmlformats.org/officeDocument/2006/relationships/image" Target="media/image442.png"/><Relationship Id="rId488" Type="http://schemas.openxmlformats.org/officeDocument/2006/relationships/image" Target="media/image443.png"/><Relationship Id="rId489" Type="http://schemas.openxmlformats.org/officeDocument/2006/relationships/image" Target="media/image444.png"/><Relationship Id="rId490" Type="http://schemas.openxmlformats.org/officeDocument/2006/relationships/image" Target="media/image445.png"/><Relationship Id="rId491" Type="http://schemas.openxmlformats.org/officeDocument/2006/relationships/image" Target="media/image446.png"/><Relationship Id="rId492"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pn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png"/><Relationship Id="rId498" Type="http://schemas.openxmlformats.org/officeDocument/2006/relationships/image" Target="media/image453.png"/><Relationship Id="rId499" Type="http://schemas.openxmlformats.org/officeDocument/2006/relationships/image" Target="media/image454.png"/><Relationship Id="rId500" Type="http://schemas.openxmlformats.org/officeDocument/2006/relationships/image" Target="media/image455.png"/><Relationship Id="rId501" Type="http://schemas.openxmlformats.org/officeDocument/2006/relationships/image" Target="media/image456.png"/><Relationship Id="rId502" Type="http://schemas.openxmlformats.org/officeDocument/2006/relationships/image" Target="media/image457.png"/><Relationship Id="rId503" Type="http://schemas.openxmlformats.org/officeDocument/2006/relationships/image" Target="media/image458.png"/><Relationship Id="rId504" Type="http://schemas.openxmlformats.org/officeDocument/2006/relationships/image" Target="media/image459.png"/><Relationship Id="rId505" Type="http://schemas.openxmlformats.org/officeDocument/2006/relationships/image" Target="media/image460.png"/><Relationship Id="rId506" Type="http://schemas.openxmlformats.org/officeDocument/2006/relationships/image" Target="media/image461.png"/><Relationship Id="rId507" Type="http://schemas.openxmlformats.org/officeDocument/2006/relationships/image" Target="media/image462.png"/><Relationship Id="rId508" Type="http://schemas.openxmlformats.org/officeDocument/2006/relationships/image" Target="media/image463.png"/><Relationship Id="rId509" Type="http://schemas.openxmlformats.org/officeDocument/2006/relationships/image" Target="media/image464.png"/><Relationship Id="rId510" Type="http://schemas.openxmlformats.org/officeDocument/2006/relationships/image" Target="media/image465.png"/><Relationship Id="rId511"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5"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1"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24"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27" Type="http://schemas.openxmlformats.org/officeDocument/2006/relationships/image" Target="media/image482.png"/><Relationship Id="rId528" Type="http://schemas.openxmlformats.org/officeDocument/2006/relationships/image" Target="media/image483.png"/><Relationship Id="rId529" Type="http://schemas.openxmlformats.org/officeDocument/2006/relationships/image" Target="media/image484.png"/><Relationship Id="rId530" Type="http://schemas.openxmlformats.org/officeDocument/2006/relationships/image" Target="media/image485.png"/><Relationship Id="rId531" Type="http://schemas.openxmlformats.org/officeDocument/2006/relationships/image" Target="media/image486.png"/><Relationship Id="rId532" Type="http://schemas.openxmlformats.org/officeDocument/2006/relationships/image" Target="media/image487.png"/><Relationship Id="rId533" Type="http://schemas.openxmlformats.org/officeDocument/2006/relationships/image" Target="media/image488.png"/><Relationship Id="rId534" Type="http://schemas.openxmlformats.org/officeDocument/2006/relationships/image" Target="media/image489.png"/><Relationship Id="rId535" Type="http://schemas.openxmlformats.org/officeDocument/2006/relationships/image" Target="media/image490.png"/><Relationship Id="rId536" Type="http://schemas.openxmlformats.org/officeDocument/2006/relationships/image" Target="media/image491.png"/><Relationship Id="rId537" Type="http://schemas.openxmlformats.org/officeDocument/2006/relationships/image" Target="media/image492.png"/><Relationship Id="rId538" Type="http://schemas.openxmlformats.org/officeDocument/2006/relationships/image" Target="media/image493.png"/><Relationship Id="rId539" Type="http://schemas.openxmlformats.org/officeDocument/2006/relationships/image" Target="media/image494.png"/><Relationship Id="rId540" Type="http://schemas.openxmlformats.org/officeDocument/2006/relationships/image" Target="media/image495.png"/><Relationship Id="rId541" Type="http://schemas.openxmlformats.org/officeDocument/2006/relationships/image" Target="media/image496.png"/><Relationship Id="rId542" Type="http://schemas.openxmlformats.org/officeDocument/2006/relationships/image" Target="media/image497.png"/><Relationship Id="rId543" Type="http://schemas.openxmlformats.org/officeDocument/2006/relationships/image" Target="media/image498.png"/><Relationship Id="rId544" Type="http://schemas.openxmlformats.org/officeDocument/2006/relationships/image" Target="media/image499.png"/><Relationship Id="rId545" Type="http://schemas.openxmlformats.org/officeDocument/2006/relationships/image" Target="media/image500.png"/><Relationship Id="rId546" Type="http://schemas.openxmlformats.org/officeDocument/2006/relationships/image" Target="media/image501.png"/><Relationship Id="rId547" Type="http://schemas.openxmlformats.org/officeDocument/2006/relationships/image" Target="media/image502.png"/><Relationship Id="rId548" Type="http://schemas.openxmlformats.org/officeDocument/2006/relationships/image" Target="media/image503.png"/><Relationship Id="rId549" Type="http://schemas.openxmlformats.org/officeDocument/2006/relationships/image" Target="media/image504.png"/><Relationship Id="rId550" Type="http://schemas.openxmlformats.org/officeDocument/2006/relationships/image" Target="media/image505.png"/><Relationship Id="rId551" Type="http://schemas.openxmlformats.org/officeDocument/2006/relationships/image" Target="media/image506.png"/><Relationship Id="rId552" Type="http://schemas.openxmlformats.org/officeDocument/2006/relationships/image" Target="media/image507.png"/><Relationship Id="rId553"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6" Type="http://schemas.openxmlformats.org/officeDocument/2006/relationships/image" Target="media/image511.png"/><Relationship Id="rId557"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137" Type="http://schemas.openxmlformats.org/officeDocument/2006/relationships/hyperlink" Target="https://www.sec.gov/Archives/edgar/data/0001819989/000121390021013594/ea136931ex2-1_goodworks.htm" TargetMode="External"/><Relationship Id="rId138" Type="http://schemas.openxmlformats.org/officeDocument/2006/relationships/hyperlink" Target="https://www.sec.gov/Archives/edgar/data/1819989/000119312521260900/d212090dex31.htm" TargetMode="External"/><Relationship Id="rId139" Type="http://schemas.openxmlformats.org/officeDocument/2006/relationships/hyperlink" Target="https://www.sec.gov/Archives/edgar/data/1819989/000119312521260900/d212090dex32.htm" TargetMode="External"/><Relationship Id="rId140" Type="http://schemas.openxmlformats.org/officeDocument/2006/relationships/hyperlink" Target="https://www.sec.gov/Archives/edgar/data/1819989/000121390020030737/ea128022ex4-3_goodworks.htm" TargetMode="External"/><Relationship Id="rId141" Type="http://schemas.openxmlformats.org/officeDocument/2006/relationships/hyperlink" Target="https://www.sec.gov/Archives/edgar/data/1819989/000121390020033703/ea128955ex4-1_goodworksacq.htm" TargetMode="External"/><Relationship Id="rId142" Type="http://schemas.openxmlformats.org/officeDocument/2006/relationships/hyperlink" Target="https://www.sec.gov/Archives/edgar/data/1819989/000095017022002861/cifr-ex4_3.htm" TargetMode="External"/><Relationship Id="rId143" Type="http://schemas.openxmlformats.org/officeDocument/2006/relationships/hyperlink" Target="https://www.sec.gov/Archives/edgar/data/1819989/000119312521260900/d212090dex102.htm" TargetMode="External"/><Relationship Id="rId144" Type="http://schemas.openxmlformats.org/officeDocument/2006/relationships/hyperlink" Target="https://www.sec.gov/Archives/edgar/data/0001819989/000119312521190374/d127963dex1016.htm" TargetMode="External"/><Relationship Id="rId145" Type="http://schemas.openxmlformats.org/officeDocument/2006/relationships/hyperlink" Target="https://www.sec.gov/Archives/edgar/data/0001819989/000119312521190374/d127963dex1017.htm" TargetMode="External"/><Relationship Id="rId147" Type="http://schemas.openxmlformats.org/officeDocument/2006/relationships/hyperlink" Target="https://www.sec.gov/Archives/edgar/data/1819989/000119312521260900/d212090dex108.htm" TargetMode="External"/><Relationship Id="rId148" Type="http://schemas.openxmlformats.org/officeDocument/2006/relationships/hyperlink" Target="https://www.sec.gov/Archives/edgar/data/1819989/000119312521260900/d212090dex108a.htm" TargetMode="External"/><Relationship Id="rId149" Type="http://schemas.openxmlformats.org/officeDocument/2006/relationships/hyperlink" Target="https://www.sec.gov/Archives/edgar/data/1819989/000119312521260900/d212090dex108b.htm" TargetMode="External"/><Relationship Id="rId150" Type="http://schemas.openxmlformats.org/officeDocument/2006/relationships/hyperlink" Target="https://www.sec.gov/Archives/edgar/data/1819989/000119312521260900/d212090dex108c.htm" TargetMode="External"/><Relationship Id="rId151" Type="http://schemas.openxmlformats.org/officeDocument/2006/relationships/hyperlink" Target="https://www.sec.gov/Archives/edgar/data/1819989/000095010322015815/dp180334_ex1001.htm" TargetMode="External"/><Relationship Id="rId152" Type="http://schemas.openxmlformats.org/officeDocument/2006/relationships/hyperlink" Target="https://www.sec.gov/Archives/edgar/data/0001819989/000119312521211971/d127963dex1022.htm" TargetMode="External"/><Relationship Id="rId153" Type="http://schemas.openxmlformats.org/officeDocument/2006/relationships/hyperlink" Target="https://www.sec.gov/Archives/edgar/data/0001819989/000119312521211971/d127963dex1023.htm" TargetMode="External"/><Relationship Id="rId154" Type="http://schemas.openxmlformats.org/officeDocument/2006/relationships/hyperlink" Target="https://www.sec.gov/Archives/edgar/data/1819989/000095017022002861/cifr-ex10_35.htm" TargetMode="External"/><Relationship Id="rId155" Type="http://schemas.openxmlformats.org/officeDocument/2006/relationships/hyperlink" Target="https://www.sec.gov/Archives/edgar/data/1819989/000119312522236504/d395396dex101.htm" TargetMode="External"/><Relationship Id="rId156" Type="http://schemas.openxmlformats.org/officeDocument/2006/relationships/hyperlink" Target="https://www.sec.gov/Archives/edgar/data/1819989/000095017023045092/cifr-ex10_1.htm" TargetMode="External"/><Relationship Id="rId157" Type="http://schemas.openxmlformats.org/officeDocument/2006/relationships/hyperlink" Target="https://www.sec.gov/Archives/edgar/data/0001819989/000119312521211971/d127963dex1024.htm" TargetMode="External"/><Relationship Id="rId158" Type="http://schemas.openxmlformats.org/officeDocument/2006/relationships/hyperlink" Target="https://www.sec.gov/Archives/edgar/data/0001819989/000119312521211971/d127963dex1025.htm" TargetMode="External"/><Relationship Id="rId159" Type="http://schemas.openxmlformats.org/officeDocument/2006/relationships/hyperlink" Target="https://www.sec.gov/Archives/edgar/data/1819989/000095017023045092/cifr-ex10_2.htm" TargetMode="External"/><Relationship Id="rId160" Type="http://schemas.openxmlformats.org/officeDocument/2006/relationships/hyperlink" Target="https://www.sec.gov/Archives/edgar/data/0001819989/000119312521211971/d127963dex1026.htm" TargetMode="External"/><Relationship Id="rId161" Type="http://schemas.openxmlformats.org/officeDocument/2006/relationships/hyperlink" Target="https://www.sec.gov/Archives/edgar/data/0001819989/000119312521211971/d127963dex1027.htm" TargetMode="External"/><Relationship Id="rId162" Type="http://schemas.openxmlformats.org/officeDocument/2006/relationships/hyperlink" Target="https://www.sec.gov/Archives/edgar/data/1819989/000119312521190374/d127963dex1024.htm" TargetMode="External"/><Relationship Id="rId163" Type="http://schemas.openxmlformats.org/officeDocument/2006/relationships/hyperlink" Target="https://www.sec.gov/Archives/edgar/data/0001819989/000119312521263859/d194672dex101.htm" TargetMode="External"/><Relationship Id="rId164" Type="http://schemas.openxmlformats.org/officeDocument/2006/relationships/hyperlink" Target="https://www.sec.gov/Archives/edgar/data/0001819989/000119312521263859/d194672dex102.htm" TargetMode="External"/><Relationship Id="rId165" Type="http://schemas.openxmlformats.org/officeDocument/2006/relationships/hyperlink" Target="https://www.sec.gov/Archives/edgar/data/1819989/000119312522146376/d339494dex101.htm" TargetMode="External"/><Relationship Id="rId166" Type="http://schemas.openxmlformats.org/officeDocument/2006/relationships/hyperlink" Target="https://www.sec.gov/Archives/edgar/data/1819989/000119312522279347/d419330dex101.htm" TargetMode="External"/><Relationship Id="rId168" Type="http://schemas.openxmlformats.org/officeDocument/2006/relationships/hyperlink" Target="https://www.sec.gov/Archives/edgar/data/1819989/000119312521161188/d127963dex1023.htm" TargetMode="External"/><Relationship Id="rId169" Type="http://schemas.openxmlformats.org/officeDocument/2006/relationships/hyperlink" Target="https://www.sec.gov/Archives/edgar/data/1819989/000119312521161188/d127963dex1024.htm" TargetMode="External"/><Relationship Id="rId170" Type="http://schemas.openxmlformats.org/officeDocument/2006/relationships/hyperlink" Target="https://www.sec.gov/Archives/edgar/data/1819989/000119312521161188/d127963dex1025.htm" TargetMode="External"/><Relationship Id="rId171" Type="http://schemas.openxmlformats.org/officeDocument/2006/relationships/hyperlink" Target="https://www.sec.gov/Archives/edgar/data/1819989/000119312521161188/d127963dex1026.htm" TargetMode="External"/><Relationship Id="rId172" Type="http://schemas.openxmlformats.org/officeDocument/2006/relationships/hyperlink" Target="https://www.sec.gov/Archives/edgar/data/1819989/000119312522001737/d263018dex101.htm" TargetMode="External"/><Relationship Id="rId173" Type="http://schemas.openxmlformats.org/officeDocument/2006/relationships/hyperlink" Target="https://www.sec.gov/Archives/edgar/data/1819989/000095017023039416/cifr-ex10_2.htm" TargetMode="External"/><Relationship Id="rId174" Type="http://schemas.openxmlformats.org/officeDocument/2006/relationships/hyperlink" Target="https://www.sec.gov/Archives/edgar/data/1819989/000095017022002861/cifr-ex10_34.htm" TargetMode="External"/><Relationship Id="rId175" Type="http://schemas.openxmlformats.org/officeDocument/2006/relationships/hyperlink" Target="https://www.sec.gov/Archives/edgar/data/1819989/000119312523203906/d443365dex11.htm" TargetMode="External"/><Relationship Id="rId176" Type="http://schemas.openxmlformats.org/officeDocument/2006/relationships/hyperlink" Target="https://www.sec.gov/Archives/edgar/data/1819989/000119312522105585/d288407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2024-03-05T08:04:22Z</dcterms:created>
  <dcterms:modified xsi:type="dcterms:W3CDTF">2024-03-05T08:04:22Z</dcterms:modified>
</cp:coreProperties>
</file>