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40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7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42"/>
        </w:trPr>
        <w:tc>
          <w:tcPr>
            <w:tcW w:w="4300" w:type="dxa"/>
            <w:vAlign w:val="bottom"/>
          </w:tcPr>
          <w:p>
            <w:pPr>
              <w:jc w:val="center"/>
              <w:ind w:right="1924"/>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8"/>
        </w:trPr>
        <w:tc>
          <w:tcPr>
            <w:tcW w:w="430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w:t>
            </w:r>
          </w:p>
        </w:tc>
        <w:tc>
          <w:tcPr>
            <w:tcW w:w="2960" w:type="dxa"/>
            <w:vAlign w:val="bottom"/>
          </w:tcPr>
          <w:p>
            <w:pPr>
              <w:spacing w:after="0"/>
              <w:rPr>
                <w:sz w:val="24"/>
                <w:szCs w:val="24"/>
                <w:color w:val="auto"/>
              </w:rPr>
            </w:pPr>
          </w:p>
        </w:tc>
      </w:tr>
      <w:tr>
        <w:trPr>
          <w:trHeight w:val="238"/>
        </w:trPr>
        <w:tc>
          <w:tcPr>
            <w:tcW w:w="430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3"/>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7"/>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12, 2024, the registrant had 328,941,426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Stockholder’s Equity</w:t>
            </w:r>
          </w:p>
        </w:tc>
        <w:tc>
          <w:tcPr>
            <w:tcW w:w="41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our future results of operations and financial position, business strategy, timing and likelihood of success, potential expansion of or additional bitcoin mining data centers, expectations regarding the operations of mining centers,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79" w:lineRule="exact"/>
        <w:rPr>
          <w:sz w:val="20"/>
          <w:szCs w:val="20"/>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and similar events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equipment and rely on components and raw materials that may be subject to price fluctuations or shortages, including ASIC chips that have been subject to periods of significant shortage and high innovation pace.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disruptions or other failures in the supply chain for bitcoin mining hardware and related data center hardware, and difficulties in obtaining new hardware.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in our mining network may experience damages, including damages that are not covered by insurance.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left="1020" w:right="7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such as cyber-attacks, data breaches, hacking attacks or malware, targeting us or our third-party service providers may disrupt our operations and trigger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bitcoin has historically been subject to wide swings, and our operating results may be adversely affected by our hedging activity.</w:t>
      </w:r>
    </w:p>
    <w:p>
      <w:pPr>
        <w:spacing w:after="0" w:line="128" w:lineRule="exact"/>
        <w:rPr>
          <w:rFonts w:ascii="Times New Roman" w:cs="Times New Roman" w:eastAsia="Times New Roman" w:hAnsi="Times New Roman"/>
          <w:sz w:val="17"/>
          <w:szCs w:val="17"/>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year ended December 31, 2023 filed with the Securities and Exchange Commission (the “SEC”) on March 5, 2024 (the “2023 Form 10-K”) and our other reports filed with the SEC.</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(unaudited)</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122,557</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Bitcoin</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138,079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280" w:type="dxa"/>
            <w:vAlign w:val="bottom"/>
            <w:tcBorders>
              <w:bottom w:val="single" w:sz="8" w:color="auto"/>
            </w:tcBorders>
            <w:shd w:val="clear" w:color="auto" w:fill="CCECFF"/>
          </w:tcPr>
          <w:p>
            <w:pPr>
              <w:spacing w:after="0"/>
              <w:rPr>
                <w:sz w:val="20"/>
                <w:szCs w:val="20"/>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44,702</w:t>
            </w:r>
          </w:p>
        </w:tc>
        <w:tc>
          <w:tcPr>
            <w:tcW w:w="4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239,075</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243,815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8,503</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78,228</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775,592</w:t>
            </w:r>
          </w:p>
        </w:tc>
        <w:tc>
          <w:tcPr>
            <w:tcW w:w="460" w:type="dxa"/>
            <w:vAlign w:val="bottom"/>
            <w:tcBorders>
              <w:bottom w:val="single" w:sz="8" w:color="CCECFF"/>
            </w:tcBorders>
            <w:shd w:val="clear" w:color="auto" w:fill="CCECFF"/>
          </w:tcPr>
          <w:p>
            <w:pPr>
              <w:spacing w:after="0"/>
              <w:rPr>
                <w:sz w:val="23"/>
                <w:szCs w:val="23"/>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10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13,733</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80" w:type="dxa"/>
            <w:vAlign w:val="bottom"/>
            <w:tcBorders>
              <w:bottom w:val="single" w:sz="8" w:color="auto"/>
            </w:tcBorders>
            <w:shd w:val="clear" w:color="auto" w:fill="CCECFF"/>
          </w:tcPr>
          <w:p>
            <w:pPr>
              <w:spacing w:after="0"/>
              <w:rPr>
                <w:sz w:val="20"/>
                <w:szCs w:val="20"/>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18,394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CFF"/>
          </w:tcPr>
          <w:p>
            <w:pPr>
              <w:spacing w:after="0"/>
              <w:rPr>
                <w:sz w:val="19"/>
                <w:szCs w:val="19"/>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84,821</w:t>
            </w:r>
          </w:p>
        </w:tc>
        <w:tc>
          <w:tcPr>
            <w:tcW w:w="4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74,801</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CFF"/>
          </w:tcPr>
          <w:p>
            <w:pPr>
              <w:spacing w:after="0"/>
              <w:rPr>
                <w:sz w:val="20"/>
                <w:szCs w:val="20"/>
                <w:color w:val="auto"/>
              </w:rPr>
            </w:pPr>
          </w:p>
        </w:tc>
        <w:tc>
          <w:tcPr>
            <w:tcW w:w="156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June 30,</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335,557,872 and 296,276,536 shares</w:t>
            </w: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issued as of June 30, 2024 and December 31, 2023, respectively, and 328,616,426 and 290,957,862 shares</w:t>
            </w:r>
          </w:p>
        </w:tc>
        <w:tc>
          <w:tcPr>
            <w:tcW w:w="280" w:type="dxa"/>
            <w:vAlign w:val="bottom"/>
            <w:shd w:val="clear" w:color="auto" w:fill="CCECFF"/>
          </w:tcPr>
          <w:p>
            <w:pPr>
              <w:spacing w:after="0"/>
              <w:rPr>
                <w:sz w:val="17"/>
                <w:szCs w:val="17"/>
                <w:color w:val="auto"/>
              </w:rPr>
            </w:pPr>
          </w:p>
        </w:tc>
        <w:tc>
          <w:tcPr>
            <w:tcW w:w="15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280" w:type="dxa"/>
            <w:vAlign w:val="bottom"/>
            <w:shd w:val="clear" w:color="auto" w:fill="CCECFF"/>
          </w:tcPr>
          <w:p>
            <w:pPr>
              <w:spacing w:after="0"/>
              <w:rPr>
                <w:sz w:val="19"/>
                <w:szCs w:val="19"/>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4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802,610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CECFF"/>
          </w:tcPr>
          <w:p>
            <w:pPr>
              <w:spacing w:after="0"/>
              <w:rPr>
                <w:sz w:val="20"/>
                <w:szCs w:val="20"/>
                <w:color w:val="auto"/>
              </w:rPr>
            </w:pPr>
          </w:p>
        </w:tc>
        <w:tc>
          <w:tcPr>
            <w:tcW w:w="202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(112,168 )</w:t>
            </w:r>
          </w:p>
        </w:tc>
        <w:tc>
          <w:tcPr>
            <w:tcW w:w="120" w:type="dxa"/>
            <w:vAlign w:val="bottom"/>
            <w:shd w:val="clear" w:color="auto" w:fill="CCECFF"/>
          </w:tcPr>
          <w:p>
            <w:pPr>
              <w:spacing w:after="0"/>
              <w:rPr>
                <w:sz w:val="20"/>
                <w:szCs w:val="20"/>
                <w:color w:val="auto"/>
              </w:rPr>
            </w:pPr>
          </w:p>
        </w:tc>
        <w:tc>
          <w:tcPr>
            <w:tcW w:w="1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(136,777 )</w:t>
            </w:r>
          </w:p>
        </w:tc>
        <w:tc>
          <w:tcPr>
            <w:tcW w:w="0" w:type="dxa"/>
            <w:vAlign w:val="bottom"/>
          </w:tcPr>
          <w:p>
            <w:pPr>
              <w:spacing w:after="0"/>
              <w:rPr>
                <w:sz w:val="1"/>
                <w:szCs w:val="1"/>
                <w:color w:val="auto"/>
              </w:rPr>
            </w:pPr>
          </w:p>
        </w:tc>
      </w:tr>
      <w:tr>
        <w:trPr>
          <w:trHeight w:val="202"/>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at par, 6,941,446 and 5,318,674 shares at June 30, 2024 and December 31, 2023,</w:t>
            </w:r>
          </w:p>
        </w:tc>
        <w:tc>
          <w:tcPr>
            <w:tcW w:w="280" w:type="dxa"/>
            <w:vAlign w:val="bottom"/>
          </w:tcPr>
          <w:p>
            <w:pPr>
              <w:spacing w:after="0"/>
              <w:rPr>
                <w:sz w:val="17"/>
                <w:szCs w:val="17"/>
                <w:color w:val="auto"/>
              </w:rPr>
            </w:pPr>
          </w:p>
        </w:tc>
        <w:tc>
          <w:tcPr>
            <w:tcW w:w="2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7"/>
                <w:szCs w:val="17"/>
                <w:color w:val="auto"/>
              </w:rPr>
            </w:pPr>
          </w:p>
        </w:tc>
        <w:tc>
          <w:tcPr>
            <w:tcW w:w="1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3"/>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shd w:val="clear" w:color="auto" w:fill="CCECFF"/>
          </w:tcPr>
          <w:p>
            <w:pPr>
              <w:spacing w:after="0"/>
              <w:rPr>
                <w:sz w:val="19"/>
                <w:szCs w:val="19"/>
                <w:color w:val="auto"/>
              </w:rPr>
            </w:pPr>
          </w:p>
        </w:tc>
        <w:tc>
          <w:tcPr>
            <w:tcW w:w="1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690,771</w:t>
            </w:r>
          </w:p>
        </w:tc>
        <w:tc>
          <w:tcPr>
            <w:tcW w:w="4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spacing w:after="0"/>
              <w:rPr>
                <w:sz w:val="19"/>
                <w:szCs w:val="19"/>
                <w:color w:val="auto"/>
              </w:rPr>
            </w:pPr>
          </w:p>
        </w:tc>
        <w:tc>
          <w:tcPr>
            <w:tcW w:w="1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491,336</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775,592</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-5571490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-5571490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-4097020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-4079875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-2905125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-2014220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-325120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26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7"/>
        </w:trPr>
        <w:tc>
          <w:tcPr>
            <w:tcW w:w="48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300" w:type="dxa"/>
            <w:vAlign w:val="bottom"/>
            <w:tcBorders>
              <w:bottom w:val="single" w:sz="8" w:color="auto"/>
            </w:tcBorders>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3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31,224</w:t>
            </w:r>
          </w:p>
        </w:tc>
        <w:tc>
          <w:tcPr>
            <w:tcW w:w="36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84,945</w:t>
            </w:r>
          </w:p>
        </w:tc>
        <w:tc>
          <w:tcPr>
            <w:tcW w:w="3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53,119</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29,101</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00" w:type="dxa"/>
            <w:vAlign w:val="bottom"/>
            <w:shd w:val="clear" w:color="auto" w:fill="CCECFF"/>
          </w:tcPr>
          <w:p>
            <w:pPr>
              <w:spacing w:after="0"/>
              <w:rPr>
                <w:sz w:val="20"/>
                <w:szCs w:val="20"/>
                <w:color w:val="auto"/>
              </w:rPr>
            </w:pP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w:t>
            </w:r>
          </w:p>
        </w:tc>
        <w:tc>
          <w:tcPr>
            <w:tcW w:w="100" w:type="dxa"/>
            <w:vAlign w:val="bottom"/>
          </w:tcPr>
          <w:p>
            <w:pPr>
              <w:spacing w:after="0"/>
              <w:rPr>
                <w:sz w:val="19"/>
                <w:szCs w:val="19"/>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8,667</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14,442</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14,150</w:t>
            </w:r>
          </w:p>
        </w:tc>
        <w:tc>
          <w:tcPr>
            <w:tcW w:w="100" w:type="dxa"/>
            <w:vAlign w:val="bottom"/>
            <w:shd w:val="clear" w:color="auto" w:fill="CCECFF"/>
          </w:tcPr>
          <w:p>
            <w:pPr>
              <w:spacing w:after="0"/>
              <w:rPr>
                <w:sz w:val="20"/>
                <w:szCs w:val="20"/>
                <w:color w:val="auto"/>
              </w:rPr>
            </w:pP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26,067</w:t>
            </w:r>
          </w:p>
        </w:tc>
        <w:tc>
          <w:tcPr>
            <w:tcW w:w="100" w:type="dxa"/>
            <w:vAlign w:val="bottom"/>
          </w:tcPr>
          <w:p>
            <w:pPr>
              <w:spacing w:after="0"/>
              <w:rPr>
                <w:sz w:val="19"/>
                <w:szCs w:val="19"/>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0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6"/>
                <w:szCs w:val="16"/>
                <w:color w:val="auto"/>
              </w:rPr>
              <w:t>(21,980 )</w:t>
            </w:r>
          </w:p>
        </w:tc>
        <w:tc>
          <w:tcPr>
            <w:tcW w:w="32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(3,222 )</w:t>
            </w:r>
          </w:p>
        </w:tc>
        <w:tc>
          <w:tcPr>
            <w:tcW w:w="32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(29,339 )</w:t>
            </w:r>
          </w:p>
        </w:tc>
        <w:tc>
          <w:tcPr>
            <w:tcW w:w="2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(8,550 )</w:t>
            </w: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(1,109 )</w:t>
            </w:r>
          </w:p>
        </w:tc>
        <w:tc>
          <w:tcPr>
            <w:tcW w:w="3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(5,651 )</w:t>
            </w:r>
          </w:p>
        </w:tc>
        <w:tc>
          <w:tcPr>
            <w:tcW w:w="3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(2,282 )</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(5,749 )</w:t>
            </w: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(161 )</w:t>
            </w:r>
          </w:p>
        </w:tc>
        <w:tc>
          <w:tcPr>
            <w:tcW w:w="20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shd w:val="clear" w:color="auto" w:fill="CCECFF"/>
          </w:tcPr>
          <w:p>
            <w:pPr>
              <w:spacing w:after="0"/>
              <w:rPr>
                <w:sz w:val="20"/>
                <w:szCs w:val="20"/>
                <w:color w:val="auto"/>
              </w:rPr>
            </w:pP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Losses (gains) on fair value of bitcoin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(860 )</w:t>
            </w:r>
          </w:p>
        </w:tc>
        <w:tc>
          <w:tcPr>
            <w:tcW w:w="3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(24,247 )</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(5,124 )</w:t>
            </w:r>
          </w:p>
        </w:tc>
      </w:tr>
      <w:tr>
        <w:trPr>
          <w:trHeight w:val="236"/>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(2,260 )</w:t>
            </w:r>
          </w:p>
        </w:tc>
      </w:tr>
      <w:tr>
        <w:trPr>
          <w:trHeight w:val="223"/>
        </w:trPr>
        <w:tc>
          <w:tcPr>
            <w:tcW w:w="482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 (income)</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52,979</w:t>
            </w:r>
          </w:p>
        </w:tc>
        <w:tc>
          <w:tcPr>
            <w:tcW w:w="380" w:type="dxa"/>
            <w:vAlign w:val="bottom"/>
            <w:tcBorders>
              <w:top w:val="single" w:sz="8" w:color="CCEC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360" w:type="dxa"/>
            <w:vAlign w:val="bottom"/>
            <w:tcBorders>
              <w:top w:val="single" w:sz="8" w:color="CCEC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54,330</w:t>
            </w:r>
          </w:p>
        </w:tc>
        <w:tc>
          <w:tcPr>
            <w:tcW w:w="360" w:type="dxa"/>
            <w:vAlign w:val="bottom"/>
            <w:tcBorders>
              <w:top w:val="single" w:sz="8" w:color="CCEC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69,329</w:t>
            </w:r>
          </w:p>
        </w:tc>
        <w:tc>
          <w:tcPr>
            <w:tcW w:w="100" w:type="dxa"/>
            <w:vAlign w:val="bottom"/>
            <w:tcBorders>
              <w:top w:val="single" w:sz="8" w:color="CCECFF"/>
            </w:tcBorders>
          </w:tcPr>
          <w:p>
            <w:pPr>
              <w:spacing w:after="0"/>
              <w:rPr>
                <w:sz w:val="19"/>
                <w:szCs w:val="19"/>
                <w:color w:val="auto"/>
              </w:rPr>
            </w:pPr>
          </w:p>
        </w:tc>
      </w:tr>
      <w:tr>
        <w:trPr>
          <w:trHeight w:val="223"/>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6"/>
                <w:szCs w:val="16"/>
                <w:color w:val="auto"/>
              </w:rPr>
              <w:t>(16,171 )</w:t>
            </w:r>
          </w:p>
        </w:tc>
        <w:tc>
          <w:tcPr>
            <w:tcW w:w="32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(12,089 )</w:t>
            </w:r>
          </w:p>
        </w:tc>
        <w:tc>
          <w:tcPr>
            <w:tcW w:w="3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30,615</w:t>
            </w:r>
          </w:p>
        </w:tc>
        <w:tc>
          <w:tcPr>
            <w:tcW w:w="3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(16,210 )</w:t>
            </w:r>
          </w:p>
        </w:tc>
      </w:tr>
      <w:tr>
        <w:trPr>
          <w:trHeight w:val="216"/>
        </w:trPr>
        <w:tc>
          <w:tcPr>
            <w:tcW w:w="482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CFF"/>
          </w:tcPr>
          <w:p>
            <w:pPr>
              <w:spacing w:after="0"/>
              <w:rPr>
                <w:sz w:val="20"/>
                <w:szCs w:val="20"/>
                <w:color w:val="auto"/>
              </w:rPr>
            </w:pP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(372 )</w:t>
            </w:r>
          </w:p>
        </w:tc>
        <w:tc>
          <w:tcPr>
            <w:tcW w:w="3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(485 )</w:t>
            </w:r>
          </w:p>
        </w:tc>
        <w:tc>
          <w:tcPr>
            <w:tcW w:w="3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(772 )</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(886 )</w:t>
            </w: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(22 )</w:t>
            </w: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r>
      <w:tr>
        <w:trPr>
          <w:trHeight w:val="226"/>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(12 )</w:t>
            </w:r>
          </w:p>
        </w:tc>
        <w:tc>
          <w:tcPr>
            <w:tcW w:w="3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(1,231 )</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38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(494 )</w:t>
            </w:r>
          </w:p>
        </w:tc>
        <w:tc>
          <w:tcPr>
            <w:tcW w:w="3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(856 )</w:t>
            </w:r>
          </w:p>
        </w:tc>
      </w:tr>
      <w:tr>
        <w:trPr>
          <w:trHeight w:val="20"/>
        </w:trPr>
        <w:tc>
          <w:tcPr>
            <w:tcW w:w="4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income before taxes</w:t>
            </w: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(14,763 )</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(12,583 )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(17,066 )</w:t>
            </w:r>
          </w:p>
        </w:tc>
      </w:tr>
      <w:tr>
        <w:trPr>
          <w:trHeight w:val="239"/>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0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6"/>
                <w:szCs w:val="16"/>
                <w:color w:val="auto"/>
              </w:rPr>
              <w:t>(335 )</w:t>
            </w:r>
          </w:p>
        </w:tc>
        <w:tc>
          <w:tcPr>
            <w:tcW w:w="32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(31 )</w:t>
            </w:r>
          </w:p>
        </w:tc>
        <w:tc>
          <w:tcPr>
            <w:tcW w:w="32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(721 )</w:t>
            </w:r>
          </w:p>
        </w:tc>
        <w:tc>
          <w:tcPr>
            <w:tcW w:w="2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2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(193 )</w:t>
            </w:r>
          </w:p>
        </w:tc>
        <w:tc>
          <w:tcPr>
            <w:tcW w:w="3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(584 )</w:t>
            </w:r>
          </w:p>
        </w:tc>
        <w:tc>
          <w:tcPr>
            <w:tcW w:w="32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(5,371 )</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(637 )</w:t>
            </w: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6"/>
                <w:szCs w:val="16"/>
                <w:color w:val="auto"/>
              </w:rPr>
              <w:t>(528 )</w:t>
            </w:r>
          </w:p>
        </w:tc>
        <w:tc>
          <w:tcPr>
            <w:tcW w:w="32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(615 )</w:t>
            </w:r>
          </w:p>
        </w:tc>
        <w:tc>
          <w:tcPr>
            <w:tcW w:w="3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(6,092 )</w:t>
            </w:r>
          </w:p>
        </w:tc>
        <w:tc>
          <w:tcPr>
            <w:tcW w:w="2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(685 )</w:t>
            </w:r>
          </w:p>
        </w:tc>
      </w:tr>
      <w:tr>
        <w:trPr>
          <w:trHeight w:val="20"/>
        </w:trPr>
        <w:tc>
          <w:tcPr>
            <w:tcW w:w="4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(15,291 )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(13,198 )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3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(17,751 )</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Net (loss) income per share - basic and diluted</w:t>
            </w:r>
          </w:p>
        </w:tc>
        <w:tc>
          <w:tcPr>
            <w:tcW w:w="30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6"/>
                <w:szCs w:val="16"/>
                <w:color w:val="auto"/>
              </w:rPr>
              <w:t>(0.05 )</w:t>
            </w:r>
          </w:p>
        </w:tc>
        <w:tc>
          <w:tcPr>
            <w:tcW w:w="32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6"/>
                <w:szCs w:val="16"/>
                <w:color w:val="auto"/>
              </w:rPr>
              <w:t>(0.05 )</w:t>
            </w:r>
          </w:p>
        </w:tc>
        <w:tc>
          <w:tcPr>
            <w:tcW w:w="32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6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(0.07 )</w:t>
            </w:r>
          </w:p>
        </w:tc>
      </w:tr>
      <w:tr>
        <w:trPr>
          <w:trHeight w:val="22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249,127,664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305,497,621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248,892,181</w:t>
            </w:r>
          </w:p>
        </w:tc>
        <w:tc>
          <w:tcPr>
            <w:tcW w:w="100" w:type="dxa"/>
            <w:vAlign w:val="bottom"/>
          </w:tcPr>
          <w:p>
            <w:pPr>
              <w:spacing w:after="0"/>
              <w:rPr>
                <w:sz w:val="19"/>
                <w:szCs w:val="19"/>
                <w:color w:val="auto"/>
              </w:rPr>
            </w:pPr>
          </w:p>
        </w:tc>
      </w:tr>
      <w:tr>
        <w:trPr>
          <w:trHeight w:val="239"/>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249,127,664</w:t>
            </w:r>
          </w:p>
        </w:tc>
        <w:tc>
          <w:tcPr>
            <w:tcW w:w="36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316,652,300</w:t>
            </w:r>
          </w:p>
        </w:tc>
        <w:tc>
          <w:tcPr>
            <w:tcW w:w="3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248,892,181</w:t>
            </w:r>
          </w:p>
        </w:tc>
        <w:tc>
          <w:tcPr>
            <w:tcW w:w="100" w:type="dxa"/>
            <w:vAlign w:val="bottom"/>
            <w:shd w:val="clear" w:color="auto" w:fill="CCEC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-3882390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-3882390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-3882390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-2416810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-2416810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-2416810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-2108200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-2108200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-2108200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-1216660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-1216660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-616585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-616585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-616585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p>
      <w:pPr>
        <w:spacing w:after="0" w:line="48" w:lineRule="exact"/>
        <w:rPr>
          <w:sz w:val="20"/>
          <w:szCs w:val="20"/>
          <w:color w:val="auto"/>
        </w:rPr>
      </w:pPr>
    </w:p>
    <w:p>
      <w:pPr>
        <w:ind w:left="100"/>
        <w:spacing w:after="0" w:line="281"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 w:lineRule="exact"/>
        <w:rPr>
          <w:sz w:val="20"/>
          <w:szCs w:val="20"/>
          <w:color w:val="auto"/>
        </w:rPr>
      </w:pPr>
    </w:p>
    <w:p>
      <w:pPr>
        <w:ind w:left="100" w:right="100"/>
        <w:spacing w:after="0" w:line="275"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00" w:right="1080"/>
        <w:spacing w:after="0" w:line="351" w:lineRule="auto"/>
        <w:rPr>
          <w:sz w:val="20"/>
          <w:szCs w:val="20"/>
          <w:color w:val="auto"/>
        </w:rPr>
      </w:pPr>
      <w:r>
        <w:rPr>
          <w:rFonts w:ascii="Times New Roman" w:cs="Times New Roman" w:eastAsia="Times New Roman" w:hAnsi="Times New Roman"/>
          <w:sz w:val="16"/>
          <w:szCs w:val="16"/>
          <w:color w:val="auto"/>
        </w:rPr>
        <w:t>Share-based compensation Net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22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ed</w:t>
            </w: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(6,105,77</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312,649,102</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697,494</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(96,877 )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20,626,145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2,282,625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(4,057 )</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(835,674 )</w:t>
            </w: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(4,055 )</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(15,291 )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(15,291 )</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(6,941,44</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(112,168 )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-1550670</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-1002030</wp:posOffset>
            </wp:positionV>
            <wp:extent cx="7132320" cy="402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-453390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900" w:space="60"/>
            <w:col w:w="8220"/>
          </w:cols>
          <w:pgMar w:left="340" w:top="98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p>
      <w:pPr>
        <w:spacing w:after="0" w:line="48" w:lineRule="exact"/>
        <w:rPr>
          <w:sz w:val="20"/>
          <w:szCs w:val="20"/>
          <w:color w:val="auto"/>
        </w:rPr>
      </w:pPr>
    </w:p>
    <w:p>
      <w:pPr>
        <w:ind w:left="100"/>
        <w:spacing w:after="0" w:line="281"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 w:lineRule="exact"/>
        <w:rPr>
          <w:sz w:val="20"/>
          <w:szCs w:val="20"/>
          <w:color w:val="auto"/>
        </w:rPr>
      </w:pPr>
    </w:p>
    <w:p>
      <w:pPr>
        <w:ind w:left="100" w:right="100"/>
        <w:spacing w:after="0" w:line="275"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00" w:right="1080"/>
        <w:spacing w:after="0" w:line="351" w:lineRule="auto"/>
        <w:rPr>
          <w:sz w:val="20"/>
          <w:szCs w:val="20"/>
          <w:color w:val="auto"/>
        </w:rPr>
      </w:pPr>
      <w:r>
        <w:rPr>
          <w:rFonts w:ascii="Times New Roman" w:cs="Times New Roman" w:eastAsia="Times New Roman" w:hAnsi="Times New Roman"/>
          <w:sz w:val="16"/>
          <w:szCs w:val="16"/>
          <w:color w:val="auto"/>
        </w:rPr>
        <w:t>Share-based compensation Net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222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ed</w:t>
            </w: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(4,144,08</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253,050,088</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462,181</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(115,553 )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978,207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674,817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(632 )</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(237,654 )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(632 )</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(13,198 )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(13,198 )</w:t>
            </w:r>
          </w:p>
        </w:tc>
        <w:tc>
          <w:tcPr>
            <w:tcW w:w="0" w:type="dxa"/>
            <w:vAlign w:val="bottom"/>
          </w:tcPr>
          <w:p>
            <w:pPr>
              <w:spacing w:after="0"/>
              <w:rPr>
                <w:sz w:val="1"/>
                <w:szCs w:val="1"/>
                <w:color w:val="auto"/>
              </w:rPr>
            </w:pP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(4,381,73</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254,795,626</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473,471</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(128,751 )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344,970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-1550670</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-1002030</wp:posOffset>
            </wp:positionV>
            <wp:extent cx="713232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-453390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60"/>
            <w:col w:w="8220"/>
          </w:cols>
          <w:pgMar w:left="340" w:top="98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499110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48"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 w:lineRule="exact"/>
        <w:rPr>
          <w:sz w:val="20"/>
          <w:szCs w:val="20"/>
          <w:color w:val="auto"/>
        </w:rPr>
      </w:pPr>
    </w:p>
    <w:p>
      <w:pPr>
        <w:ind w:left="120" w:right="100"/>
        <w:spacing w:after="0" w:line="275"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20" w:right="1080"/>
        <w:spacing w:after="0" w:line="351" w:lineRule="auto"/>
        <w:rPr>
          <w:sz w:val="20"/>
          <w:szCs w:val="20"/>
          <w:color w:val="auto"/>
        </w:rPr>
      </w:pPr>
      <w:r>
        <w:rPr>
          <w:rFonts w:ascii="Times New Roman" w:cs="Times New Roman" w:eastAsia="Times New Roman" w:hAnsi="Times New Roman"/>
          <w:sz w:val="16"/>
          <w:szCs w:val="16"/>
          <w:color w:val="auto"/>
        </w:rPr>
        <w:t>Share-based compensation Net income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ed 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(5,318,67</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3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(136,777 )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c>
          <w:tcPr>
            <w:tcW w:w="60" w:type="dxa"/>
            <w:vAlign w:val="bottom"/>
          </w:tcPr>
          <w:p>
            <w:pPr>
              <w:spacing w:after="0"/>
              <w:rPr>
                <w:sz w:val="18"/>
                <w:szCs w:val="18"/>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34,872,380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160,369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160,404</w:t>
            </w:r>
          </w:p>
        </w:tc>
        <w:tc>
          <w:tcPr>
            <w:tcW w:w="60" w:type="dxa"/>
            <w:vAlign w:val="bottom"/>
          </w:tcPr>
          <w:p>
            <w:pPr>
              <w:spacing w:after="0"/>
              <w:rPr>
                <w:sz w:val="24"/>
                <w:szCs w:val="24"/>
                <w:color w:val="auto"/>
              </w:rPr>
            </w:pPr>
          </w:p>
        </w:tc>
      </w:tr>
      <w:tr>
        <w:trPr>
          <w:trHeight w:val="424"/>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(1,622,77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4,408,956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(7,235 )</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(7,232 )</w:t>
            </w:r>
          </w:p>
        </w:tc>
      </w:tr>
      <w:tr>
        <w:trPr>
          <w:trHeight w:val="229"/>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w:t>
            </w:r>
          </w:p>
        </w:tc>
        <w:tc>
          <w:tcPr>
            <w:tcW w:w="60" w:type="dxa"/>
            <w:vAlign w:val="bottom"/>
          </w:tcPr>
          <w:p>
            <w:pPr>
              <w:spacing w:after="0"/>
              <w:rPr>
                <w:sz w:val="19"/>
                <w:szCs w:val="19"/>
                <w:color w:val="auto"/>
              </w:rPr>
            </w:pPr>
          </w:p>
        </w:tc>
      </w:tr>
      <w:tr>
        <w:trPr>
          <w:trHeight w:val="243"/>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60" w:type="dxa"/>
            <w:vAlign w:val="bottom"/>
          </w:tcPr>
          <w:p>
            <w:pPr>
              <w:spacing w:after="0"/>
              <w:rPr>
                <w:sz w:val="21"/>
                <w:szCs w:val="21"/>
                <w:color w:val="auto"/>
              </w:rPr>
            </w:pPr>
          </w:p>
        </w:tc>
      </w:tr>
      <w:tr>
        <w:trPr>
          <w:trHeight w:val="200"/>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(6,941,44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(112,168 )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c>
          <w:tcPr>
            <w:tcW w:w="60" w:type="dxa"/>
            <w:vAlign w:val="bottom"/>
          </w:tcPr>
          <w:p>
            <w:pPr>
              <w:spacing w:after="0"/>
              <w:rPr>
                <w:sz w:val="19"/>
                <w:szCs w:val="19"/>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-1550670</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-1002665</wp:posOffset>
            </wp:positionV>
            <wp:extent cx="7132320" cy="403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-454025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920" w:space="60"/>
            <w:col w:w="8260"/>
          </w:cols>
          <w:pgMar w:left="320" w:top="98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80" w:type="dxa"/>
            <w:vAlign w:val="bottom"/>
          </w:tcPr>
          <w:p>
            <w:pPr>
              <w:spacing w:after="0"/>
              <w:rPr>
                <w:sz w:val="19"/>
                <w:szCs w:val="19"/>
                <w:color w:val="auto"/>
              </w:rPr>
            </w:pPr>
          </w:p>
        </w:tc>
        <w:tc>
          <w:tcPr>
            <w:tcW w:w="16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29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2980" w:type="dxa"/>
            <w:vAlign w:val="bottom"/>
          </w:tcPr>
          <w:p>
            <w:pPr>
              <w:spacing w:after="0"/>
              <w:rPr>
                <w:sz w:val="19"/>
                <w:szCs w:val="19"/>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ed 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0"/>
        </w:trPr>
        <w:tc>
          <w:tcPr>
            <w:tcW w:w="2980" w:type="dxa"/>
            <w:vAlign w:val="bottom"/>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300" w:type="dxa"/>
            <w:vAlign w:val="bottom"/>
            <w:tcBorders>
              <w:top w:val="single" w:sz="8" w:color="auto"/>
            </w:tcBorders>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7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66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(3,543,34</w:t>
            </w:r>
          </w:p>
        </w:tc>
        <w:tc>
          <w:tcPr>
            <w:tcW w:w="3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11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3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680" w:type="dxa"/>
            <w:vAlign w:val="bottom"/>
            <w:gridSpan w:val="2"/>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(111,209 )</w:t>
            </w: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7 )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c>
          <w:tcPr>
            <w:tcW w:w="100" w:type="dxa"/>
            <w:vAlign w:val="bottom"/>
            <w:shd w:val="clear" w:color="auto" w:fill="CCECFF"/>
          </w:tcPr>
          <w:p>
            <w:pPr>
              <w:spacing w:after="0"/>
              <w:rPr>
                <w:sz w:val="20"/>
                <w:szCs w:val="20"/>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Cumulative effect upon adoption of ASU</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2023-08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r>
      <w:tr>
        <w:trPr>
          <w:trHeight w:val="212"/>
        </w:trPr>
        <w:tc>
          <w:tcPr>
            <w:tcW w:w="2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Issuance of common shares, net of offering</w:t>
            </w:r>
          </w:p>
        </w:tc>
        <w:tc>
          <w:tcPr>
            <w:tcW w:w="9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0"/>
        </w:trPr>
        <w:tc>
          <w:tcPr>
            <w:tcW w:w="2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costs - At-the-market offering</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978,207</w:t>
            </w:r>
          </w:p>
        </w:tc>
        <w:tc>
          <w:tcPr>
            <w:tcW w:w="3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shd w:val="clear" w:color="auto" w:fill="CCECFF"/>
          </w:tcPr>
          <w:p>
            <w:pPr>
              <w:spacing w:after="0"/>
              <w:rPr>
                <w:sz w:val="19"/>
                <w:szCs w:val="19"/>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units, net of shares settled</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 tax withholding settlement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2,473,756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(1,115 )</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(838,388 )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(1,113 )</w:t>
            </w:r>
          </w:p>
        </w:tc>
      </w:tr>
      <w:tr>
        <w:trPr>
          <w:trHeight w:val="239"/>
        </w:trPr>
        <w:tc>
          <w:tcPr>
            <w:tcW w:w="2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248,358</w:t>
            </w:r>
          </w:p>
        </w:tc>
        <w:tc>
          <w:tcPr>
            <w:tcW w:w="38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3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100" w:type="dxa"/>
            <w:vAlign w:val="bottom"/>
            <w:shd w:val="clear" w:color="auto" w:fill="CCECFF"/>
          </w:tcPr>
          <w:p>
            <w:pPr>
              <w:spacing w:after="0"/>
              <w:rPr>
                <w:sz w:val="20"/>
                <w:szCs w:val="20"/>
                <w:color w:val="auto"/>
              </w:rPr>
            </w:pPr>
          </w:p>
        </w:tc>
      </w:tr>
      <w:tr>
        <w:trPr>
          <w:trHeight w:val="227"/>
        </w:trPr>
        <w:tc>
          <w:tcPr>
            <w:tcW w:w="2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(17,751 )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(17,751 )</w:t>
            </w:r>
          </w:p>
        </w:tc>
      </w:tr>
      <w:tr>
        <w:trPr>
          <w:trHeight w:val="197"/>
        </w:trPr>
        <w:tc>
          <w:tcPr>
            <w:tcW w:w="2980" w:type="dxa"/>
            <w:vAlign w:val="bottom"/>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300" w:type="dxa"/>
            <w:vAlign w:val="bottom"/>
            <w:tcBorders>
              <w:top w:val="single" w:sz="8" w:color="auto"/>
            </w:tcBorders>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7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66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(4,381,73</w:t>
            </w:r>
          </w:p>
        </w:tc>
        <w:tc>
          <w:tcPr>
            <w:tcW w:w="3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6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11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52"/>
        </w:trPr>
        <w:tc>
          <w:tcPr>
            <w:tcW w:w="2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254,795,626</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473,471</w:t>
            </w:r>
          </w:p>
        </w:tc>
        <w:tc>
          <w:tcPr>
            <w:tcW w:w="340" w:type="dxa"/>
            <w:vAlign w:val="bottom"/>
            <w:shd w:val="clear" w:color="auto" w:fill="CCECFF"/>
          </w:tcPr>
          <w:p>
            <w:pPr>
              <w:spacing w:after="0"/>
              <w:rPr>
                <w:sz w:val="21"/>
                <w:szCs w:val="21"/>
                <w:color w:val="auto"/>
              </w:rPr>
            </w:pPr>
          </w:p>
        </w:tc>
        <w:tc>
          <w:tcPr>
            <w:tcW w:w="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(128,751 )</w:t>
            </w:r>
          </w:p>
        </w:tc>
        <w:tc>
          <w:tcPr>
            <w:tcW w:w="11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344,970</w:t>
            </w:r>
          </w:p>
        </w:tc>
        <w:tc>
          <w:tcPr>
            <w:tcW w:w="100" w:type="dxa"/>
            <w:vAlign w:val="bottom"/>
            <w:shd w:val="clear" w:color="auto" w:fill="CCECFF"/>
          </w:tcPr>
          <w:p>
            <w:pPr>
              <w:spacing w:after="0"/>
              <w:rPr>
                <w:sz w:val="21"/>
                <w:szCs w:val="21"/>
                <w:color w:val="auto"/>
              </w:rPr>
            </w:pPr>
          </w:p>
        </w:tc>
      </w:tr>
      <w:tr>
        <w:trPr>
          <w:trHeight w:val="20"/>
        </w:trPr>
        <w:tc>
          <w:tcPr>
            <w:tcW w:w="2980" w:type="dxa"/>
            <w:vAlign w:val="bottom"/>
            <w:tcBorders>
              <w:top w:val="single" w:sz="8" w:color="CCECFF"/>
            </w:tcBorders>
            <w:shd w:val="clear" w:color="auto" w:fill="CCEC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52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(loss)</w:t>
            </w: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24,609</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(17,751 )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Adjustments to reconcile net income (loss) to net cash used in operating activities:</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37,192</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26,067</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Amortization of operating right-of-use asset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Share-based compensation</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21,654</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17,988</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Equity in (gains) losses of equity investees</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(161 )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2,181</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Non-cash lease expense</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(1,839 )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Income taxes</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Bitcoin received as payment for services</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(85,281 )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(52,836 )</w:t>
            </w: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Change in fair value of derivative asset</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(29,339 )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(8,550 )</w:t>
            </w: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(250 )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Gains on fair value of bitcoin</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(24,247 )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(5,124 )</w:t>
            </w: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Accounts receivable</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(282 )</w:t>
            </w: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Receivables, related party</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(512 )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4,994</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Security deposits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(203 )</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Accounts payable</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(47 )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(185 )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Accounts payable, related party</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(1,529 )</w:t>
            </w: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(2,745 )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6,323</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Lease liabilities</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(417 )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(594 )</w:t>
            </w:r>
          </w:p>
        </w:tc>
      </w:tr>
      <w:tr>
        <w:trPr>
          <w:trHeight w:val="183"/>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0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(51,988</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(27,796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Proceeds from sale of bitcoin</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10,334</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52,475</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Deposits on equipment</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(35,748 )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(2,932 )</w:t>
            </w: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(15,766 )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(28,541 )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Purchases and development of software</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(698 )</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Prepayments on financing leases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(3,676 )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Capital distributions from equity investees</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3,807</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Investment in equity investees</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(20,435 )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(3,095 )</w:t>
            </w:r>
          </w:p>
        </w:tc>
      </w:tr>
      <w:tr>
        <w:trPr>
          <w:trHeight w:val="20"/>
        </w:trPr>
        <w:tc>
          <w:tcPr>
            <w:tcW w:w="7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104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(62,313 )</w:t>
            </w: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18,038</w:t>
            </w:r>
          </w:p>
        </w:tc>
        <w:tc>
          <w:tcPr>
            <w:tcW w:w="100" w:type="dxa"/>
            <w:vAlign w:val="bottom"/>
            <w:shd w:val="clear" w:color="auto" w:fill="CCECFF"/>
          </w:tcPr>
          <w:p>
            <w:pPr>
              <w:spacing w:after="0"/>
              <w:rPr>
                <w:sz w:val="15"/>
                <w:szCs w:val="15"/>
                <w:color w:val="auto"/>
              </w:rPr>
            </w:pPr>
          </w:p>
        </w:tc>
      </w:tr>
      <w:tr>
        <w:trPr>
          <w:trHeight w:val="183"/>
        </w:trPr>
        <w:tc>
          <w:tcPr>
            <w:tcW w:w="752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80" w:type="dxa"/>
            <w:vAlign w:val="bottom"/>
            <w:tcBorders>
              <w:top w:val="single" w:sz="8" w:color="CCEC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CFF"/>
            </w:tcBorders>
          </w:tcPr>
          <w:p>
            <w:pPr>
              <w:spacing w:after="0"/>
              <w:rPr>
                <w:sz w:val="15"/>
                <w:szCs w:val="15"/>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Proceeds from the issuance of common stock</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163,276</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2,821</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Offering costs paid for the issuance of common stock</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(2,868 )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Repurchase of common shares to pay employee withholding taxes</w:t>
            </w:r>
          </w:p>
        </w:tc>
        <w:tc>
          <w:tcPr>
            <w:tcW w:w="104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(7,237 )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(1,114 )</w:t>
            </w: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Principal payments on financing lease</w:t>
            </w:r>
          </w:p>
        </w:tc>
        <w:tc>
          <w:tcPr>
            <w:tcW w:w="1040" w:type="dxa"/>
            <w:vAlign w:val="bottom"/>
          </w:tcPr>
          <w:p>
            <w:pPr>
              <w:spacing w:after="0"/>
              <w:rPr>
                <w:sz w:val="16"/>
                <w:szCs w:val="16"/>
                <w:color w:val="auto"/>
              </w:rPr>
            </w:pPr>
          </w:p>
        </w:tc>
        <w:tc>
          <w:tcPr>
            <w:tcW w:w="96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(2,418 )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(2,059 )</w:t>
            </w:r>
          </w:p>
        </w:tc>
      </w:tr>
      <w:tr>
        <w:trPr>
          <w:trHeight w:val="20"/>
        </w:trPr>
        <w:tc>
          <w:tcPr>
            <w:tcW w:w="7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150,753</w:t>
            </w: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(428 )</w:t>
            </w:r>
          </w:p>
        </w:tc>
      </w:tr>
      <w:tr>
        <w:trPr>
          <w:trHeight w:val="20"/>
        </w:trPr>
        <w:tc>
          <w:tcPr>
            <w:tcW w:w="752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83"/>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36,452</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(10,186 )</w:t>
            </w:r>
          </w:p>
        </w:tc>
      </w:tr>
      <w:tr>
        <w:trPr>
          <w:trHeight w:val="189"/>
        </w:trPr>
        <w:tc>
          <w:tcPr>
            <w:tcW w:w="75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Cash and cash equivalents, beginning of the period</w:t>
            </w:r>
          </w:p>
        </w:tc>
        <w:tc>
          <w:tcPr>
            <w:tcW w:w="1040" w:type="dxa"/>
            <w:vAlign w:val="bottom"/>
            <w:tcBorders>
              <w:bottom w:val="single" w:sz="8" w:color="auto"/>
            </w:tcBorders>
            <w:shd w:val="clear" w:color="auto" w:fill="CCECFF"/>
          </w:tcPr>
          <w:p>
            <w:pPr>
              <w:spacing w:after="0"/>
              <w:rPr>
                <w:sz w:val="16"/>
                <w:szCs w:val="16"/>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86,105</w:t>
            </w:r>
          </w:p>
        </w:tc>
        <w:tc>
          <w:tcPr>
            <w:tcW w:w="38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auto"/>
            </w:tcBorders>
            <w:shd w:val="clear" w:color="auto" w:fill="CCECFF"/>
          </w:tcPr>
          <w:p>
            <w:pPr>
              <w:spacing w:after="0"/>
              <w:rPr>
                <w:sz w:val="16"/>
                <w:szCs w:val="16"/>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11,927</w:t>
            </w:r>
          </w:p>
        </w:tc>
        <w:tc>
          <w:tcPr>
            <w:tcW w:w="100" w:type="dxa"/>
            <w:vAlign w:val="bottom"/>
            <w:tcBorders>
              <w:bottom w:val="single" w:sz="8" w:color="CCECFF"/>
            </w:tcBorders>
            <w:shd w:val="clear" w:color="auto" w:fill="CCECFF"/>
          </w:tcPr>
          <w:p>
            <w:pPr>
              <w:spacing w:after="0"/>
              <w:rPr>
                <w:sz w:val="16"/>
                <w:szCs w:val="16"/>
                <w:color w:val="auto"/>
              </w:rPr>
            </w:pPr>
          </w:p>
        </w:tc>
      </w:tr>
      <w:tr>
        <w:trPr>
          <w:trHeight w:val="183"/>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Cash and cash equivalents, end of the period</w:t>
            </w:r>
          </w:p>
        </w:tc>
        <w:tc>
          <w:tcPr>
            <w:tcW w:w="104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122,557</w:t>
            </w: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1,741</w:t>
            </w:r>
          </w:p>
        </w:tc>
        <w:tc>
          <w:tcPr>
            <w:tcW w:w="10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-2378075</wp:posOffset>
            </wp:positionV>
            <wp:extent cx="10287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-2378075</wp:posOffset>
            </wp:positionV>
            <wp:extent cx="939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-1139190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-402590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Borders>
              <w:top w:val="single" w:sz="8" w:color="auto"/>
            </w:tcBorders>
            <w:shd w:val="clear" w:color="auto" w:fill="CCECFF"/>
          </w:tcPr>
          <w:p>
            <w:pPr>
              <w:spacing w:after="0"/>
              <w:rPr>
                <w:sz w:val="19"/>
                <w:szCs w:val="19"/>
                <w:color w:val="auto"/>
              </w:rPr>
            </w:pPr>
          </w:p>
        </w:tc>
        <w:tc>
          <w:tcPr>
            <w:tcW w:w="560" w:type="dxa"/>
            <w:vAlign w:val="bottom"/>
            <w:tcBorders>
              <w:top w:val="single" w:sz="8" w:color="auto"/>
            </w:tcBorders>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spacing w:after="0"/>
              <w:rPr>
                <w:sz w:val="19"/>
                <w:szCs w:val="19"/>
                <w:color w:val="auto"/>
              </w:rPr>
            </w:pPr>
          </w:p>
        </w:tc>
        <w:tc>
          <w:tcPr>
            <w:tcW w:w="56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72,130</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420" w:type="dxa"/>
            <w:vAlign w:val="bottom"/>
            <w:gridSpan w:val="2"/>
            <w:shd w:val="clear" w:color="auto" w:fill="CCECFF"/>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420" w:type="dxa"/>
            <w:vAlign w:val="bottom"/>
            <w:gridSpan w:val="2"/>
            <w:shd w:val="clear" w:color="auto" w:fill="CCECFF"/>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Sales tax accrual on machine purchases</w:t>
            </w:r>
          </w:p>
        </w:tc>
        <w:tc>
          <w:tcPr>
            <w:tcW w:w="108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CFF"/>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CFF"/>
          </w:tcPr>
          <w:p>
            <w:pPr>
              <w:spacing w:after="0"/>
              <w:rPr>
                <w:sz w:val="20"/>
                <w:szCs w:val="20"/>
                <w:color w:val="auto"/>
              </w:rPr>
            </w:pPr>
          </w:p>
        </w:tc>
      </w:tr>
      <w:tr>
        <w:trPr>
          <w:trHeight w:val="21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cost in accrued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Cipher Mining Inc. (“Cipher” or the “Company”) is an emerging technology company that develops and operates industrial scale bitcoin mining data centers. Bitcoin mining is the Company’s principal revenue generating business activity. The Company operates one wholly-owned data center and jointly operates three partially-owned data centers that were acquired through investments in joint ventures.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began deployment of capacity in 2022, with mining operations beginning at the partially-owned Alborz facility in February 2022 (the “Alborz Facility”), as well as the partially-owned Bear facility (the “Bear Facility”) and the partially-owned Chief facility (the “Chief Facility”) in October 2022. The Company began bitcoin mining operations at the wholly-owned Odessa facility (the “Odessa Facility”) in November 2022. In December 2023, the Company announced the acquisition of a site for a new wholly-owned data center in Winkler County, Texas, the “Black Pearl Facility”, which is expected to commence operations in 2025.</w:t>
      </w:r>
    </w:p>
    <w:p>
      <w:pPr>
        <w:spacing w:after="0" w:line="1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Bitfury Top HoldCo B.V. and its subsidiaries (“Bitfury Top HoldCo” and, with its subsidiaries, the “Bitfury Group”) beneficially owned approximately 33.6% of the Company’s common stock, $0.001 par value per share (“Common Stock”), as of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Out-of-period-adjustments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Cost of revenue and power sales for the three and six months ended June 30, 2023 included out-of-period adjustments of approximately $1.0 million and $0.6 million, respectively, and $2.0 million and $1.6 million, respectively, that increased both cost of revenue and power sales on the unaudited condensed consolidated statements of operations for the six months ended June 30, 2023, and resulted in net increases to operating loss and loss before taxes of approximately $0.4 million during both periods. These out-of-period adjustments related to power costs and power sales for the year ended December 31, 2022 at the Company’s Odessa Facility, which are invoiced on a net basis by the Company’s power provider. Management evaluated the impact of this error on the Company’s previously issued audited consolidated financial statements for the year ended December 31, 2022, as well as on its unaudited condensed consolidated financial statements for the three and six months ended June 30, 2023, assessing the error both quantitatively and qualitatively, and concluded that the error was not material to the financial statements for either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As of June 30, 2024, the Company had approximate balances of cash and cash equivalents of $122.6 million, working capital of $273.0 million, total stockholders’ equity of $690.8 million and an accumulated deficit of $112.2 million. During the fiscal year ended December 31, 2023, and the six months ended June 30, 2024, the Company used proceeds from sales of bitcoin earned by or received from its bitcoin mining data centers, as well as strategic sales of shares through “at-the-market” offerings to support its operating expenses and capital expenditures.</w:t>
      </w:r>
    </w:p>
    <w:p>
      <w:pPr>
        <w:spacing w:after="0" w:line="1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$52.0 million of cash was used for operating activities during the six months ended June 30, 2024.</w:t>
      </w:r>
    </w:p>
    <w:p>
      <w:pPr>
        <w:spacing w:after="0" w:line="13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During the six months ended June 30, 2024, the Company paid approximately $35.7 million for deposits on equipment in connection with new miner purchases for its Odessa Facility, and reclassified approximately $13.8 million to property and equipment related to these miners being placed into service.</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 master loan agreement with Coinbase Credit, Inc., as lender, and Coinbase, Inc., as lending service provider. Pursuant to the master loan agreement, the Company established a secured line of credit up to $10.0 million (the “Credit Facility”). The Company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June 30, 2024, the Company has not drawn upon the Credit Facility.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including access to the Credit Facility, combined with projected cash and bitcoin inflows from its data centers and its ability to sell bitcoin received or earned, will be sufficient to enable the Company to meet its operating and capital requirements for at least 12 months from the date these unaudited condensed consolidated financial statements are issued.</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including CMTI. All intercompany transactions and balances have been eliminated.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quarter ended March 31, 2024, the Company changed the presentation of its condensed consolidated income statement to separately disclose Compensation and benefits from General and administrative. The Company believes this presentation provides increased transparency on the nature of the respective financial statement line items. As a result, the Company reported $12.7 million, and $24.6 million as Compensation and benefits for the three and six months ended June 30, 2023, respectively, which was previously reported in General and administrative.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 out of the extended transition period provided in the JOBS Act. As a result, the Company’s unaudited condensed consolidated financial statements may not be comparable to companies that comply with new or revised accounting pronouncements as of public company effective dates.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the last business day of the second quarter in 2024, the aggregate market value of the Company’s shares of common stock held by non-affiliate stockholders exceeded $700 million. As a result, as of December 31, 2024, it will be considered a “large accelerated filer” as defined in Rule 12b-2 under the Exchange Act, and will cease to be an emerging growth company. Due to loss of emerging growth company status, the Company will no longer be exempt from the auditor attestation requirements of Section 404(b) of the Sarbanes-Oxley Act, and its independent registered public accounting firm will evaluate and report on the effectiveness of internal controls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Commencing with the Company’s Annual Report on Form 10-K for the year ending December 31, 2024, it will adopt any accounting pronouncements deferred under the extended transition period election on or before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derivative asset and warrant liability under Level 3 of the fair value hierarchy,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is included in the Company’s 2023 Form 10-K. You should read the unaudited condensed consolidated financial statements in conjunction with the Company’s audited consolidated financial statements and accompanying notes in the Company’s 2023 Form 10-K. Except as disclosed herein, there has been no material change in the information disclosed in the notes to the Company’s audited consolidated financial statements included in the Company’s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comprised of several members of its executive management team. The Company views its operations and manages its business in one segment.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allocated to common shareholders by the weighted average number of common shares outstanding during the period. Diluted net income (loss) per common share adjusts net income (loss) and net income (loss) per common share for the effect of all potentially dilutive shares of Common Stock. Potentially dilutive common shares consist of the Company’s outstanding warrants to purchase Common Stock, as well as unvested restricted stock units (“RSUs”).</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net income (loss) per share computations for the periods indicated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4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income (loss)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(15,291 )</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(13,198 )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(17,751 )</w:t>
            </w:r>
          </w:p>
        </w:tc>
      </w:tr>
      <w:tr>
        <w:trPr>
          <w:trHeight w:val="20"/>
        </w:trPr>
        <w:tc>
          <w:tcPr>
            <w:tcW w:w="4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6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24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249,127,664</w:t>
            </w:r>
          </w:p>
        </w:tc>
        <w:tc>
          <w:tcPr>
            <w:tcW w:w="22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305,497,621</w:t>
            </w:r>
          </w:p>
        </w:tc>
        <w:tc>
          <w:tcPr>
            <w:tcW w:w="22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248,892,181</w:t>
            </w:r>
          </w:p>
        </w:tc>
        <w:tc>
          <w:tcPr>
            <w:tcW w:w="100" w:type="dxa"/>
            <w:vAlign w:val="bottom"/>
            <w:shd w:val="clear" w:color="auto" w:fill="CCECFF"/>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4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RSUs</w:t>
            </w:r>
          </w:p>
        </w:tc>
        <w:tc>
          <w:tcPr>
            <w:tcW w:w="360" w:type="dxa"/>
            <w:vAlign w:val="bottom"/>
            <w:tcBorders>
              <w:bottom w:val="single" w:sz="8" w:color="auto"/>
            </w:tcBorders>
            <w:shd w:val="clear" w:color="auto" w:fill="CCECFF"/>
          </w:tcPr>
          <w:p>
            <w:pPr>
              <w:spacing w:after="0"/>
              <w:rPr>
                <w:sz w:val="20"/>
                <w:szCs w:val="20"/>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CFF"/>
            </w:tcBorders>
            <w:shd w:val="clear" w:color="auto" w:fill="CCECFF"/>
          </w:tcPr>
          <w:p>
            <w:pPr>
              <w:spacing w:after="0"/>
              <w:rPr>
                <w:sz w:val="20"/>
                <w:szCs w:val="20"/>
                <w:color w:val="auto"/>
              </w:rPr>
            </w:pPr>
          </w:p>
        </w:tc>
        <w:tc>
          <w:tcPr>
            <w:tcW w:w="560" w:type="dxa"/>
            <w:vAlign w:val="bottom"/>
            <w:tcBorders>
              <w:bottom w:val="single" w:sz="8" w:color="auto"/>
            </w:tcBorders>
            <w:shd w:val="clear" w:color="auto" w:fill="CCECFF"/>
          </w:tcPr>
          <w:p>
            <w:pPr>
              <w:spacing w:after="0"/>
              <w:rPr>
                <w:sz w:val="20"/>
                <w:szCs w:val="20"/>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auto"/>
            </w:tcBorders>
            <w:shd w:val="clear" w:color="auto" w:fill="CCECFF"/>
          </w:tcPr>
          <w:p>
            <w:pPr>
              <w:spacing w:after="0"/>
              <w:rPr>
                <w:sz w:val="20"/>
                <w:szCs w:val="20"/>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11,154,680</w:t>
            </w:r>
          </w:p>
        </w:tc>
        <w:tc>
          <w:tcPr>
            <w:tcW w:w="220" w:type="dxa"/>
            <w:vAlign w:val="bottom"/>
            <w:tcBorders>
              <w:bottom w:val="single" w:sz="8" w:color="CCECFF"/>
            </w:tcBorders>
            <w:shd w:val="clear" w:color="auto" w:fill="CCECFF"/>
          </w:tcPr>
          <w:p>
            <w:pPr>
              <w:spacing w:after="0"/>
              <w:rPr>
                <w:sz w:val="20"/>
                <w:szCs w:val="20"/>
                <w:color w:val="auto"/>
              </w:rPr>
            </w:pPr>
          </w:p>
        </w:tc>
        <w:tc>
          <w:tcPr>
            <w:tcW w:w="360" w:type="dxa"/>
            <w:vAlign w:val="bottom"/>
            <w:tcBorders>
              <w:bottom w:val="single" w:sz="8" w:color="auto"/>
            </w:tcBorders>
            <w:shd w:val="clear" w:color="auto" w:fill="CCECFF"/>
          </w:tcPr>
          <w:p>
            <w:pPr>
              <w:spacing w:after="0"/>
              <w:rPr>
                <w:sz w:val="20"/>
                <w:szCs w:val="20"/>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249,127,664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316,652,300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248,892,181</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440" w:type="dxa"/>
            <w:vAlign w:val="bottom"/>
            <w:gridSpan w:val="2"/>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580" w:type="dxa"/>
            <w:vAlign w:val="bottom"/>
            <w:gridSpan w:val="2"/>
            <w:shd w:val="clear" w:color="auto" w:fill="CCECFF"/>
          </w:tcPr>
          <w:p>
            <w:pPr>
              <w:spacing w:after="0"/>
              <w:rPr>
                <w:sz w:val="18"/>
                <w:szCs w:val="18"/>
                <w:color w:val="auto"/>
              </w:rPr>
            </w:pPr>
          </w:p>
        </w:tc>
        <w:tc>
          <w:tcPr>
            <w:tcW w:w="1320" w:type="dxa"/>
            <w:vAlign w:val="bottom"/>
            <w:gridSpan w:val="2"/>
            <w:shd w:val="clear" w:color="auto" w:fill="CCECFF"/>
          </w:tcPr>
          <w:p>
            <w:pPr>
              <w:spacing w:after="0"/>
              <w:rPr>
                <w:sz w:val="18"/>
                <w:szCs w:val="18"/>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(0.05 )</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(0.05 )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(0.07 )</w:t>
            </w:r>
          </w:p>
        </w:tc>
      </w:tr>
      <w:tr>
        <w:trPr>
          <w:trHeight w:val="20"/>
        </w:trPr>
        <w:tc>
          <w:tcPr>
            <w:tcW w:w="4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360" w:type="dxa"/>
            <w:vAlign w:val="bottom"/>
            <w:tcBorders>
              <w:bottom w:val="single" w:sz="8" w:color="auto"/>
            </w:tcBorders>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tcBorders>
              <w:bottom w:val="single" w:sz="8" w:color="CCECFF"/>
            </w:tcBorders>
            <w:shd w:val="clear" w:color="auto" w:fill="CCECFF"/>
          </w:tcPr>
          <w:p>
            <w:pPr>
              <w:jc w:val="center"/>
              <w:ind w:right="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C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Borders>
              <w:bottom w:val="single" w:sz="8" w:color="CCECFF"/>
            </w:tcBorders>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-668020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-668020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-668020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June 30, 2024 and 2023, because including them would have been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36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3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8,499,980</w:t>
            </w:r>
          </w:p>
        </w:tc>
        <w:tc>
          <w:tcPr>
            <w:tcW w:w="100" w:type="dxa"/>
            <w:vAlign w:val="bottom"/>
            <w:shd w:val="clear" w:color="auto" w:fill="CCECFF"/>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9"/>
                <w:szCs w:val="19"/>
                <w:color w:val="auto"/>
              </w:rPr>
            </w:pPr>
          </w:p>
        </w:tc>
      </w:tr>
      <w:tr>
        <w:trPr>
          <w:trHeight w:val="236"/>
        </w:trPr>
        <w:tc>
          <w:tcPr>
            <w:tcW w:w="7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CFF"/>
            </w:tcBorders>
            <w:shd w:val="clear" w:color="auto" w:fill="CCECFF"/>
          </w:tcPr>
          <w:p>
            <w:pPr>
              <w:spacing w:after="0"/>
              <w:rPr>
                <w:sz w:val="20"/>
                <w:szCs w:val="20"/>
                <w:color w:val="auto"/>
              </w:rPr>
            </w:pPr>
          </w:p>
        </w:tc>
        <w:tc>
          <w:tcPr>
            <w:tcW w:w="360" w:type="dxa"/>
            <w:vAlign w:val="bottom"/>
            <w:tcBorders>
              <w:bottom w:val="single" w:sz="8" w:color="auto"/>
            </w:tcBorders>
            <w:shd w:val="clear" w:color="auto" w:fill="CCECFF"/>
          </w:tcPr>
          <w:p>
            <w:pPr>
              <w:spacing w:after="0"/>
              <w:rPr>
                <w:sz w:val="20"/>
                <w:szCs w:val="20"/>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23,134,869</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0"/>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31,748,849</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-179070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2023-08, Intangibles-Goodwill and Other-Crypto Assets (Subtopic 350-60): Accounting for and Disclosure of Crypto Assets (“ASU 2023-08”). The Company adopted ASU 2023-08 effective January 1, 2023, as reflected in the Company’s Form 10-K for the year ended December 31, 2023. The adoption resulted in a $0.2 million adjustment to opening Retained earnings on January 1, 2023, as well as an increase of Operating loss, and Net loss of $0.5 million as reported for the three months ended June 30, 2023, and a reduction of Operating loss, and Net loss of $1.6 million and a reduction of Basic and diluted net loss per share of $0.01 as reported for the six months ended June 30, 2023.</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3640" w:type="dxa"/>
            <w:vAlign w:val="bottom"/>
            <w:gridSpan w:val="7"/>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23"/>
        </w:trPr>
        <w:tc>
          <w:tcPr>
            <w:tcW w:w="7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20" w:type="dxa"/>
            <w:vAlign w:val="bottom"/>
            <w:shd w:val="clear" w:color="auto" w:fill="CCEE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r>
      <w:tr>
        <w:trPr>
          <w:trHeight w:val="247"/>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9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C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tcPr>
          <w:p>
            <w:pPr>
              <w:spacing w:after="0"/>
              <w:rPr>
                <w:sz w:val="20"/>
                <w:szCs w:val="20"/>
                <w:color w:val="auto"/>
              </w:rPr>
            </w:pPr>
          </w:p>
        </w:tc>
      </w:tr>
      <w:tr>
        <w:trPr>
          <w:trHeight w:val="247"/>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96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(10,334 )</w:t>
            </w:r>
          </w:p>
        </w:tc>
        <w:tc>
          <w:tcPr>
            <w:tcW w:w="3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(52,479 )</w:t>
            </w: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20"/>
                <w:szCs w:val="20"/>
                <w:color w:val="auto"/>
              </w:rPr>
            </w:pPr>
          </w:p>
        </w:tc>
      </w:tr>
      <w:tr>
        <w:trPr>
          <w:trHeight w:val="247"/>
        </w:trPr>
        <w:tc>
          <w:tcPr>
            <w:tcW w:w="76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96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1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spacing w:after="0"/>
              <w:rPr>
                <w:sz w:val="21"/>
                <w:szCs w:val="21"/>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138,079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approximately 2,203, and 780 bitcoin at June 30, 2024, and December 31, 2023, respectively. The associated fair value and cost basis of bitcoin held was $138.1 million, and $116.6 million, respectively, at June 30, 2024, and $33.0 million, and</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$30.9 million, respectively at December 31, 2023. Fair value of bitcoin is estimated using the closing price of bitcoin, which is a Level 1 input (i.e., an observable input such as a quoted price in an active market for an identical asset).</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may pledge bitcoin as collateral related to bitcoin trading strategies. As of June 30, 2024, 30 bitcoin with a fair value of $1.9 million were pledged. Restrictions on this bitcoin pledged as collateral will lapse in the fourth quarter of 2024. As of December 31, 2023, 10 bitcoin with a fair value of $0.4 million were pledged. Restrictions on that collateral lapsed on January 26,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provisions. The Luminant Power Agreement provides for a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Note 17.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opportunistically sell electricity in the ERCOT market in exchange for cash payments, rather than utilizing the power to mine for bitcoin at the Odessa Facility to manage the Company’s operating costs. From power sales, the Company earned approximately $1.1 million and $2.3 million for the three and six months ended June 30, 2024, respectively, and $5.7 million for both the three and six months ended June 2023, respectively, and recorded this amount within costs and operating expenses (income) on the unaudited condensed consolidated statement of operations, with the corresponding cost of the power sold recorded in cost of revenue. See Note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for information regarding the out-of-period adjustments recorded during the three and six months ended June 30, 2023, which affected cost of power, power sales, net operating loss and net loss on the Company’s unaudited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100" w:type="dxa"/>
            <w:vAlign w:val="bottom"/>
            <w:tcBorders>
              <w:top w:val="single" w:sz="8" w:color="auto"/>
            </w:tcBorders>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176,881</w:t>
            </w:r>
          </w:p>
        </w:tc>
        <w:tc>
          <w:tcPr>
            <w:tcW w:w="56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163,523</w:t>
            </w:r>
          </w:p>
        </w:tc>
        <w:tc>
          <w:tcPr>
            <w:tcW w:w="100" w:type="dxa"/>
            <w:vAlign w:val="bottom"/>
            <w:shd w:val="clear" w:color="auto" w:fill="CCEE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137,494</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138,883</w:t>
            </w:r>
          </w:p>
        </w:tc>
        <w:tc>
          <w:tcPr>
            <w:tcW w:w="100" w:type="dxa"/>
            <w:vAlign w:val="bottom"/>
          </w:tcPr>
          <w:p>
            <w:pPr>
              <w:spacing w:after="0"/>
              <w:rPr>
                <w:sz w:val="20"/>
                <w:szCs w:val="20"/>
                <w:color w:val="auto"/>
              </w:rPr>
            </w:pPr>
          </w:p>
        </w:tc>
      </w:tr>
      <w:tr>
        <w:trPr>
          <w:trHeight w:val="247"/>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10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C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2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47"/>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0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C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1"/>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10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334,314</w:t>
            </w:r>
          </w:p>
        </w:tc>
        <w:tc>
          <w:tcPr>
            <w:tcW w:w="56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302,895</w:t>
            </w:r>
          </w:p>
        </w:tc>
        <w:tc>
          <w:tcPr>
            <w:tcW w:w="100" w:type="dxa"/>
            <w:vAlign w:val="bottom"/>
            <w:shd w:val="clear" w:color="auto" w:fill="CCECFF"/>
          </w:tcPr>
          <w:p>
            <w:pPr>
              <w:spacing w:after="0"/>
              <w:rPr>
                <w:sz w:val="20"/>
                <w:szCs w:val="20"/>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(95,239 )</w:t>
            </w:r>
          </w:p>
        </w:tc>
        <w:tc>
          <w:tcPr>
            <w:tcW w:w="400" w:type="dxa"/>
            <w:vAlign w:val="bottom"/>
          </w:tcPr>
          <w:p>
            <w:pPr>
              <w:spacing w:after="0"/>
              <w:rPr>
                <w:sz w:val="20"/>
                <w:szCs w:val="20"/>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(59,080 )</w:t>
            </w:r>
          </w:p>
        </w:tc>
      </w:tr>
      <w:tr>
        <w:trPr>
          <w:trHeight w:val="281"/>
        </w:trPr>
        <w:tc>
          <w:tcPr>
            <w:tcW w:w="4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00" w:type="dxa"/>
            <w:vAlign w:val="bottom"/>
            <w:tcBorders>
              <w:top w:val="single" w:sz="8" w:color="auto"/>
              <w:bottom w:val="single" w:sz="8" w:color="auto"/>
            </w:tcBorders>
            <w:shd w:val="clear" w:color="auto" w:fill="CCECFF"/>
          </w:tcPr>
          <w:p>
            <w:pPr>
              <w:jc w:val="right"/>
              <w:ind w:right="1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239,075</w:t>
            </w:r>
          </w:p>
        </w:tc>
        <w:tc>
          <w:tcPr>
            <w:tcW w:w="5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243,815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As of June 30, 2024, the Company has added approximately $19.5 million of construction-in-progress related to the Black Pearl Facility. Depreciation expense was approximately $20.3 million and $14.4 million, respectively, for the three months ended June 30, 2024, and 2023, including approximately $0.6 million and $0.4 million, respectively, of accretion expense related to the Company’s asset retirement obligation. Depreciation expense was approximately $37.2 million and $26.1 million, respectively, for the six months ended June 30, 2024 and 2023, respectively, and included approximately $0.9 million for both the six months ended June 30, 2024 and 2023, of accretion expense related to the Company’s asset retirement obligation.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June 2024, the Company entered into agreements with Bitmain Technologies Delaware Limited (“Bitmain”) and Canaan Creative Global Pte. Ltd. (“Canaan”) to purchase the newest generation miners to be delivered in the fourth quarter of 2024. As more efficient machines were available earlier than anticipated, this prompted a shift in the Company's planned use of the existing miners. The Company will use these new miners to replace less efficient machines at the Odessa Facility instead of deploying at the Black Pearl Facility. Due to the change in intention, the Company deemed this event a trigger to reevaluate the estimated useful lives of the miners, and the Company reduced the estimated useful life of miners from five years to three years. The Company changed this accounting policy effective June 1, 2024 and accounted for it prospectively. This change in estimate resulted in a $3 million increase in Depreciation and amortization expense, and respective reduction of Operating (loss) income, and Net (loss) income for the three and six months ended June 30, 2024, and a $0.01 increase in Net loss per share and a $0.01 decrease in Net income per share for the three and six months ended June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3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the fourth quarter of 2023, the Company entered into an agreement with Bitmain to purchase 7.1 EH/s of miners to be delivered in the first half of 2025 (the “Original Agreement”). The Company paid a deposit of $9.9 million upon execution of the agreement. In the second quarter of 2024, the Company paid an additional $16.9 million towards this contract, in addition to amending the agreement to upgrade the miners, and accelerate the delivery from the first half of 2025 to the fourth quarter of 2024. This commitment has $107.4 million remaining to be paid as of June 30, 2024. The agreement also has an option to purchase an additional 8.7 EH/s in 2024 (the “Future Sales and Purchase Agreement”). The Company paid $12.2 million upon signing the agreement in the fourth quarter of 2023 as a deposit, which can be used towards purchases under this option. On July 10, 2024, the Company entered into an agreement to amend the Future Sales and Purchase agreement (the “Amendment Agreement”). The Amendment Agreement upgraded the miners to be purchased under the option, and extended the option expiration from December 31, 2024 to June 30, 2025. The Company paid an additional $6.5 million as a deposit in connection with this amendment. See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information related to the Amendment Agreement.</w:t>
      </w:r>
    </w:p>
    <w:p>
      <w:pPr>
        <w:spacing w:after="0" w:line="2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Company entered into an agreement with Canaan to purchase 1.25 EH/s of miners to be delivered in the fourth quarter of 2024. The Company paid a deposit of $6.6 million in connection with the agreement, with $9.8 million left to be paid. Additionally, the contract included an option to purchase 160 MW of miners which the Company can exercise on or before June 30, 2025. The Company paid a deposit of $5.3 million associated with the option.</w:t>
      </w:r>
    </w:p>
    <w:p>
      <w:pPr>
        <w:spacing w:after="0" w:line="2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signed an agreement to purchase a backup transformer for the Odessa Facility. The Company paid $6.5 million for this equipment which is classified as a deposit on the Company’s consolidated balance sheet as of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 IN EQUITY INVESTEES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its partially owned mining operations Alborz LLC, Bear LLC and Chief, LLC (the “Data Center LLCs”).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lower than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 basis differences over the same period and records the accretion amount for each reporting period within equity in losses of equity investees on its statements of operations. As of June 30, 2024, the Company had remaining basis differences totaling approximately $21.4 million that have not yet been accreted.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investments in equity investees during the six months ended June 30, 2024, and 2023, consisted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20" w:type="dxa"/>
            <w:vAlign w:val="bottom"/>
            <w:shd w:val="clear" w:color="auto" w:fill="CCECFF"/>
          </w:tcPr>
          <w:p>
            <w:pPr>
              <w:spacing w:after="0"/>
              <w:rPr>
                <w:sz w:val="21"/>
                <w:szCs w:val="21"/>
                <w:color w:val="auto"/>
              </w:rPr>
            </w:pPr>
          </w:p>
        </w:tc>
        <w:tc>
          <w:tcPr>
            <w:tcW w:w="22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5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shd w:val="clear" w:color="auto" w:fill="CCEEFF"/>
          </w:tcPr>
          <w:p>
            <w:pPr>
              <w:spacing w:after="0"/>
              <w:rPr>
                <w:sz w:val="21"/>
                <w:szCs w:val="21"/>
                <w:color w:val="auto"/>
              </w:rPr>
            </w:pPr>
          </w:p>
        </w:tc>
      </w:tr>
      <w:tr>
        <w:trPr>
          <w:trHeight w:val="239"/>
        </w:trPr>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r>
      <w:tr>
        <w:trPr>
          <w:trHeight w:val="247"/>
        </w:trPr>
        <w:tc>
          <w:tcPr>
            <w:tcW w:w="5580" w:type="dxa"/>
            <w:vAlign w:val="bottom"/>
            <w:gridSpan w:val="3"/>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5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CFF"/>
          </w:tcPr>
          <w:p>
            <w:pPr>
              <w:spacing w:after="0"/>
              <w:rPr>
                <w:sz w:val="21"/>
                <w:szCs w:val="21"/>
                <w:color w:val="auto"/>
              </w:rPr>
            </w:pPr>
          </w:p>
        </w:tc>
      </w:tr>
      <w:tr>
        <w:trPr>
          <w:trHeight w:val="239"/>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(3,807 )</w:t>
            </w:r>
          </w:p>
        </w:tc>
      </w:tr>
      <w:tr>
        <w:trPr>
          <w:trHeight w:val="247"/>
        </w:trPr>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2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243"/>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(5,521 )</w:t>
            </w:r>
          </w:p>
        </w:tc>
      </w:tr>
      <w:tr>
        <w:trPr>
          <w:trHeight w:val="237"/>
        </w:trPr>
        <w:tc>
          <w:tcPr>
            <w:tcW w:w="30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220" w:type="dxa"/>
            <w:vAlign w:val="bottom"/>
            <w:tcBorders>
              <w:bottom w:val="single" w:sz="8" w:color="CCECFF"/>
            </w:tcBorders>
            <w:shd w:val="clear" w:color="auto" w:fill="CCECFF"/>
          </w:tcPr>
          <w:p>
            <w:pPr>
              <w:spacing w:after="0"/>
              <w:rPr>
                <w:sz w:val="20"/>
                <w:szCs w:val="20"/>
                <w:color w:val="auto"/>
              </w:rPr>
            </w:pPr>
          </w:p>
        </w:tc>
        <w:tc>
          <w:tcPr>
            <w:tcW w:w="228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25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0" w:type="dxa"/>
            <w:vAlign w:val="bottom"/>
            <w:shd w:val="clear" w:color="auto" w:fill="CCECFF"/>
          </w:tcPr>
          <w:p>
            <w:pPr>
              <w:spacing w:after="0"/>
              <w:rPr>
                <w:sz w:val="21"/>
                <w:szCs w:val="21"/>
                <w:color w:val="auto"/>
              </w:rPr>
            </w:pPr>
          </w:p>
        </w:tc>
        <w:tc>
          <w:tcPr>
            <w:tcW w:w="22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5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21"/>
                <w:szCs w:val="21"/>
                <w:color w:val="auto"/>
              </w:rPr>
            </w:pPr>
          </w:p>
        </w:tc>
      </w:tr>
      <w:tr>
        <w:trPr>
          <w:trHeight w:val="239"/>
        </w:trPr>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tcPr>
          <w:p>
            <w:pPr>
              <w:spacing w:after="0"/>
              <w:rPr>
                <w:sz w:val="20"/>
                <w:szCs w:val="20"/>
                <w:color w:val="auto"/>
              </w:rPr>
            </w:pPr>
          </w:p>
        </w:tc>
      </w:tr>
      <w:tr>
        <w:trPr>
          <w:trHeight w:val="247"/>
        </w:trPr>
        <w:tc>
          <w:tcPr>
            <w:tcW w:w="5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21"/>
                <w:szCs w:val="21"/>
                <w:color w:val="auto"/>
              </w:rPr>
            </w:pPr>
          </w:p>
        </w:tc>
      </w:tr>
      <w:tr>
        <w:trPr>
          <w:trHeight w:val="239"/>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2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(5,907 )</w:t>
            </w:r>
          </w:p>
        </w:tc>
      </w:tr>
      <w:tr>
        <w:trPr>
          <w:trHeight w:val="243"/>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(3,181 )</w:t>
            </w:r>
          </w:p>
        </w:tc>
      </w:tr>
      <w:tr>
        <w:trPr>
          <w:trHeight w:val="237"/>
        </w:trPr>
        <w:tc>
          <w:tcPr>
            <w:tcW w:w="30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20" w:type="dxa"/>
            <w:vAlign w:val="bottom"/>
            <w:tcBorders>
              <w:bottom w:val="single" w:sz="8" w:color="CCECFF"/>
            </w:tcBorders>
            <w:shd w:val="clear" w:color="auto" w:fill="CCECFF"/>
          </w:tcPr>
          <w:p>
            <w:pPr>
              <w:spacing w:after="0"/>
              <w:rPr>
                <w:sz w:val="20"/>
                <w:szCs w:val="20"/>
                <w:color w:val="auto"/>
              </w:rPr>
            </w:pPr>
          </w:p>
        </w:tc>
        <w:tc>
          <w:tcPr>
            <w:tcW w:w="228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25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42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for the dates indicated (in thousands):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8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C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280" w:type="dxa"/>
            <w:vAlign w:val="bottom"/>
            <w:gridSpan w:val="2"/>
            <w:shd w:val="clear" w:color="auto" w:fill="CCECFF"/>
          </w:tcPr>
          <w:p>
            <w:pPr>
              <w:spacing w:after="0"/>
              <w:rPr>
                <w:sz w:val="24"/>
                <w:szCs w:val="24"/>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(426 )</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4"/>
                <w:szCs w:val="24"/>
                <w:color w:val="auto"/>
              </w:rPr>
            </w:pPr>
          </w:p>
        </w:tc>
        <w:tc>
          <w:tcPr>
            <w:tcW w:w="620" w:type="dxa"/>
            <w:vAlign w:val="bottom"/>
            <w:shd w:val="clear" w:color="auto" w:fill="CCECFF"/>
          </w:tcPr>
          <w:p>
            <w:pPr>
              <w:spacing w:after="0"/>
              <w:rPr>
                <w:sz w:val="24"/>
                <w:szCs w:val="2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CFF"/>
          </w:tcPr>
          <w:p>
            <w:pPr>
              <w:spacing w:after="0"/>
              <w:rPr>
                <w:sz w:val="24"/>
                <w:szCs w:val="24"/>
                <w:color w:val="auto"/>
              </w:rPr>
            </w:pPr>
          </w:p>
        </w:tc>
      </w:tr>
      <w:tr>
        <w:trPr>
          <w:trHeight w:val="447"/>
        </w:trPr>
        <w:tc>
          <w:tcPr>
            <w:tcW w:w="3080" w:type="dxa"/>
            <w:vAlign w:val="bottom"/>
            <w:tcBorders>
              <w:top w:val="single" w:sz="8" w:color="CCEC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160" w:type="dxa"/>
            <w:vAlign w:val="bottom"/>
            <w:tcBorders>
              <w:top w:val="single" w:sz="8" w:color="CCEC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CCECFF"/>
            </w:tcBorders>
          </w:tcPr>
          <w:p>
            <w:pPr>
              <w:spacing w:after="0"/>
              <w:rPr>
                <w:sz w:val="24"/>
                <w:szCs w:val="24"/>
                <w:color w:val="auto"/>
              </w:rPr>
            </w:pPr>
          </w:p>
        </w:tc>
        <w:tc>
          <w:tcPr>
            <w:tcW w:w="240" w:type="dxa"/>
            <w:vAlign w:val="bottom"/>
            <w:tcBorders>
              <w:top w:val="single" w:sz="8" w:color="CCEC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241"/>
        </w:trPr>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8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C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80" w:type="dxa"/>
            <w:vAlign w:val="bottom"/>
            <w:gridSpan w:val="2"/>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2"/>
                <w:szCs w:val="22"/>
                <w:color w:val="auto"/>
              </w:rPr>
            </w:pPr>
          </w:p>
        </w:tc>
        <w:tc>
          <w:tcPr>
            <w:tcW w:w="62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shd w:val="clear" w:color="auto" w:fill="CCECFF"/>
          </w:tcPr>
          <w:p>
            <w:pPr>
              <w:spacing w:after="0"/>
              <w:rPr>
                <w:sz w:val="22"/>
                <w:szCs w:val="22"/>
                <w:color w:val="auto"/>
              </w:rPr>
            </w:pPr>
          </w:p>
        </w:tc>
      </w:tr>
      <w:tr>
        <w:trPr>
          <w:trHeight w:val="20"/>
        </w:trPr>
        <w:tc>
          <w:tcPr>
            <w:tcW w:w="30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-993775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-976630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-993775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-976630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and $0.3 million in the three and six months ended June 30, 2024, respectively, and nil in both the three and six months ended June 30, 2023. The Company expects to record amortization expense as follows over the next five subsequent years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Pr>
          <w:p>
            <w:pPr>
              <w:spacing w:after="0"/>
              <w:rPr>
                <w:sz w:val="21"/>
                <w:szCs w:val="21"/>
                <w:color w:val="auto"/>
              </w:rPr>
            </w:pPr>
          </w:p>
        </w:tc>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2024</w:t>
            </w:r>
          </w:p>
        </w:tc>
        <w:tc>
          <w:tcPr>
            <w:tcW w:w="144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20" w:type="dxa"/>
            <w:vAlign w:val="bottom"/>
          </w:tcPr>
          <w:p>
            <w:pPr>
              <w:spacing w:after="0"/>
              <w:rPr>
                <w:sz w:val="21"/>
                <w:szCs w:val="21"/>
                <w:color w:val="auto"/>
              </w:rPr>
            </w:pPr>
          </w:p>
        </w:tc>
      </w:tr>
      <w:tr>
        <w:trPr>
          <w:trHeight w:val="239"/>
        </w:trPr>
        <w:tc>
          <w:tcPr>
            <w:tcW w:w="24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20" w:type="dxa"/>
            <w:vAlign w:val="bottom"/>
          </w:tcPr>
          <w:p>
            <w:pPr>
              <w:spacing w:after="0"/>
              <w:rPr>
                <w:sz w:val="20"/>
                <w:szCs w:val="20"/>
                <w:color w:val="auto"/>
              </w:rPr>
            </w:pPr>
          </w:p>
        </w:tc>
      </w:tr>
      <w:tr>
        <w:trPr>
          <w:trHeight w:val="247"/>
        </w:trPr>
        <w:tc>
          <w:tcPr>
            <w:tcW w:w="2420" w:type="dxa"/>
            <w:vAlign w:val="bottom"/>
          </w:tcPr>
          <w:p>
            <w:pPr>
              <w:spacing w:after="0"/>
              <w:rPr>
                <w:sz w:val="21"/>
                <w:szCs w:val="21"/>
                <w:color w:val="auto"/>
              </w:rPr>
            </w:pPr>
          </w:p>
        </w:tc>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4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20" w:type="dxa"/>
            <w:vAlign w:val="bottom"/>
          </w:tcPr>
          <w:p>
            <w:pPr>
              <w:spacing w:after="0"/>
              <w:rPr>
                <w:sz w:val="21"/>
                <w:szCs w:val="21"/>
                <w:color w:val="auto"/>
              </w:rPr>
            </w:pPr>
          </w:p>
        </w:tc>
      </w:tr>
      <w:tr>
        <w:trPr>
          <w:trHeight w:val="239"/>
        </w:trPr>
        <w:tc>
          <w:tcPr>
            <w:tcW w:w="24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20" w:type="dxa"/>
            <w:vAlign w:val="bottom"/>
          </w:tcPr>
          <w:p>
            <w:pPr>
              <w:spacing w:after="0"/>
              <w:rPr>
                <w:sz w:val="20"/>
                <w:szCs w:val="20"/>
                <w:color w:val="auto"/>
              </w:rPr>
            </w:pPr>
          </w:p>
        </w:tc>
      </w:tr>
      <w:tr>
        <w:trPr>
          <w:trHeight w:val="247"/>
        </w:trPr>
        <w:tc>
          <w:tcPr>
            <w:tcW w:w="2420" w:type="dxa"/>
            <w:vAlign w:val="bottom"/>
          </w:tcPr>
          <w:p>
            <w:pPr>
              <w:spacing w:after="0"/>
              <w:rPr>
                <w:sz w:val="21"/>
                <w:szCs w:val="21"/>
                <w:color w:val="auto"/>
              </w:rPr>
            </w:pPr>
          </w:p>
        </w:tc>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4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20" w:type="dxa"/>
            <w:vAlign w:val="bottom"/>
          </w:tcPr>
          <w:p>
            <w:pPr>
              <w:spacing w:after="0"/>
              <w:rPr>
                <w:sz w:val="21"/>
                <w:szCs w:val="21"/>
                <w:color w:val="auto"/>
              </w:rPr>
            </w:pPr>
          </w:p>
        </w:tc>
      </w:tr>
      <w:tr>
        <w:trPr>
          <w:trHeight w:val="864"/>
        </w:trPr>
        <w:tc>
          <w:tcPr>
            <w:tcW w:w="2420" w:type="dxa"/>
            <w:vAlign w:val="bottom"/>
          </w:tcPr>
          <w:p>
            <w:pPr>
              <w:spacing w:after="0"/>
              <w:rPr>
                <w:sz w:val="24"/>
                <w:szCs w:val="24"/>
                <w:color w:val="auto"/>
              </w:rPr>
            </w:pPr>
          </w:p>
        </w:tc>
        <w:tc>
          <w:tcPr>
            <w:tcW w:w="43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24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collateral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shd w:val="clear" w:color="auto" w:fill="CCEEFF"/>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r>
      <w:tr>
        <w:trPr>
          <w:trHeight w:val="24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security deposits</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20"/>
                <w:szCs w:val="20"/>
                <w:color w:val="auto"/>
              </w:rPr>
            </w:pPr>
          </w:p>
        </w:tc>
      </w:tr>
      <w:tr>
        <w:trPr>
          <w:trHeight w:val="24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00" w:type="dxa"/>
            <w:vAlign w:val="bottom"/>
          </w:tcPr>
          <w:p>
            <w:pPr>
              <w:spacing w:after="0"/>
              <w:rPr>
                <w:sz w:val="20"/>
                <w:szCs w:val="20"/>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$3.6 million and $3.7 million as of June 30, 2024 and December 31, 2023, respectively, primarily consisting of prepaid insurance and employee compensation as of June 30, 2024, and prepaid insurance as of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100" w:type="dxa"/>
            <w:vAlign w:val="bottom"/>
            <w:shd w:val="clear" w:color="auto" w:fill="CCECFF"/>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0"/>
                <w:szCs w:val="20"/>
                <w:color w:val="auto"/>
              </w:rPr>
            </w:pPr>
          </w:p>
        </w:tc>
      </w:tr>
      <w:tr>
        <w:trPr>
          <w:trHeight w:val="247"/>
        </w:trPr>
        <w:tc>
          <w:tcPr>
            <w:tcW w:w="7200" w:type="dxa"/>
            <w:vAlign w:val="bottom"/>
            <w:shd w:val="clear" w:color="auto" w:fill="CCECFF"/>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CFF"/>
          </w:tcPr>
          <w:p>
            <w:pPr>
              <w:spacing w:after="0"/>
              <w:rPr>
                <w:sz w:val="21"/>
                <w:szCs w:val="21"/>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C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r>
      <w:tr>
        <w:trPr>
          <w:trHeight w:val="277"/>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shd w:val="clear" w:color="auto" w:fill="CCECFF"/>
          </w:tcPr>
          <w:p>
            <w:pPr>
              <w:spacing w:after="0"/>
              <w:rPr>
                <w:sz w:val="24"/>
                <w:szCs w:val="24"/>
                <w:color w:val="auto"/>
              </w:rPr>
            </w:pPr>
          </w:p>
        </w:tc>
      </w:tr>
      <w:tr>
        <w:trPr>
          <w:trHeight w:val="215"/>
        </w:trPr>
        <w:tc>
          <w:tcPr>
            <w:tcW w:w="72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__________</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40" w:type="dxa"/>
            <w:vAlign w:val="bottom"/>
            <w:tcBorders>
              <w:top w:val="single" w:sz="8" w:color="CCEC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-173990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-156845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980" w:hanging="223"/>
        <w:spacing w:after="0" w:line="207" w:lineRule="auto"/>
        <w:tabs>
          <w:tab w:leader="none" w:pos="9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regarding the legal settlement accrual as of June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Related party receivables were $0.2 million as of both June 30, 2024 and December 31, 2023, consisting of expenses paid on behalf of the Data Center LLCs.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8, 2022, the Company entered into two agreements with the Bitfury Group, made under, and as a part of, the Master Services and Supply Agreement to purchase equipment related to data center construction. The Bitfury Group contracted with third-party vendors for the purchase of equipment and the receipt of services related to Cipher’s future mining operations. Pursuant to one of these arrangements between the Bitfury Group and a third-party vendor, the Company made payments directly to the third party vendor in place of the Bitfury Group totaling approximately $5.8 million during the year ended December 31, 2023 and the Company’s obligations to the Bitfury Group under the Master Services and Supply Agreement were reduced by the same amount. The Company and the Bitfury Group terminated the Master Services and Supply Agreement on February 28, 2024, for no additional consideration.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also entered into the Luminant</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5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leases</w:t>
      </w:r>
    </w:p>
    <w:p>
      <w:pPr>
        <w:spacing w:after="0" w:line="20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During the second quarter of 2024, the Company modified this lease to substitute the leased space with a larger office in the same location.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July 2024, the Company also signed leases for office space in Charleston, South Carolina, and Denver, Colorado. These agreements are expected to commence in the third quarter of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860" w:type="dxa"/>
            <w:vAlign w:val="bottom"/>
            <w:gridSpan w:val="5"/>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50"/>
        </w:trPr>
        <w:tc>
          <w:tcPr>
            <w:tcW w:w="51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43"/>
        </w:trPr>
        <w:tc>
          <w:tcPr>
            <w:tcW w:w="5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3"/>
        </w:trPr>
        <w:tc>
          <w:tcPr>
            <w:tcW w:w="5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4"/>
                <w:szCs w:val="24"/>
                <w:color w:val="auto"/>
                <w:vertAlign w:val="superscript"/>
              </w:rPr>
              <w:t>(1)</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1"/>
                <w:szCs w:val="21"/>
                <w:color w:val="auto"/>
              </w:rPr>
            </w:pPr>
          </w:p>
        </w:tc>
      </w:tr>
      <w:tr>
        <w:trPr>
          <w:trHeight w:val="243"/>
        </w:trPr>
        <w:tc>
          <w:tcPr>
            <w:tcW w:w="5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800" w:type="dxa"/>
            <w:vAlign w:val="bottom"/>
            <w:tcBorders>
              <w:bottom w:val="single" w:sz="8" w:color="auto"/>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20"/>
                <w:szCs w:val="20"/>
                <w:color w:val="auto"/>
              </w:rPr>
            </w:pPr>
          </w:p>
        </w:tc>
      </w:tr>
      <w:tr>
        <w:trPr>
          <w:trHeight w:val="247"/>
        </w:trPr>
        <w:tc>
          <w:tcPr>
            <w:tcW w:w="5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shd w:val="clear" w:color="auto" w:fill="CCECFF"/>
          </w:tcPr>
          <w:p>
            <w:pPr>
              <w:spacing w:after="0"/>
              <w:rPr>
                <w:sz w:val="20"/>
                <w:szCs w:val="2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8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shd w:val="clear" w:color="auto" w:fill="CCECFF"/>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800" w:type="dxa"/>
            <w:vAlign w:val="bottom"/>
            <w:tcBorders>
              <w:bottom w:val="single" w:sz="8" w:color="auto"/>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0"/>
                <w:szCs w:val="20"/>
                <w:color w:val="auto"/>
              </w:rPr>
            </w:pPr>
          </w:p>
        </w:tc>
      </w:tr>
      <w:tr>
        <w:trPr>
          <w:trHeight w:val="277"/>
        </w:trPr>
        <w:tc>
          <w:tcPr>
            <w:tcW w:w="5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800" w:type="dxa"/>
            <w:vAlign w:val="bottom"/>
            <w:shd w:val="clear" w:color="auto" w:fill="CCEC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6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6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6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shd w:val="clear" w:color="auto" w:fill="CCECFF"/>
          </w:tcPr>
          <w:p>
            <w:pPr>
              <w:spacing w:after="0"/>
              <w:rPr>
                <w:sz w:val="24"/>
                <w:szCs w:val="24"/>
                <w:color w:val="auto"/>
              </w:rPr>
            </w:pPr>
          </w:p>
        </w:tc>
      </w:tr>
      <w:tr>
        <w:trPr>
          <w:trHeight w:val="197"/>
        </w:trPr>
        <w:tc>
          <w:tcPr>
            <w:tcW w:w="5160" w:type="dxa"/>
            <w:vAlign w:val="bottom"/>
            <w:tcBorders>
              <w:top w:val="single" w:sz="8" w:color="CCEC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8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-1114425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-1114425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-1114425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-1114425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-488315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-488315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-488315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-162560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-145415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-162560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-145415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-145415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4400" w:firstLine="757"/>
        <w:spacing w:after="0" w:line="423" w:lineRule="auto"/>
        <w:tabs>
          <w:tab w:leader="none" w:pos="93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Amortization of finance lease ROU assets is included within depreciation expense. The Company did not incur any variable lease costs during any of the periods presented.</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9"/>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5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5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c>
          <w:tcPr>
            <w:tcW w:w="6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453"/>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5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6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840" w:type="dxa"/>
            <w:vAlign w:val="bottom"/>
            <w:tcBorders>
              <w:top w:val="single" w:sz="8" w:color="auto"/>
            </w:tcBorders>
            <w:shd w:val="clear" w:color="auto" w:fill="CCECFF"/>
          </w:tcPr>
          <w:p>
            <w:pPr>
              <w:spacing w:after="0"/>
              <w:rPr>
                <w:sz w:val="21"/>
                <w:szCs w:val="21"/>
                <w:color w:val="auto"/>
              </w:rPr>
            </w:pPr>
          </w:p>
        </w:tc>
        <w:tc>
          <w:tcPr>
            <w:tcW w:w="340" w:type="dxa"/>
            <w:vAlign w:val="bottom"/>
            <w:tcBorders>
              <w:top w:val="single" w:sz="8" w:color="auto"/>
            </w:tcBorders>
            <w:shd w:val="clear" w:color="auto" w:fill="CCECFF"/>
          </w:tcPr>
          <w:p>
            <w:pPr>
              <w:spacing w:after="0"/>
              <w:rPr>
                <w:sz w:val="21"/>
                <w:szCs w:val="21"/>
                <w:color w:val="auto"/>
              </w:rPr>
            </w:pPr>
          </w:p>
        </w:tc>
        <w:tc>
          <w:tcPr>
            <w:tcW w:w="220" w:type="dxa"/>
            <w:vAlign w:val="bottom"/>
            <w:tcBorders>
              <w:top w:val="single" w:sz="8" w:color="auto"/>
            </w:tcBorders>
            <w:shd w:val="clear" w:color="auto" w:fill="CCECFF"/>
          </w:tcPr>
          <w:p>
            <w:pPr>
              <w:spacing w:after="0"/>
              <w:rPr>
                <w:sz w:val="21"/>
                <w:szCs w:val="21"/>
                <w:color w:val="auto"/>
              </w:rPr>
            </w:pPr>
          </w:p>
        </w:tc>
        <w:tc>
          <w:tcPr>
            <w:tcW w:w="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spacing w:after="0"/>
              <w:rPr>
                <w:sz w:val="21"/>
                <w:szCs w:val="21"/>
                <w:color w:val="auto"/>
              </w:rPr>
            </w:pPr>
          </w:p>
        </w:tc>
        <w:tc>
          <w:tcPr>
            <w:tcW w:w="340" w:type="dxa"/>
            <w:vAlign w:val="bottom"/>
            <w:tcBorders>
              <w:top w:val="single" w:sz="8" w:color="auto"/>
            </w:tcBorders>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5160" w:type="dxa"/>
            <w:vAlign w:val="bottom"/>
            <w:shd w:val="clear" w:color="auto" w:fill="CCEC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Finance lease ROU assets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840" w:type="dxa"/>
            <w:vAlign w:val="bottom"/>
            <w:shd w:val="clear" w:color="auto" w:fill="CCEC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60" w:type="dxa"/>
            <w:vAlign w:val="bottom"/>
            <w:shd w:val="clear" w:color="auto" w:fill="CCECFF"/>
          </w:tcPr>
          <w:p>
            <w:pPr>
              <w:spacing w:after="0"/>
              <w:rPr>
                <w:sz w:val="21"/>
                <w:szCs w:val="21"/>
                <w:color w:val="auto"/>
              </w:rPr>
            </w:pP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ectPr>
          <w:pgSz w:w="11900" w:h="16838" w:orient="portrait"/>
          <w:cols w:equalWidth="0" w:num="1">
            <w:col w:w="11300"/>
          </w:cols>
          <w:pgMar w:left="320" w:top="765" w:right="27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p>
      <w:pPr>
        <w:ind w:left="760" w:right="540" w:hanging="303"/>
        <w:spacing w:after="0" w:line="231" w:lineRule="auto"/>
        <w:tabs>
          <w:tab w:leader="none" w:pos="691"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June 30, 2024 and December 31, 2023, the Company had recorded accumulated amortization of approximately $2.8 million and $1.3 million, respectively, for the finance lease ROU assets. Finance lease ROU assets are recorded within property and equipment, net on the Company’s consolidated balance sheets.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future minimum lease payments during the next five years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20" w:type="dxa"/>
            <w:vAlign w:val="bottom"/>
          </w:tcPr>
          <w:p>
            <w:pPr>
              <w:spacing w:after="0"/>
              <w:rPr>
                <w:sz w:val="21"/>
                <w:szCs w:val="21"/>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400" w:type="dxa"/>
            <w:vAlign w:val="bottom"/>
            <w:shd w:val="clear" w:color="auto" w:fill="CCECFF"/>
          </w:tcPr>
          <w:p>
            <w:pPr>
              <w:spacing w:after="0"/>
              <w:rPr>
                <w:sz w:val="21"/>
                <w:szCs w:val="21"/>
                <w:color w:val="auto"/>
              </w:rPr>
            </w:pPr>
          </w:p>
        </w:tc>
        <w:tc>
          <w:tcPr>
            <w:tcW w:w="540" w:type="dxa"/>
            <w:vAlign w:val="bottom"/>
            <w:tcBorders>
              <w:top w:val="single" w:sz="8" w:color="auto"/>
            </w:tcBorders>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380" w:type="dxa"/>
            <w:vAlign w:val="bottom"/>
            <w:shd w:val="clear" w:color="auto" w:fill="CCECFF"/>
          </w:tcPr>
          <w:p>
            <w:pPr>
              <w:spacing w:after="0"/>
              <w:rPr>
                <w:sz w:val="21"/>
                <w:szCs w:val="21"/>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CECFF"/>
          </w:tcPr>
          <w:p>
            <w:pPr>
              <w:spacing w:after="0"/>
              <w:rPr>
                <w:sz w:val="21"/>
                <w:szCs w:val="2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4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CFF"/>
          </w:tcPr>
          <w:p>
            <w:pPr>
              <w:spacing w:after="0"/>
              <w:rPr>
                <w:sz w:val="21"/>
                <w:szCs w:val="2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4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C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r>
      <w:tr>
        <w:trPr>
          <w:trHeight w:val="236"/>
        </w:trPr>
        <w:tc>
          <w:tcPr>
            <w:tcW w:w="60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4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shd w:val="clear" w:color="auto" w:fill="CCECFF"/>
          </w:tcPr>
          <w:p>
            <w:pPr>
              <w:spacing w:after="0"/>
              <w:rPr>
                <w:sz w:val="20"/>
                <w:szCs w:val="20"/>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tcPr>
          <w:p>
            <w:pPr>
              <w:spacing w:after="0"/>
              <w:rPr>
                <w:sz w:val="21"/>
                <w:szCs w:val="21"/>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(2,432 )</w:t>
            </w:r>
          </w:p>
        </w:tc>
        <w:tc>
          <w:tcPr>
            <w:tcW w:w="5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(3,153 )</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(5,585 )</w:t>
            </w:r>
          </w:p>
        </w:tc>
      </w:tr>
      <w:tr>
        <w:trPr>
          <w:trHeight w:val="277"/>
        </w:trPr>
        <w:tc>
          <w:tcPr>
            <w:tcW w:w="60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400" w:type="dxa"/>
            <w:vAlign w:val="bottom"/>
            <w:tcBorders>
              <w:bottom w:val="single" w:sz="8" w:color="CCECFF"/>
            </w:tcBorders>
            <w:shd w:val="clear" w:color="auto" w:fill="CCECFF"/>
          </w:tcPr>
          <w:p>
            <w:pPr>
              <w:spacing w:after="0"/>
              <w:rPr>
                <w:sz w:val="24"/>
                <w:szCs w:val="24"/>
                <w:color w:val="auto"/>
              </w:rPr>
            </w:pPr>
          </w:p>
        </w:tc>
        <w:tc>
          <w:tcPr>
            <w:tcW w:w="540" w:type="dxa"/>
            <w:vAlign w:val="bottom"/>
            <w:tcBorders>
              <w:top w:val="single" w:sz="8" w:color="auto"/>
              <w:bottom w:val="single" w:sz="8" w:color="auto"/>
            </w:tcBorders>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38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enters into contracts that contain a variety of indemnifications with its employees, licensors, suppliers and service providers. The Company’s maximum exposure under these arrangements, if any, is unknown as of June 30, 2024, aside from miner purchase contracts described in further detail in Note 6.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Agreement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18, 2022, Luminant filed suit against the Company, seeking recoupment and return of money previously paid by Luminant to the Company in connection with Luminant’s (and its affiliates’) construction and energization of Cipher’s bitcoin mining data center in Odessa, Texas. Luminant contended that such payments, although voluntarily made by Luminant, were not due under the terms of the Luminant Power Agreement, as amended. The Company settled the dispute with Luminant (the “Luminant Settlement”). In connection with the Luminant Settlement, the Company, entered into (i) a Fourth Amendment to the Power Purchase</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Agreement (the “Amended PPA”) with Luminant, which amended the Luminant Power Agreement and (ii) a Second Amendment to the Lease Agreement (the "Amended Lease") with an affiliate of Luminant, which amended the Luminant Lease Agreement.</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2023 and in connection with the Luminant Settlement, the Company established a $2.0 million accrual for the cost of resolving the claims, which was fully paid as of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2024, 510,000,000 shares with a par value of $0.001 per share are authorized, of which, 500,000,000 shares are designated as Common Stock and 10,000,000 shares are designated as preferred stock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4,013,379 shares of Common Stock to officers, employees and consultants in settlement of an equal number of fully vested RSUs awarded to these individuals, and 395,577 shares of Common Stock to directors, pursuant to grants made under the Cipher Mining Inc. 2021 Incentive Award Plan (the “Incentive Award Plan”). The Company immediately repurchased 1,622,772 of these shares of Common Stock from officers and employees, with a fair value of approximately $7.2 million, to cover taxes related to the settlement of vested RSUs, as permitted by the Incentive Award Plan. The Company placed the repurchased shares in treasury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at-the-market offering agreement (the “Prior Sales Agreement”) with H.C. Wainwright &amp; Co., LLC (the “Prior Agent”), under which the Company may, from time to time, sell shares of its Common Stock having an aggregate offering price of up to $250.0 million in “at-the-market” offerings through the Prior Agent. Effective August 1, 2023, the Company terminated the Prior Sales Agreement.</w:t>
      </w:r>
    </w:p>
    <w:p>
      <w:pPr>
        <w:spacing w:after="0" w:line="19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“Shares”).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 by and among the Original Agents, Stifel, Nicolaus &amp; Company, Incorporated (“Stifel”) and Virtu Americas LLC (“Virtu”) (each of the Original Agents, Stifel and Virtu, an “Agent” and, together, the “Agents”). The Amendment modifies the Sales Agreement to include Stifel and Virtu as additional agents under the Amended Sales Agreement. On March 6, 2024, the Company also filed an amendment to the Prospectus Supplement (i) increasing the dollar amount of shares available to be sold pursuant to the Amended Sales Agreement, to $296,560,661, which consists of $96,560,661 remaining as originally authorized under the Prospectus Supplement and an additional $200,000,000, and (ii) including Stifel and Virtu as additional Agents.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Sales Agreement, the Agent selected by the Company (such Agent, the “Designated Agent”) may sell the Shares in sales deemed to be “at-the-market offerings” as defined in Rule 415(a)(4) promulgated under the Securities Act. The Company has no obligation to sell any of the Shares under the Sales Agreement and may at any time suspend or terminate the offering of the Shares pursuant to the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Sales Agreement, the Company agreed to pay the Designated Agent a</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commission up to 3.0% of the aggregate gross proceeds from any Shares sold through such Designated Agent pursuant to the Sales Agreement. In addition, the Company agreed to reimburse certain expenses incurred by the Agents in connection with the Sales Agreement. During the three months ended June 30, 2024, in connection with the Prior Sales Agreement and the Sales Agreement, the Company received proceeds of approximately $95.9 million, net of issuance costs, from the sale of 20,626,145 shares of common stock, with an average net selling price of $4.65 per share.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WARRANTS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December 31, 2023, and 8,613,980 Public Warrants and no Private Placement Warrants outstanding as of June 30, 2024.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(a) three percent (3%) of the total number of shares of Common Stock outstanding on the final day of the immediately preceding calendar year or (b) such smaller number of shares determined by the Board. On January 1, 2024, this resulted in an increase of 8,728,736 shares of Common Stock available for issuance under the Incentive Award Plan. As of June 30, 2024, 5,060,000 shares of Common Stock were available for issuance under the Incentive Award Plan.</w:t>
      </w:r>
    </w:p>
    <w:p>
      <w:pPr>
        <w:spacing w:after="0" w:line="14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expense in Compensation and benefits on the unaudited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9"/>
                <w:szCs w:val="19"/>
                <w:color w:val="auto"/>
              </w:rPr>
            </w:pPr>
          </w:p>
        </w:tc>
      </w:tr>
      <w:tr>
        <w:trPr>
          <w:trHeight w:val="223"/>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CEE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shd w:val="clear" w:color="auto" w:fill="CCEEFF"/>
          </w:tcPr>
          <w:p>
            <w:pPr>
              <w:spacing w:after="0"/>
              <w:rPr>
                <w:sz w:val="21"/>
                <w:szCs w:val="2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20"/>
                <w:szCs w:val="20"/>
                <w:color w:val="auto"/>
              </w:rPr>
            </w:pPr>
          </w:p>
        </w:tc>
      </w:tr>
      <w:tr>
        <w:trPr>
          <w:trHeight w:val="247"/>
        </w:trPr>
        <w:tc>
          <w:tcPr>
            <w:tcW w:w="4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-187960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six months ended June 30, 2024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w:t>
            </w:r>
          </w:p>
        </w:tc>
        <w:tc>
          <w:tcPr>
            <w:tcW w:w="100" w:type="dxa"/>
            <w:vAlign w:val="bottom"/>
          </w:tcPr>
          <w:p>
            <w:pPr>
              <w:spacing w:after="0"/>
              <w:rPr>
                <w:sz w:val="17"/>
                <w:szCs w:val="17"/>
                <w:color w:val="auto"/>
              </w:rPr>
            </w:pPr>
          </w:p>
        </w:tc>
      </w:tr>
      <w:tr>
        <w:trPr>
          <w:trHeight w:val="225"/>
        </w:trPr>
        <w:tc>
          <w:tcPr>
            <w:tcW w:w="5840" w:type="dxa"/>
            <w:vAlign w:val="bottom"/>
          </w:tcPr>
          <w:p>
            <w:pPr>
              <w:spacing w:after="0"/>
              <w:rPr>
                <w:sz w:val="19"/>
                <w:szCs w:val="19"/>
                <w:color w:val="auto"/>
              </w:rPr>
            </w:pPr>
          </w:p>
        </w:tc>
        <w:tc>
          <w:tcPr>
            <w:tcW w:w="292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9"/>
                <w:szCs w:val="19"/>
                <w:color w:val="auto"/>
              </w:rPr>
            </w:pPr>
          </w:p>
        </w:tc>
        <w:tc>
          <w:tcPr>
            <w:tcW w:w="2260" w:type="dxa"/>
            <w:vAlign w:val="bottom"/>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r>
      <w:tr>
        <w:trPr>
          <w:trHeight w:val="243"/>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17,047,242</w:t>
            </w:r>
          </w:p>
        </w:tc>
        <w:tc>
          <w:tcPr>
            <w:tcW w:w="4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10,729,675</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r>
      <w:tr>
        <w:trPr>
          <w:trHeight w:val="247"/>
        </w:trPr>
        <w:tc>
          <w:tcPr>
            <w:tcW w:w="5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(4,013,379 )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1"/>
                <w:szCs w:val="21"/>
                <w:color w:val="auto"/>
              </w:rPr>
            </w:pPr>
          </w:p>
        </w:tc>
      </w:tr>
      <w:tr>
        <w:trPr>
          <w:trHeight w:val="236"/>
        </w:trPr>
        <w:tc>
          <w:tcPr>
            <w:tcW w:w="58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2024</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23,763,538</w:t>
            </w: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$39.1 million of unrecognized compensation expense related to unvested Service-based RSUs, which is expected to be recognized over a weighted-average vesting period of approximately 1.3 years.</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If not fully vested upon grant, Service-based RSUs awarded generally vest over a period ranging from two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six months ended June 30, 2024. There were 4,257,710 unvested Performance-based RSUs with a weighted average grant date fair value of $7.76 as of both June 30, 2024 and December 31, 2023. As of June 30, 2024, there was approximately $1.4 million of unrecognized compensation expense related to unvested Performance-based RSUs, which is expected to be recognized over a weighted-average derived service period of approximately 0.1 years.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Fair Value Measured as of June 30, 2024</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121,717</w:t>
            </w:r>
          </w:p>
        </w:tc>
        <w:tc>
          <w:tcPr>
            <w:tcW w:w="66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121,717</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138,079</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138,079</w:t>
            </w: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C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122,930</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122,930</w:t>
            </w:r>
          </w:p>
        </w:tc>
        <w:tc>
          <w:tcPr>
            <w:tcW w:w="100" w:type="dxa"/>
            <w:vAlign w:val="bottom"/>
          </w:tcPr>
          <w:p>
            <w:pPr>
              <w:spacing w:after="0"/>
              <w:rPr>
                <w:sz w:val="21"/>
                <w:szCs w:val="21"/>
                <w:color w:val="auto"/>
              </w:rPr>
            </w:pPr>
          </w:p>
        </w:tc>
      </w:tr>
      <w:tr>
        <w:trPr>
          <w:trHeight w:val="272"/>
        </w:trPr>
        <w:tc>
          <w:tcPr>
            <w:tcW w:w="4700" w:type="dxa"/>
            <w:vAlign w:val="bottom"/>
            <w:shd w:val="clear" w:color="auto" w:fill="CCECFF"/>
          </w:tcPr>
          <w:p>
            <w:pPr>
              <w:spacing w:after="0"/>
              <w:rPr>
                <w:sz w:val="23"/>
                <w:szCs w:val="23"/>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260,082</w:t>
            </w:r>
          </w:p>
        </w:tc>
        <w:tc>
          <w:tcPr>
            <w:tcW w:w="66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122,930</w:t>
            </w:r>
          </w:p>
        </w:tc>
        <w:tc>
          <w:tcPr>
            <w:tcW w:w="6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383,012</w:t>
            </w:r>
          </w:p>
        </w:tc>
        <w:tc>
          <w:tcPr>
            <w:tcW w:w="100" w:type="dxa"/>
            <w:vAlign w:val="bottom"/>
            <w:shd w:val="clear" w:color="auto" w:fill="CCECFF"/>
          </w:tcPr>
          <w:p>
            <w:pPr>
              <w:spacing w:after="0"/>
              <w:rPr>
                <w:sz w:val="23"/>
                <w:szCs w:val="23"/>
                <w:color w:val="auto"/>
              </w:rPr>
            </w:pPr>
          </w:p>
        </w:tc>
      </w:tr>
      <w:tr>
        <w:trPr>
          <w:trHeight w:val="633"/>
        </w:trPr>
        <w:tc>
          <w:tcPr>
            <w:tcW w:w="470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6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60" w:type="dxa"/>
            <w:vAlign w:val="bottom"/>
            <w:tcBorders>
              <w:top w:val="single" w:sz="8" w:color="CCEC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750"/>
        </w:trPr>
        <w:tc>
          <w:tcPr>
            <w:tcW w:w="4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-925195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-908050</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-925195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-908050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-925195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-908050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6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C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r>
      <w:tr>
        <w:trPr>
          <w:trHeight w:val="272"/>
        </w:trPr>
        <w:tc>
          <w:tcPr>
            <w:tcW w:w="4700" w:type="dxa"/>
            <w:vAlign w:val="bottom"/>
            <w:shd w:val="clear" w:color="auto" w:fill="CCECFF"/>
          </w:tcPr>
          <w:p>
            <w:pPr>
              <w:spacing w:after="0"/>
              <w:rPr>
                <w:sz w:val="23"/>
                <w:szCs w:val="23"/>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6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60" w:type="dxa"/>
            <w:vAlign w:val="bottom"/>
            <w:shd w:val="clear" w:color="auto" w:fill="CCECFF"/>
          </w:tcPr>
          <w:p>
            <w:pPr>
              <w:spacing w:after="0"/>
              <w:rPr>
                <w:sz w:val="23"/>
                <w:szCs w:val="23"/>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193,136</w:t>
            </w:r>
          </w:p>
        </w:tc>
        <w:tc>
          <w:tcPr>
            <w:tcW w:w="100" w:type="dxa"/>
            <w:vAlign w:val="bottom"/>
            <w:shd w:val="clear" w:color="auto" w:fill="CCECFF"/>
          </w:tcPr>
          <w:p>
            <w:pPr>
              <w:spacing w:after="0"/>
              <w:rPr>
                <w:sz w:val="23"/>
                <w:szCs w:val="23"/>
                <w:color w:val="auto"/>
              </w:rPr>
            </w:pPr>
          </w:p>
        </w:tc>
      </w:tr>
      <w:tr>
        <w:trPr>
          <w:trHeight w:val="225"/>
        </w:trPr>
        <w:tc>
          <w:tcPr>
            <w:tcW w:w="47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C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5"/>
        </w:trPr>
        <w:tc>
          <w:tcPr>
            <w:tcW w:w="4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auto"/>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520" w:type="dxa"/>
            <w:vAlign w:val="bottom"/>
            <w:tcBorders>
              <w:bottom w:val="single" w:sz="8" w:color="auto"/>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7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-521970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-505460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-521970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-505460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-521970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-505460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which has a remaining term of approximately 3.1 years. The valuations performed by the third-party valuation firm engaged by the Company utilized pre-tax discount rates of 6.23% and 6.11% as of June 30, 2024 and December 31, 2023,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changes to the quoted forward electricity rates, as well as unobservable inputs (e.g., changes in estimated usage rates and discount rate assumptions).</w:t>
      </w:r>
    </w:p>
    <w:p>
      <w:pPr>
        <w:spacing w:after="0" w:line="1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six months ended June 30, 2024, and 2023 (in thousands):</w:t>
      </w:r>
    </w:p>
    <w:p>
      <w:pPr>
        <w:sectPr>
          <w:pgSz w:w="11900" w:h="16838" w:orient="portrait"/>
          <w:cols w:equalWidth="0" w:num="1">
            <w:col w:w="11240"/>
          </w:cols>
          <w:pgMar w:left="320" w:top="765"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66,702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6116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93,591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29,339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6116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122,930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-120650</wp:posOffset>
            </wp:positionV>
            <wp:extent cx="713232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7880" w:space="720"/>
            <w:col w:w="2640"/>
          </w:cols>
          <w:pgMar w:left="320" w:top="765" w:right="33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Note 15.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were its only liability classified within Level 3 of the fair value hierarchy because the fair value is based on significant inputs that are unobservable in the market. 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June 30, 2024.</w:t>
      </w:r>
    </w:p>
    <w:p>
      <w:pPr>
        <w:sectPr>
          <w:pgSz w:w="11900" w:h="16838" w:orient="portrait"/>
          <w:cols w:equalWidth="0" w:num="1">
            <w:col w:w="11240"/>
          </w:cols>
          <w:pgMar w:left="320" w:top="765" w:right="3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its Common Stock. The following table presents significant assumptions utilized in the valuations of the Private Placement Warrants as of the dates indicated:</w:t>
      </w:r>
    </w:p>
    <w:p>
      <w:pPr>
        <w:spacing w:after="0" w:line="192" w:lineRule="exact"/>
        <w:rPr>
          <w:sz w:val="20"/>
          <w:szCs w:val="20"/>
          <w:color w:val="auto"/>
        </w:rPr>
      </w:pPr>
    </w:p>
    <w:tbl>
      <w:tblPr>
        <w:tblLayout w:type="fixed"/>
        <w:tblInd w:w="3220" w:type="dxa"/>
        <w:tblCellMar>
          <w:top w:w="0" w:type="dxa"/>
          <w:left w:w="0" w:type="dxa"/>
          <w:bottom w:w="0" w:type="dxa"/>
          <w:right w:w="0" w:type="dxa"/>
        </w:tblCellMar>
      </w:tblPr>
      <w:tr>
        <w:trPr>
          <w:trHeight w:val="225"/>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 w:type="dxa"/>
            <w:vAlign w:val="bottom"/>
            <w:tcBorders>
              <w:top w:val="single" w:sz="8" w:color="auto"/>
            </w:tcBorders>
            <w:shd w:val="clear" w:color="auto" w:fill="CCECFF"/>
          </w:tcPr>
          <w:p>
            <w:pPr>
              <w:spacing w:after="0"/>
              <w:rPr>
                <w:sz w:val="21"/>
                <w:szCs w:val="21"/>
                <w:color w:val="auto"/>
              </w:rPr>
            </w:pPr>
          </w:p>
        </w:tc>
        <w:tc>
          <w:tcPr>
            <w:tcW w:w="1880" w:type="dxa"/>
            <w:vAlign w:val="bottom"/>
            <w:tcBorders>
              <w:top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rate</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52"/>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CFF"/>
          </w:tcPr>
          <w:p>
            <w:pPr>
              <w:spacing w:after="0"/>
              <w:rPr>
                <w:sz w:val="21"/>
                <w:szCs w:val="21"/>
                <w:color w:val="auto"/>
              </w:rPr>
            </w:pPr>
          </w:p>
        </w:tc>
        <w:tc>
          <w:tcPr>
            <w:tcW w:w="18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r>
      <w:tr>
        <w:trPr>
          <w:trHeight w:val="247"/>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1"/>
                <w:szCs w:val="21"/>
                <w:color w:val="auto"/>
              </w:rPr>
            </w:pPr>
          </w:p>
        </w:tc>
      </w:tr>
    </w:tbl>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for the six months ended June 30, 2024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140" w:type="dxa"/>
            <w:vAlign w:val="bottom"/>
            <w:tcBorders>
              <w:bottom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8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40" w:type="dxa"/>
            <w:vAlign w:val="bottom"/>
            <w:tcBorders>
              <w:top w:val="single" w:sz="8" w:color="auto"/>
              <w:bottom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an income tax expense of approximately (3.6%) and (4.9%) of loss before taxes for the three months ended June 30, 2024, and 2023 respectively. The Company recorded an income tax expense of approximately 19.8% of income before taxes for the six months ended June 30, 2024 and an income tax expense of approximately (4.0%) of loss before taxes for the six months ended June 30,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33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The Company has identified the below subsequent events that have not otherwise been reported in these condensed consolidated financial statements or the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 Amendment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10, 2024, the Company entered into the Amendment Agreement with Bitmain, which upgraded the miners the Company has the option to purchase (the “Option Miners”), and extended the call option period the Company has to exercise its purchase of the Option Miners, which may be exercised in whole or in part, in one or more transactions, from December 31, 2024 to June 30, 2025.</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purchase price for the Option Miners under the Amendment Agreement is $186.7 million. The Company paid an additional $6.2 million as a deposit in connection with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2023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2023 Form 10-K and this Quarterly Report and in other parts of this Quarterly Report.</w:t>
      </w:r>
    </w:p>
    <w:p>
      <w:pPr>
        <w:spacing w:after="0" w:line="15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Bitcoin mining is our principal revenue generating business activity.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operate four bitcoin mining data centers in Texas, including one wholly-owned and three partially-owned data centers acquired through investments in joint ventures. Our largest data center is the Odessa data center (the “Odessa Facility”), which is our wholly-owned 207 MW facility located in Odessa, Texas. We also jointly operate the Alborz data center (the “Alborz Facility”) located near Happy, Texas, Bear data center (the “Bear Facility”) and our Chief data center (the “Chief Facility”) are both located near Andrews, Texas which are partially-owned through joint ventures with WindHQ LLC (“WindHQ”). We are also developing an additional wholly-owned data center in Winkler County, TX (“Black Pearl” or the “Black Pearl Facility”) for up to 300 MW, and we expect to energize 300 MW in 2025.</w:t>
      </w:r>
    </w:p>
    <w:p>
      <w:pPr>
        <w:spacing w:after="0" w:line="14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developing our treasury management platform and entering into other arrangements, such as joint ventures, data center hosting agreements, or software licensing arrangements.</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key mission is to expand and strengthen the Bitcoin network’s critical infrastructure. As of July 31, 2024, we operated an aggregate hashrate capacity of approximately 10.6 EH/s, utilizing approximately 310 MW of electricity, of which we owned an aggregate hashrate capacity of approximately 8.7 EH/s, utilizing approximately 257 MW of electricity.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Purchases and Miner Purchase Amendments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5, 2024, we entered into a Sales and Purchase Contract (the “Canaan Agreement”) with Canaan Creative Global Pte. Ltd. (“Canaan”) to purchase 1.25 EH/s of miners to be delivered in the fourth quarter of 2024. We paid a deposit of $6.6 million in connection with the Canaan Agreement, with $9.8 million left to be paid. Additionally, the Canaan Agreement included an option to purchase 160 MW of miners which we can exercise on or before June 30, 2025. We paid a deposit of $5.3 million associated with the option.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on June 5, 2024, we entered into a Supplemental Agreement to the Future Sales and Purchase Agreement (the “Supplemental Agreement”) with Bitmain Technologies Delaware Limited (“Bitmain”), which supplements that certain Future Sales and Purchase Agreement, dated December 16, 2023 (the “Original Agreement”). The Supplemental Agreement (1) upgraded the purchase of 37,396 Antminer T21 miners to 30,364 Antminer S21 Pro miners (the “Bitmain Miners”) and (2) accelerated the delivery of the Bitmain Miners from April 2025 to September 2024 and October 2024. The purchase price for the Bitmain Miners under the Supplemental Agreement is $134.3 million.</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10, 2024, we entered into an Amendment Agreement to the Future Sales and Purchase Agreement (the “Amendment Agreement”) with Bitmain, which upgraded the miners we have the option to purchase (the “Option Miners”), and extended the call option period we have to exercise our purchase of the Option Miners, which may be exercised in whole or in part, in one or more transactions, from December 31, 2024 to June 30, 2025. The purchase price for the Option Miners under the Amendment Agreement is $186.7 million. We paid an additional $6.2 million as a deposit in connection with this amendment.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0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2023 Form 10-K. Our financial position and results of operations depend to a significant extent on those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0" w:type="dxa"/>
            <w:vAlign w:val="bottom"/>
          </w:tcPr>
          <w:p>
            <w:pPr>
              <w:spacing w:after="0"/>
              <w:rPr>
                <w:sz w:val="21"/>
                <w:szCs w:val="21"/>
                <w:color w:val="auto"/>
              </w:rPr>
            </w:pPr>
          </w:p>
        </w:tc>
        <w:tc>
          <w:tcPr>
            <w:tcW w:w="14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5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8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40" w:type="dxa"/>
            <w:vAlign w:val="bottom"/>
            <w:shd w:val="clear" w:color="auto" w:fill="CCECFF"/>
          </w:tcPr>
          <w:p>
            <w:pPr>
              <w:spacing w:after="0"/>
              <w:rPr>
                <w:sz w:val="21"/>
                <w:szCs w:val="21"/>
                <w:color w:val="auto"/>
              </w:rPr>
            </w:pP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shd w:val="clear" w:color="auto" w:fill="CCECFF"/>
          </w:tcPr>
          <w:p>
            <w:pPr>
              <w:spacing w:after="0"/>
              <w:rPr>
                <w:sz w:val="21"/>
                <w:szCs w:val="21"/>
                <w:color w:val="auto"/>
              </w:rPr>
            </w:pPr>
          </w:p>
        </w:tc>
      </w:tr>
      <w:tr>
        <w:trPr>
          <w:trHeight w:val="239"/>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20"/>
                <w:szCs w:val="20"/>
                <w:color w:val="auto"/>
              </w:rPr>
            </w:pPr>
          </w:p>
        </w:tc>
      </w:tr>
      <w:tr>
        <w:trPr>
          <w:trHeight w:val="247"/>
        </w:trPr>
        <w:tc>
          <w:tcPr>
            <w:tcW w:w="8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85,281</w:t>
            </w:r>
          </w:p>
        </w:tc>
        <w:tc>
          <w:tcPr>
            <w:tcW w:w="100" w:type="dxa"/>
            <w:vAlign w:val="bottom"/>
            <w:shd w:val="clear" w:color="auto" w:fill="CCECFF"/>
          </w:tcPr>
          <w:p>
            <w:pPr>
              <w:spacing w:after="0"/>
              <w:rPr>
                <w:sz w:val="21"/>
                <w:szCs w:val="21"/>
                <w:color w:val="auto"/>
              </w:rPr>
            </w:pPr>
          </w:p>
        </w:tc>
      </w:tr>
      <w:tr>
        <w:trPr>
          <w:trHeight w:val="239"/>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(153 )</w:t>
            </w: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(10,334 )</w:t>
            </w:r>
          </w:p>
        </w:tc>
      </w:tr>
      <w:tr>
        <w:trPr>
          <w:trHeight w:val="247"/>
        </w:trPr>
        <w:tc>
          <w:tcPr>
            <w:tcW w:w="8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CECFF"/>
          </w:tcPr>
          <w:p>
            <w:pPr>
              <w:spacing w:after="0"/>
              <w:rPr>
                <w:sz w:val="21"/>
                <w:szCs w:val="21"/>
                <w:color w:val="auto"/>
              </w:rPr>
            </w:pPr>
          </w:p>
        </w:tc>
      </w:tr>
      <w:tr>
        <w:trPr>
          <w:trHeight w:val="243"/>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100" w:type="dxa"/>
            <w:vAlign w:val="bottom"/>
          </w:tcPr>
          <w:p>
            <w:pPr>
              <w:spacing w:after="0"/>
              <w:rPr>
                <w:sz w:val="21"/>
                <w:szCs w:val="21"/>
                <w:color w:val="auto"/>
              </w:rPr>
            </w:pPr>
          </w:p>
        </w:tc>
      </w:tr>
      <w:tr>
        <w:trPr>
          <w:trHeight w:val="277"/>
        </w:trPr>
        <w:tc>
          <w:tcPr>
            <w:tcW w:w="6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60" w:type="dxa"/>
            <w:vAlign w:val="bottom"/>
            <w:tcBorders>
              <w:bottom w:val="single" w:sz="8" w:color="auto"/>
            </w:tcBorders>
            <w:shd w:val="clear" w:color="auto" w:fill="CCECFF"/>
          </w:tcPr>
          <w:p>
            <w:pPr>
              <w:spacing w:after="0"/>
              <w:rPr>
                <w:sz w:val="24"/>
                <w:szCs w:val="2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44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138,079</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9"/>
                <w:szCs w:val="19"/>
                <w:color w:val="auto"/>
              </w:rPr>
            </w:pPr>
          </w:p>
        </w:tc>
        <w:tc>
          <w:tcPr>
            <w:tcW w:w="278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48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300" w:type="dxa"/>
            <w:vAlign w:val="bottom"/>
            <w:tcBorders>
              <w:bottom w:val="single" w:sz="8" w:color="auto"/>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3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31,224</w:t>
            </w:r>
          </w:p>
        </w:tc>
        <w:tc>
          <w:tcPr>
            <w:tcW w:w="32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84,945</w:t>
            </w:r>
          </w:p>
        </w:tc>
        <w:tc>
          <w:tcPr>
            <w:tcW w:w="34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53,119</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3"/>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29,101</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00" w:type="dxa"/>
            <w:vAlign w:val="bottom"/>
            <w:shd w:val="clear" w:color="auto" w:fill="CCECFF"/>
          </w:tcPr>
          <w:p>
            <w:pPr>
              <w:spacing w:after="0"/>
              <w:rPr>
                <w:sz w:val="21"/>
                <w:szCs w:val="21"/>
                <w:color w:val="auto"/>
              </w:rPr>
            </w:pPr>
          </w:p>
        </w:tc>
      </w:tr>
      <w:tr>
        <w:trPr>
          <w:trHeight w:val="23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w:t>
            </w:r>
          </w:p>
        </w:tc>
        <w:tc>
          <w:tcPr>
            <w:tcW w:w="100" w:type="dxa"/>
            <w:vAlign w:val="bottom"/>
          </w:tcPr>
          <w:p>
            <w:pPr>
              <w:spacing w:after="0"/>
              <w:rPr>
                <w:sz w:val="20"/>
                <w:szCs w:val="20"/>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3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8,667</w:t>
            </w: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14,442</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14,150</w:t>
            </w:r>
          </w:p>
        </w:tc>
        <w:tc>
          <w:tcPr>
            <w:tcW w:w="100" w:type="dxa"/>
            <w:vAlign w:val="bottom"/>
            <w:shd w:val="clear" w:color="auto" w:fill="CCECFF"/>
          </w:tcPr>
          <w:p>
            <w:pPr>
              <w:spacing w:after="0"/>
              <w:rPr>
                <w:sz w:val="20"/>
                <w:szCs w:val="20"/>
                <w:color w:val="auto"/>
              </w:rPr>
            </w:pPr>
          </w:p>
        </w:tc>
      </w:tr>
      <w:tr>
        <w:trPr>
          <w:trHeight w:val="23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26,067</w:t>
            </w:r>
          </w:p>
        </w:tc>
        <w:tc>
          <w:tcPr>
            <w:tcW w:w="100" w:type="dxa"/>
            <w:vAlign w:val="bottom"/>
          </w:tcPr>
          <w:p>
            <w:pPr>
              <w:spacing w:after="0"/>
              <w:rPr>
                <w:sz w:val="20"/>
                <w:szCs w:val="20"/>
                <w:color w:val="auto"/>
              </w:rPr>
            </w:pP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0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(21,980 )</w:t>
            </w:r>
          </w:p>
        </w:tc>
        <w:tc>
          <w:tcPr>
            <w:tcW w:w="30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(3,222 )</w:t>
            </w:r>
          </w:p>
        </w:tc>
        <w:tc>
          <w:tcPr>
            <w:tcW w:w="28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(29,339 )</w:t>
            </w:r>
          </w:p>
        </w:tc>
        <w:tc>
          <w:tcPr>
            <w:tcW w:w="30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(8,550 )</w:t>
            </w:r>
          </w:p>
        </w:tc>
      </w:tr>
      <w:tr>
        <w:trPr>
          <w:trHeight w:val="23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3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(1,109 )</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(5,651 )</w:t>
            </w:r>
          </w:p>
        </w:tc>
        <w:tc>
          <w:tcPr>
            <w:tcW w:w="2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(2,282 )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(5,749 )</w:t>
            </w:r>
          </w:p>
        </w:tc>
      </w:tr>
      <w:tr>
        <w:trPr>
          <w:trHeight w:val="239"/>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3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(161 )</w:t>
            </w:r>
          </w:p>
        </w:tc>
        <w:tc>
          <w:tcPr>
            <w:tcW w:w="30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shd w:val="clear" w:color="auto" w:fill="CCECFF"/>
          </w:tcPr>
          <w:p>
            <w:pPr>
              <w:spacing w:after="0"/>
              <w:rPr>
                <w:sz w:val="20"/>
                <w:szCs w:val="20"/>
                <w:color w:val="auto"/>
              </w:rPr>
            </w:pPr>
          </w:p>
        </w:tc>
      </w:tr>
      <w:tr>
        <w:trPr>
          <w:trHeight w:val="23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Losses (gains) on fair value of bitcoin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(860 )</w:t>
            </w:r>
          </w:p>
        </w:tc>
        <w:tc>
          <w:tcPr>
            <w:tcW w:w="2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(24,247 )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(5,124 )</w:t>
            </w:r>
          </w:p>
        </w:tc>
      </w:tr>
      <w:tr>
        <w:trPr>
          <w:trHeight w:val="236"/>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(2,260 )</w:t>
            </w:r>
          </w:p>
        </w:tc>
      </w:tr>
      <w:tr>
        <w:trPr>
          <w:trHeight w:val="223"/>
        </w:trPr>
        <w:tc>
          <w:tcPr>
            <w:tcW w:w="482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52,979</w:t>
            </w:r>
          </w:p>
        </w:tc>
        <w:tc>
          <w:tcPr>
            <w:tcW w:w="360" w:type="dxa"/>
            <w:vAlign w:val="bottom"/>
            <w:tcBorders>
              <w:top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32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54,330</w:t>
            </w:r>
          </w:p>
        </w:tc>
        <w:tc>
          <w:tcPr>
            <w:tcW w:w="340" w:type="dxa"/>
            <w:vAlign w:val="bottom"/>
            <w:tcBorders>
              <w:top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69,329</w:t>
            </w:r>
          </w:p>
        </w:tc>
        <w:tc>
          <w:tcPr>
            <w:tcW w:w="100" w:type="dxa"/>
            <w:vAlign w:val="bottom"/>
            <w:tcBorders>
              <w:top w:val="single" w:sz="8" w:color="CCECFF"/>
            </w:tcBorders>
          </w:tcPr>
          <w:p>
            <w:pPr>
              <w:spacing w:after="0"/>
              <w:rPr>
                <w:sz w:val="19"/>
                <w:szCs w:val="19"/>
                <w:color w:val="auto"/>
              </w:rPr>
            </w:pPr>
          </w:p>
        </w:tc>
      </w:tr>
      <w:tr>
        <w:trPr>
          <w:trHeight w:val="223"/>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(16,171 )</w:t>
            </w:r>
          </w:p>
        </w:tc>
        <w:tc>
          <w:tcPr>
            <w:tcW w:w="30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(12,089 )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30,615</w:t>
            </w: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(16,210 )</w:t>
            </w:r>
          </w:p>
        </w:tc>
      </w:tr>
      <w:tr>
        <w:trPr>
          <w:trHeight w:val="216"/>
        </w:trPr>
        <w:tc>
          <w:tcPr>
            <w:tcW w:w="482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53"/>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CFF"/>
          </w:tcPr>
          <w:p>
            <w:pPr>
              <w:spacing w:after="0"/>
              <w:rPr>
                <w:sz w:val="21"/>
                <w:szCs w:val="21"/>
                <w:color w:val="auto"/>
              </w:rPr>
            </w:pPr>
          </w:p>
        </w:tc>
      </w:tr>
      <w:tr>
        <w:trPr>
          <w:trHeight w:val="220"/>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(372 )</w:t>
            </w: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(485 )</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(772 )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(886 )</w:t>
            </w:r>
          </w:p>
        </w:tc>
      </w:tr>
      <w:tr>
        <w:trPr>
          <w:trHeight w:val="253"/>
        </w:trPr>
        <w:tc>
          <w:tcPr>
            <w:tcW w:w="48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(22 )</w:t>
            </w: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r>
      <w:tr>
        <w:trPr>
          <w:trHeight w:val="226"/>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(1,231 )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3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(494 )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(856 )</w:t>
            </w:r>
          </w:p>
        </w:tc>
      </w:tr>
      <w:tr>
        <w:trPr>
          <w:trHeight w:val="20"/>
        </w:trPr>
        <w:tc>
          <w:tcPr>
            <w:tcW w:w="4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income before taxes</w:t>
            </w: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(14,763 )</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(12,583 )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(17,066 )</w:t>
            </w:r>
          </w:p>
        </w:tc>
      </w:tr>
      <w:tr>
        <w:trPr>
          <w:trHeight w:val="239"/>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00" w:type="dxa"/>
            <w:vAlign w:val="bottom"/>
            <w:shd w:val="clear" w:color="auto" w:fill="CCECFF"/>
          </w:tcPr>
          <w:p>
            <w:pPr>
              <w:spacing w:after="0"/>
              <w:rPr>
                <w:sz w:val="20"/>
                <w:szCs w:val="20"/>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(335 )</w:t>
            </w:r>
          </w:p>
        </w:tc>
        <w:tc>
          <w:tcPr>
            <w:tcW w:w="30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(31 )</w:t>
            </w:r>
          </w:p>
        </w:tc>
        <w:tc>
          <w:tcPr>
            <w:tcW w:w="280" w:type="dxa"/>
            <w:vAlign w:val="bottom"/>
            <w:shd w:val="clear" w:color="auto" w:fill="CCECFF"/>
          </w:tcPr>
          <w:p>
            <w:pPr>
              <w:spacing w:after="0"/>
              <w:rPr>
                <w:sz w:val="20"/>
                <w:szCs w:val="20"/>
                <w:color w:val="auto"/>
              </w:rPr>
            </w:pPr>
          </w:p>
        </w:tc>
        <w:tc>
          <w:tcPr>
            <w:tcW w:w="13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(721 )</w:t>
            </w:r>
          </w:p>
        </w:tc>
        <w:tc>
          <w:tcPr>
            <w:tcW w:w="30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2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(193 )</w:t>
            </w: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(584 )</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(5,371 )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(637 )</w:t>
            </w: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(528 )</w:t>
            </w:r>
          </w:p>
        </w:tc>
        <w:tc>
          <w:tcPr>
            <w:tcW w:w="30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(615 )</w:t>
            </w:r>
          </w:p>
        </w:tc>
        <w:tc>
          <w:tcPr>
            <w:tcW w:w="28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(6,092 )</w:t>
            </w: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(685 )</w:t>
            </w:r>
          </w:p>
        </w:tc>
      </w:tr>
      <w:tr>
        <w:trPr>
          <w:trHeight w:val="20"/>
        </w:trPr>
        <w:tc>
          <w:tcPr>
            <w:tcW w:w="4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(15,291 )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(13,198 )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3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(17,751 )</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-3505200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-3505200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-1996440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-1996440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-1996440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-1687830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-1687830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-1687830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-779145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-779145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-779145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-179705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-179705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-179705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June 30,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Bitcoin mining operations at our Odessa Facility mined 558 bitcoin, generating revenue of $36.8 million for the three months ended June 30, 2024, at an average price per bitcoin of approximately $65.9 thousand, compared to 1,112 bitcoin, generating revenue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068" w:gutter="0" w:footer="0" w:header="0"/>
        </w:sectPr>
      </w:pPr>
    </w:p>
    <w:bookmarkStart w:id="27" w:name="page28"/>
    <w:bookmarkEnd w:id="27"/>
    <w:p>
      <w:pPr>
        <w:ind w:right="300"/>
        <w:spacing w:after="0" w:line="282" w:lineRule="auto"/>
        <w:rPr>
          <w:sz w:val="20"/>
          <w:szCs w:val="20"/>
          <w:color w:val="auto"/>
        </w:rPr>
      </w:pPr>
      <w:r>
        <w:rPr>
          <w:rFonts w:ascii="Times New Roman" w:cs="Times New Roman" w:eastAsia="Times New Roman" w:hAnsi="Times New Roman"/>
          <w:sz w:val="18"/>
          <w:szCs w:val="18"/>
          <w:color w:val="auto"/>
        </w:rPr>
        <w:t>$31.2 million for the three months ended June 30, 2023, at an average price per bitcoin of approximately $28.1 thousand. The increase in revenue in the current period was primarily driven by the increase in bitcoin price, partially offset by impact of the halving in April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June 30, 2024 was $14.3 million, compared to $15.9 million for the three months ended June 30, 2023 and consisted primarily of power costs at the Odessa Facility as delivered under our power purchase agreement with Luminant ET Services Company LLC (the “Luminant Power Agreement”), as well as maintenance expenses for mining equipment. The decrease was primarily driven by decreased power costs at the Odessa Facility in the current year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Compensation and benefits increased to $16.3 million for the three months ended June 30, 2024 compared to $12.7 million for the three months ended June 30, 2023. The increase is primarily driven by an increase in headcount and share-based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$8.4 million for the three months ended June 30, 2024 compared to $8.7 million for the three months ended June 30, 2023. The decrease was primarily driven by a decrease on our D&amp;O insurance in the current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Depreciation and amortization for the three months ended June 30, 2024 was $20.3 million, compared to $14.4 million for the three months ended June 30, 2023. Depreciation and amortization primarily relates to miners, mining equipment and leasehold improvements at the Odessa Facility. Also included in depreciation is the amortization of our finance lease right-of-use asset for our Interconnection Electrical Facilities (as defined below) that provides power to the Odessa Facility, amortization on our intangible assets, and accretion of our estimated asset retirement obligation related to the Odessa Facility and depreciation of the associated capitalized costs. The increase in depreciation in the current period primarily relates to increased assets placed into service in late 2023 to finish the build-out at the Odessa Facility, in addition to changing the estimated useful life of our miners from five years to three years effective June 1, 2024, increasing Depreciation and amortization by $3 million per month.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change in the fair value of our derivative asset related to the Luminant Power Agreement resulted in a gain of $22.0 million during the three months ended June 30, 2024 compared to $3.2 million for the three months ended June 30, 2023. The gains in both periods were primarily due to the change in the power market forward curve over the respective periods as power prices in the futures market continue to increase, outpacing the reduction of benefit from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$1.1 million for the three months ended June 30, 2024 compared to $5.7 million for the three months ended June 30, 2023. Power sales vary each period due to changes in the opportunity cost of selling power instead of mining bitcoin.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Equity in losses of equity investees totaled approximately $0.6 million for the three months ended June 30, 2024, compared to $1.4 million for the three months ended June 30, 2023. Equity in losses of equity investees consists of our 49% share in the earnings or losses generated by our three partially-owned mining sites, and the accretion of the basis differences in our investments in the equity investees that resulted from contributions of miners during the year ended December 31, 2022. We are accreting these basis differences over the life of the miners. We recognized approximately $1.7 million for both the three months ended June 30, 2024 and June 2023, for the accretion of basis differences.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on fair value of bitcoin</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Losses on fair value of bitcoin was $16.3 million during the three months ended June 30, 2024, compared to gains of $0.9 million for the three months ended June 30, 2023. This activity primarily contains of the mark to market of our bitcoin held in inventory, and is highly correlated with bitcoin price. The loss in the current period was driven by an increase in bitcoin held in our inventory,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declining prices over the current quarter. The Company had a bitcoin inventory of 2,203 held at $62.7 thousand per bitcoin at June 30, 2024, compared to 1,730 bitcoin held at $71.3 thousand per bitcoin at March 31, 2024. In the prior year period, we held 404 bitcoin held at roughly $30.5 thousand per bitcoin at June 30, 2023, compared to 415 bitcoin held at $28.5 thousand per bitcoin at March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income totaled $1.4 million for the three months ended June 30, 2024, primarily consisting of interest income earned on Cash and cash equivalent balances held in interest bearing accounts, gains and losses on derivative trading related to managing our bitcoin treasury, and interest expense on our finance lease related to our Interconnection Electrical Facilities. Other expense for the three months ended June 30, 2023 totaled $0.5 million and consisted primarily interest expense on our finance lease related to our Interconnection Electrical Facilities.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Income tax expense totaled $0.5 million, or (3.6%) of income before taxes, and $0.6 million or (4.9%) of a loss before taxes for the three months ended June 30, 2024 and 2023, respectively, and was determined using the estimated effective tax rate for the year, adjusted for the impact of any discrete items which are accounted for in the period in which they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Six Months Ended June 30,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Bitcoin mining operations at our Odessa Facility mined 1,477 bitcoin, generating revenue of $84.9 million for the six months ended June 30, 2024, at an average price per bitcoin of approximately $57.5 thousand, compared to 2,055 bitcoin, generating revenue of $53.1 million for the six months ended June 30, 2023, at an average price per bitcoin of approximately $25.8 thousand. The increase in revenue in the current period was primarily driven by the increase in bitcoin price, partially offset by impact of the halving in April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revenue for the six months ended June 30, 2024 was $29.1 million, compared to $24.0 million for the six months ended June 30, 2023 and consisted primarily of power costs at the Odessa Facility as delivered under the Luminant Power Agreement, as well as maintenance expenses for mining equipment. The increase was primarily driven by increased maintenance expenses as a result of the Odessa Facility being fully operational. In the current period, Cost of revenue included $1.1 million of non-recurring costs to purchase parts intended to increase the efficiency of our miners.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Compensation and benefits increased to $29.3 million for the six months ended June 30, 2024 compared to $24.6 million for the six months ended June 30, 2023. The increase is primarily driven by an increase in headcount, and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consistent at $14.4 million for the six months ended June 30, 2024 compared to $14.2 million for the six months ended June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Depreciation and amortization for the six months ended June 30, 2024 was $37.5 million, compared to $26.1 million for the six months ended June 30, 2023. Depreciation and amortization primarily relates to miners, mining equipment and leasehold improvements at the Odessa Facility. Also included in depreciation is the amortization of our finance lease right-of-use asset for our Interconnection Electrical Facilities (as defined below) that provides power to the Odessa Facility, amortization on our intangible assets, and accretion of our estimated asset retirement obligation related to the Odessa Facility and depreciation of the associated capitalized costs. The increase in depreciation in the current period primarily relates to increased assets placed into service in late 2023 to finish the build-out at the Odessa Facility, in addition to changing the estimated useful life of our miners from five years to three years effective June 1, 2024, increasing Depreciation and amortization by $3 million per month.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 in the fair value of our derivative asset related to the Luminant Power Agreement resulted in a gain of $29.3 million during the six months ended June 30, 2024 compared to $8.6 million for the six months ended June 30, 2023. The gains in both periods were primarily due to the change in the power market forward curve over the respective periods as power prices in the futures market continue to increase, outpacing the reduction of benefit from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$2.3 million for the six months ended June 30, 2024 compared to $5.7 million for the six months ended June 30, 2023. Power sales vary each period due to changes in the opportunity cost of selling power instead of mining bitcoin.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(gains) losses of equity investees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Equity in gains of equity investees totaled approximately $0.2 million for the six months ended June 30, 2024, compared to Equity in losses of equity investees of $2.2 million for the six months ended June 30, 2023.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 We recognized approximately $3.3 million for the six months ended June 30, 2024 and 2023, respectively, for the accretion of basis differences.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fair value of bitcoin</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Gains on fair value of bitcoin was $24.2 million during the six months ended June 30, 2024, compared to $5.1 million for the six months ended June 30, 2023. The increase in the current period was primarily driven by an increase in bitcoin held at rising prices by the Company in the current period. We had a bitcoin inventory of 2,203 held at $62.7 thousand per bitcoin at June 30, 2024, compared to 780 bitcoin held at $42.2 thousand per bitcoin at December 31, 2023. In the prior year, we had 404 bitcoin held at roughly $30.5 thousand per bitcoin at June 30, 2023, compared to 394 bitcoin held at $16.5 thousand per bitcoin at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recognized proceeds of approximately $2.3 million during the six months ended June 30, 2023 related to the sale of transferable coupons received from Bitmain Technologies Limited, with no comparable activity for the six months ended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totaled $0.1 million for the six months ended June 30, 2024, compared to Other expense of $0.9 million in the prior period, and in both periods primarily consisted of interest income earned on Cash and cash equivalent balances held in interest bearing accounts, gains and losses on derivative trading related to managing our bitcoin treasury, and interest expense recognized related to our finance lease for the Interconnection Electrical Facilities. The increase in Other income primarily relates to cash management to generate interest income from cash held in money market accounts.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Income tax expense totaled $6.1 million, or 19.8% of income before taxes, and $0.7 million, or (4.0%) of a loss before taxes for the six months ended June 30, 2024 and 2023, respectively, and was determined using the estimated effective tax rate for the year, adjusted for the impact of any discrete items which are accounted for in the period in which they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used cash flows from operations of $52.0 million for the six months ended June 30, 2024. As of June 30, 2024, we had cash and cash equivalents of $122.6 million, total stockholders’ equity of $690.8 million and an accumulated deficit of $112.2 million. For our fiscal years prior to 2023, we relied in large part on proceeds from the consummation of our business combination with Good Works Acquisition Corp. (“GWAC”) to fund our operations. During fiscal year 2023, we funded operations through a combination of at-the-market stock issuances and bitcoin sales. During the six months ended June 30, 2024, we have not needed to sell our bitcoin inventory to support operating expenses.</w:t>
      </w:r>
    </w:p>
    <w:p>
      <w:pPr>
        <w:spacing w:after="0" w:line="1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21, 2022, we filed the Registration Statement with the SEC. In connection with the filing of the Registration Statement, we also entered into an at-the market offering agreement (the “Prior Sales Agreement”) with H.C. Wainwright &amp; Co., LLC (the “Prior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9" w:right="379" w:bottom="1440" w:gutter="0" w:footer="0" w:header="0"/>
        </w:sectPr>
      </w:pPr>
    </w:p>
    <w:bookmarkStart w:id="30" w:name="page31"/>
    <w:bookmarkEnd w:id="30"/>
    <w:p>
      <w:pPr>
        <w:ind w:right="220"/>
        <w:spacing w:after="0" w:line="266" w:lineRule="auto"/>
        <w:rPr>
          <w:sz w:val="20"/>
          <w:szCs w:val="20"/>
          <w:color w:val="auto"/>
        </w:rPr>
      </w:pPr>
      <w:r>
        <w:rPr>
          <w:rFonts w:ascii="Times New Roman" w:cs="Times New Roman" w:eastAsia="Times New Roman" w:hAnsi="Times New Roman"/>
          <w:sz w:val="18"/>
          <w:szCs w:val="18"/>
          <w:color w:val="auto"/>
        </w:rPr>
        <w:t>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Effective August 1, 2023, the Company terminated the Prior Sales Agreement.</w:t>
      </w:r>
    </w:p>
    <w:p>
      <w:pPr>
        <w:spacing w:after="0" w:line="15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August 3,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we may offer and sell pursuant to a prospectus supplement, from time to time through or to the Original Agents, shares of our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6, 2024, we entered into an amendment (the “Amendment”) to the Sales Agreement (as amended, the “Amended Sales Agreement”) by and among the Original Agents, Stifel, Nicolaus &amp; Company, Incorporated (“Stifel”) and Virtu Americas LLC (“Virtu”) (each of the Original Agents, Stifel and Virtu, an “Agent” and, together, the “Agents”). The Amendment modifies the Sales Agreement to include Stifel and Virtu as additional agents under the Amended Sales Agreement. On March 6, 2024, we also filed an amendment to the Prospectus Supplement (i) increasing the dollar amount of shares available to be sold pursuant to the Amended Sales Agreement, to $296,560,661, which consists of $96,560,661 remaining as originally authorized under the Prospectus Supplement and an additional $200,000,000, and (ii) including Stifel, Nicolaus &amp; Company, Incorporated and Virtu Americas LLC as additional Agents. For the quarter ended June 30, 2024, we received net proceeds on sales of 20.6 million shares of common stock under the the Amended Sales Agreement of approximately $95.9 million (net of commissions and expenses) at an average net selling price of $4.65.</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established a secured line of credit up to $10.0 million (the “Credit Facility”). We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June 30, 2024 we have not drawn upon the Credit Facility.</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and our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CEC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(51,988 )</w:t>
            </w:r>
          </w:p>
        </w:tc>
        <w:tc>
          <w:tcPr>
            <w:tcW w:w="740" w:type="dxa"/>
            <w:vAlign w:val="bottom"/>
            <w:shd w:val="clear" w:color="auto" w:fill="CCEC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(27,796 )</w:t>
            </w:r>
          </w:p>
        </w:tc>
      </w:tr>
      <w:tr>
        <w:trPr>
          <w:trHeight w:val="239"/>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(62,313 )</w:t>
            </w:r>
          </w:p>
        </w:tc>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100" w:type="dxa"/>
            <w:vAlign w:val="bottom"/>
          </w:tcPr>
          <w:p>
            <w:pPr>
              <w:spacing w:after="0"/>
              <w:rPr>
                <w:sz w:val="20"/>
                <w:szCs w:val="20"/>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150,753</w:t>
            </w:r>
          </w:p>
        </w:tc>
        <w:tc>
          <w:tcPr>
            <w:tcW w:w="44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(428 )</w:t>
            </w:r>
          </w:p>
        </w:tc>
      </w:tr>
      <w:tr>
        <w:trPr>
          <w:trHeight w:val="20"/>
        </w:trPr>
        <w:tc>
          <w:tcPr>
            <w:tcW w:w="686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41"/>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36,452</w:t>
            </w:r>
          </w:p>
        </w:tc>
        <w:tc>
          <w:tcPr>
            <w:tcW w:w="44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(10,186 )</w:t>
            </w:r>
          </w:p>
        </w:tc>
      </w:tr>
      <w:tr>
        <w:trPr>
          <w:trHeight w:val="20"/>
        </w:trPr>
        <w:tc>
          <w:tcPr>
            <w:tcW w:w="6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increased by $24.2 million to $52.0 million for the six months ended June 30, 2024 from $27.8 million for the six months ended June 30, 2023. We earned net income of $24.6 million for the six months ended June 30, 2024, compared to a net loss of $17.8 million for the six months ended June 30, 2023, representing an increase of $42.4 million. Cash flows from operating activities was impacted by a $57.0 million increase in non-cash items, primarily driven by a $32.4 million increase in bitcoin received as payment from our mining pool operator, $20.8 million gain on our derivative asset, and a $19.1 million increase in gains on the fair value of bitcoin. Additionally, changes in assets and liabilities resulted in a decrease in cash used of $9.5 million between the six months ended June 30,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decreased by $80.4 million to $62.3 million of net cash used in investing activities for the six months ended June 30, 2024 compared to $18.0 million of net cash provided by investing activities for the six months ended June 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ind w:right="60"/>
        <w:spacing w:after="0" w:line="289" w:lineRule="auto"/>
        <w:rPr>
          <w:sz w:val="20"/>
          <w:szCs w:val="20"/>
          <w:color w:val="auto"/>
        </w:rPr>
      </w:pPr>
      <w:r>
        <w:rPr>
          <w:rFonts w:ascii="Times New Roman" w:cs="Times New Roman" w:eastAsia="Times New Roman" w:hAnsi="Times New Roman"/>
          <w:sz w:val="17"/>
          <w:szCs w:val="17"/>
          <w:color w:val="auto"/>
        </w:rPr>
        <w:t>2023, primarily related to a $42.1 million decrease in proceeds from bitcoin sales as we increased our bitcoin inventory, $32.8 million of deposits primarily related to new miner purchases, and a $17.3 million increase in contributions to equity investees related to expansions at the Bear and Chief facilities, partially offset by a $12.8 million decrease in purchases of property and equipment which in the prior period related to building out the Odessa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flows from financing activities increased by $151.2 million to $150.8 million net cash provided by financing activities for the six months ended June 30, 2024 from $0.4 million net cash used in financing activities for the six months ended June 30, 2023, primarily driven by $160.5 million increase in proceeds from the issuance of common stock during the six months ended June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us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“Risks Factors—Risks Related to Our Business, Industry and Operations—We may need to raise additional capital, which may not be available on terms acceptable to us, or at all” in our 2023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17, 2021, we entered into a lease agreement for executive office space, with an effective term that commenced on February 1, 2022 and monthly rent payments of approximately $0.1 million. The initial lease term was for a period of five years and four months. During the second quarter of 2024, we entered into an amendment to the lease agreement commencing on May 15, 2024, to increase the leased office space and extend the term through May 2029. Monthly rent payments associated with the amended lease are approximately $0.2 million.</w:t>
      </w:r>
    </w:p>
    <w:p>
      <w:pPr>
        <w:spacing w:after="0" w:line="13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unaudited condensed consolidated balance sheet.</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ind w:right="280"/>
        <w:spacing w:after="0" w:line="282" w:lineRule="auto"/>
        <w:rPr>
          <w:sz w:val="20"/>
          <w:szCs w:val="20"/>
          <w:color w:val="auto"/>
        </w:rPr>
      </w:pPr>
      <w:r>
        <w:rPr>
          <w:rFonts w:ascii="Times New Roman" w:cs="Times New Roman" w:eastAsia="Times New Roman" w:hAnsi="Times New Roman"/>
          <w:sz w:val="18"/>
          <w:szCs w:val="18"/>
          <w:color w:val="auto"/>
        </w:rPr>
        <w:t>due over the remaining four-year period starting in July 2023. This amendment did not have a material impact on our unaudited condensed consolidated financial statements.</w:t>
      </w:r>
    </w:p>
    <w:p>
      <w:pPr>
        <w:spacing w:after="0" w:line="13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that excludes the impact of depreciation and amortization, the non-cash change in fair value of derivative asset, the non-cash change in fair value of the warrant liability, nonrecurring gains and losses, deferred income taxes, and share-based compensation expense. This supplemental financial measure is not a measurement of financial performance under accounting principles generally accepted in the United Stated (“GAAP”) and, as a result, this supplemental financial measure may not be comparable to similarly titled measures of other companies. Management uses this non-GAAP financial measure internally to help understand, manage, and evaluate our business performance and to help make operating decisions. We believe the use of this non-GAAP financial measure can also facilitate comparison of our operating results to those of our competitors.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 is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Adjusted Earnings to the most directly comparable GAAP measure for the periods indicated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9"/>
                <w:szCs w:val="19"/>
                <w:color w:val="auto"/>
              </w:rPr>
            </w:pPr>
          </w:p>
        </w:tc>
        <w:tc>
          <w:tcPr>
            <w:tcW w:w="27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(15,291 )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(13,198 )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(17,751 )</w:t>
            </w:r>
          </w:p>
        </w:tc>
      </w:tr>
      <w:tr>
        <w:trPr>
          <w:trHeight w:val="247"/>
        </w:trPr>
        <w:tc>
          <w:tcPr>
            <w:tcW w:w="48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30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(21,980 )</w:t>
            </w:r>
          </w:p>
        </w:tc>
        <w:tc>
          <w:tcPr>
            <w:tcW w:w="32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(3,222 )</w:t>
            </w:r>
          </w:p>
        </w:tc>
        <w:tc>
          <w:tcPr>
            <w:tcW w:w="30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(29,339 )</w:t>
            </w:r>
          </w:p>
        </w:tc>
        <w:tc>
          <w:tcPr>
            <w:tcW w:w="30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(8,550 )</w:t>
            </w:r>
          </w:p>
        </w:tc>
      </w:tr>
      <w:tr>
        <w:trPr>
          <w:trHeight w:val="23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Pr>
          <w:p>
            <w:pPr>
              <w:spacing w:after="0"/>
              <w:rPr>
                <w:sz w:val="20"/>
                <w:szCs w:val="20"/>
                <w:color w:val="auto"/>
              </w:rPr>
            </w:pPr>
          </w:p>
        </w:tc>
      </w:tr>
      <w:tr>
        <w:trPr>
          <w:trHeight w:val="247"/>
        </w:trPr>
        <w:tc>
          <w:tcPr>
            <w:tcW w:w="48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100" w:type="dxa"/>
            <w:vAlign w:val="bottom"/>
            <w:shd w:val="clear" w:color="auto" w:fill="CCECFF"/>
          </w:tcPr>
          <w:p>
            <w:pPr>
              <w:spacing w:after="0"/>
              <w:rPr>
                <w:sz w:val="21"/>
                <w:szCs w:val="21"/>
                <w:color w:val="auto"/>
              </w:rPr>
            </w:pPr>
          </w:p>
        </w:tc>
      </w:tr>
      <w:tr>
        <w:trPr>
          <w:trHeight w:val="23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r>
      <w:tr>
        <w:trPr>
          <w:trHeight w:val="247"/>
        </w:trPr>
        <w:tc>
          <w:tcPr>
            <w:tcW w:w="48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(2,260 )</w:t>
            </w:r>
          </w:p>
        </w:tc>
      </w:tr>
      <w:tr>
        <w:trPr>
          <w:trHeight w:val="239"/>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48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Adjusted (loss) earnings</w:t>
            </w:r>
          </w:p>
        </w:tc>
        <w:tc>
          <w:tcPr>
            <w:tcW w:w="300" w:type="dxa"/>
            <w:vAlign w:val="bottom"/>
            <w:shd w:val="clear" w:color="auto" w:fill="CCECFF"/>
          </w:tcPr>
          <w:p>
            <w:pPr>
              <w:spacing w:after="0"/>
              <w:rPr>
                <w:sz w:val="22"/>
                <w:szCs w:val="22"/>
                <w:color w:val="auto"/>
              </w:rPr>
            </w:pPr>
          </w:p>
        </w:tc>
        <w:tc>
          <w:tcPr>
            <w:tcW w:w="14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(3,491 )</w:t>
            </w: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3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34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CFF"/>
          </w:tcPr>
          <w:p>
            <w:pPr>
              <w:spacing w:after="0"/>
              <w:rPr>
                <w:sz w:val="22"/>
                <w:szCs w:val="22"/>
                <w:color w:val="auto"/>
              </w:rPr>
            </w:pPr>
          </w:p>
        </w:tc>
      </w:tr>
      <w:tr>
        <w:trPr>
          <w:trHeight w:val="20"/>
        </w:trPr>
        <w:tc>
          <w:tcPr>
            <w:tcW w:w="482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2023 Form 10-K. You should read the accompanying unaudited condensed consolidated financial statements in conjunction with our audited consolidated financial statements and accompanying notes in our 2023 Form 10-K. There have been no material changes in the information disclosed in the notes to our audited consolidated financial statements included in our 2023 Form 10-K, except the change in estimated useful life of our miners from five years to three years, as described in Note 5. Property and Equipment of Item 1. Financial Statements in this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last business day of the second quarter in 2024, the aggregate market value of our shares of common stock held by non-affiliate stockholders exceeded $700 million. As a result, as of December 31, 2024, we will be considered a “large accelerated filer” as defined in Rule 12b-2 under the Exchange Act, and will cease to be an emerging growth company. Due to loss of emerging growth company status, we will no longer be exempt from the auditor attestation requirements of Section 404(b) of the Sarbanes-Oxley Act, and our independent registered public accounting firm will evaluate and report on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June 30, 2024,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June 30,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2023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Since the material weakness was identified, management has been implementing and continues to implement measures designed to ensure that control deficiencies contributing to the material weakness are remediated, such that these controls are designed, implemented, and operating effectively. Our plan includes the following:</w:t>
      </w:r>
    </w:p>
    <w:p>
      <w:pPr>
        <w:spacing w:after="0" w:line="291" w:lineRule="exact"/>
        <w:rPr>
          <w:sz w:val="20"/>
          <w:szCs w:val="20"/>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2024 in key financial reporting and information technology areas, including hiring additional employees.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that are complete and accurate.</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2023 Form 10-K, which is incorporated herein by reference. There have been no material changes to the risk factors previously disclosed in our 2023 Form 10-K, except for the risk factor noted below.</w:t>
      </w:r>
    </w:p>
    <w:p>
      <w:pPr>
        <w:spacing w:after="0" w:line="13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no longer qualify as an “emerging growth company” or a "smaller reporting company" as of December 31, 2024 and, as a result, we will no longer be able to avail ourselves of certain reduced reporting requirements applicable to emerging growth companies or smaller reporting companies, subject to applicable transition relief.</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and we have taken advantage of certain exemptions from various reporting requirements that are applicable to other public companies that are not “emerging growth companies,” including the auditor attestation requirements of Section 404, compliance with requirements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Because the market value of our common stock held by non-affiliates exceeded $700 million as of June 30, 2024, we will be deemed a large accelerated filer under the Exchange Act and will lose our status as an “emerging growth company” as of December 31, 2024. As a result, subject to certain grace periods, we will be required to:</w:t>
      </w:r>
    </w:p>
    <w:p>
      <w:pPr>
        <w:spacing w:after="0" w:line="68" w:lineRule="exact"/>
        <w:rPr>
          <w:sz w:val="20"/>
          <w:szCs w:val="20"/>
          <w:color w:val="auto"/>
        </w:rPr>
      </w:pPr>
    </w:p>
    <w:p>
      <w:pPr>
        <w:ind w:left="1020" w:right="3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registered public accounting firm to provide an attestation report on our internal controls over financial reporting pursuant to Section 404(b) of the Sarbanes-Oxley Act of 2002;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stockholder advisory votes;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our loss of “emerging growth company” status, it is possible that investors will find our common stock less attractive in light of the fact that we have relied on certain of these exemptions. If some investors find our common stock less attractive as a result, there may be a less active trading market for our common stock and our share price may be more volatile. In addition, any failure to comply with these additional requirements in a timely manner, or at all, could have an adverse effect on our business and results of operations and could cause a decline in the price of our common stock.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right="6300" w:hanging="752"/>
        <w:spacing w:after="0" w:line="532"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54" w:lineRule="exact"/>
        <w:rPr>
          <w:rFonts w:ascii="Times New Roman" w:cs="Times New Roman" w:eastAsia="Times New Roman" w:hAnsi="Times New Roman"/>
          <w:sz w:val="18"/>
          <w:szCs w:val="18"/>
          <w:color w:val="auto"/>
        </w:rPr>
      </w:pPr>
    </w:p>
    <w:p>
      <w:pPr>
        <w:ind w:left="760" w:right="2760" w:hanging="752"/>
        <w:spacing w:after="0" w:line="375"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1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June 30, 2024, certain of our officers and directors adopted a pre-arranged stock trading plan intended to satisfy the affirmative defense of Rule 10b5-1(c) under the Securities Exchange Act of 1934, as amended (each such plan, a “Rule 10b5-1 Plan”), as described below. On May 21, 2024, Tyler Page, Chief Executive Officer and Director, adopted a Rule 10b5-1 Plan that is intended to satisfy the affirmative defense of Rule 10b5-1(c) for the sale of up to 900,000 shares of our common stock until November 29, 2024. On May 17, 2024, Patrick Kelly, Co-President and Chief Operating Officer, adopted a Rule 10b5-1 Plan that is intended to satisfy the affirmative defense of Rule 10b5-1(c) for the sale of up to 428,078 shares of our common stock until May 16, 2025. On June 11, 2024, William Iwaschuk, Co-President, Chief Legal Officer and Corporate Secretary, adopted a Rule 10b5-1 Plan that is intended to satisfy the affirmative defense of Rule 10b5-1(c) for the sale of up to 323,694 shares of our common stock until June 10, 2025. No other directors or “officers” (as defined in Section 16a-1(f) of the Securities Exchange Act of 1934, as amended) adopted, terminated, or modified a “Rule 10b5-1 trading arrangement” or a “non-Rule 10b5-1 trading arrangement,” as each term is defined in Item 408(a) of Regulation S-K, during the three months ended June 30,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6"/>
                <w:szCs w:val="16"/>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8"/>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82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Agreement and Plan of Merger, dated as of March 4, 2021, by and among</w:t>
              </w:r>
            </w:hyperlink>
          </w:p>
        </w:tc>
        <w:tc>
          <w:tcPr>
            <w:tcW w:w="300" w:type="dxa"/>
            <w:vAlign w:val="bottom"/>
            <w:gridSpan w:val="6"/>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Good Works Acquisition Corp., Currency Merger Sub, Inc. and Cipher</w:t>
              </w:r>
            </w:hyperlink>
          </w:p>
        </w:tc>
        <w:tc>
          <w:tcPr>
            <w:tcW w:w="48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Mining Technologies Inc.</w:t>
              </w:r>
            </w:hyperlink>
          </w:p>
        </w:tc>
        <w:tc>
          <w:tcPr>
            <w:tcW w:w="342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5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Second Amended and Restated Certificate of Incorporation of Cipher</w:t>
              </w:r>
            </w:hyperlink>
          </w:p>
        </w:tc>
        <w:tc>
          <w:tcPr>
            <w:tcW w:w="580" w:type="dxa"/>
            <w:vAlign w:val="bottom"/>
            <w:gridSpan w:val="9"/>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3"/>
          </w:tcPr>
          <w:p>
            <w:pPr>
              <w:spacing w:after="0" w:line="183"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Mining Inc.</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5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Amended and Restated Bylaws of Cipher Mining Inc.</w:t>
              </w:r>
            </w:hyperlink>
          </w:p>
        </w:tc>
        <w:tc>
          <w:tcPr>
            <w:tcW w:w="20" w:type="dxa"/>
            <w:vAlign w:val="bottom"/>
            <w:tcBorders>
              <w:bottom w:val="single" w:sz="8" w:color="0000EE"/>
            </w:tcBorders>
          </w:tcPr>
          <w:p>
            <w:pPr>
              <w:spacing w:after="0"/>
              <w:rPr>
                <w:sz w:val="18"/>
                <w:szCs w:val="18"/>
                <w:color w:val="auto"/>
              </w:rPr>
            </w:pPr>
          </w:p>
        </w:tc>
        <w:tc>
          <w:tcPr>
            <w:tcW w:w="1600" w:type="dxa"/>
            <w:vAlign w:val="bottom"/>
            <w:gridSpan w:val="15"/>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40" w:type="dxa"/>
            <w:vAlign w:val="bottom"/>
            <w:gridSpan w:val="11"/>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Warrant Agreement, dated as of October 19, 2020, by and between</w:t>
              </w:r>
            </w:hyperlink>
          </w:p>
        </w:tc>
        <w:tc>
          <w:tcPr>
            <w:tcW w:w="760" w:type="dxa"/>
            <w:vAlign w:val="bottom"/>
            <w:gridSpan w:val="10"/>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4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Continental Stock Transfer &amp; Trust Company and Good Works Acquisition</w:t>
              </w:r>
            </w:hyperlink>
          </w:p>
        </w:tc>
        <w:tc>
          <w:tcPr>
            <w:tcW w:w="1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Corp.</w:t>
              </w:r>
            </w:hyperlink>
          </w:p>
        </w:tc>
        <w:tc>
          <w:tcPr>
            <w:tcW w:w="4720" w:type="dxa"/>
            <w:vAlign w:val="bottom"/>
            <w:gridSpan w:val="2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Amended and Restated Non-Employee Directors Compensation Policy</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4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Supplemental Agreement to the Future Sales and Purchase Agreement,</w:t>
            </w:r>
          </w:p>
        </w:tc>
        <w:tc>
          <w:tcPr>
            <w:tcW w:w="48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Borders>
              <w:bottom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dated June 5, 2024, by and between Cipher Mining Infrastructure LLC and</w:t>
            </w:r>
          </w:p>
        </w:tc>
        <w:tc>
          <w:tcPr>
            <w:tcW w:w="22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Bitmain Technologies Delaware Limited</w:t>
            </w:r>
          </w:p>
        </w:tc>
        <w:tc>
          <w:tcPr>
            <w:tcW w:w="20" w:type="dxa"/>
            <w:vAlign w:val="bottom"/>
            <w:tcBorders>
              <w:bottom w:val="single" w:sz="8" w:color="0000EE"/>
            </w:tcBorders>
          </w:tcPr>
          <w:p>
            <w:pPr>
              <w:spacing w:after="0"/>
              <w:rPr>
                <w:sz w:val="15"/>
                <w:szCs w:val="15"/>
                <w:color w:val="auto"/>
              </w:rPr>
            </w:pPr>
          </w:p>
        </w:tc>
        <w:tc>
          <w:tcPr>
            <w:tcW w:w="246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4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Amendment Agreement to the Future Sales and Purchase Agreement, dated</w:t>
            </w:r>
          </w:p>
        </w:tc>
        <w:tc>
          <w:tcPr>
            <w:tcW w:w="1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tcBorders>
              <w:bottom w:val="single" w:sz="8" w:color="0000FF"/>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July 10, 2024, by and between Cipher Mining Infrastructure LLC and</w:t>
            </w:r>
          </w:p>
        </w:tc>
        <w:tc>
          <w:tcPr>
            <w:tcW w:w="5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Bitmain Technologies Delaware Limited</w:t>
            </w:r>
          </w:p>
        </w:tc>
        <w:tc>
          <w:tcPr>
            <w:tcW w:w="20" w:type="dxa"/>
            <w:vAlign w:val="bottom"/>
            <w:tcBorders>
              <w:bottom w:val="single" w:sz="8" w:color="0000EE"/>
            </w:tcBorders>
          </w:tcPr>
          <w:p>
            <w:pPr>
              <w:spacing w:after="0"/>
              <w:rPr>
                <w:sz w:val="15"/>
                <w:szCs w:val="15"/>
                <w:color w:val="auto"/>
              </w:rPr>
            </w:pPr>
          </w:p>
        </w:tc>
        <w:tc>
          <w:tcPr>
            <w:tcW w:w="246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80" w:type="dxa"/>
            <w:vAlign w:val="bottom"/>
            <w:tcBorders>
              <w:top w:val="single" w:sz="8" w:color="0000FF"/>
            </w:tcBorders>
            <w:gridSpan w:val="7"/>
          </w:tcPr>
          <w:p>
            <w:pPr>
              <w:spacing w:after="0"/>
              <w:rPr>
                <w:sz w:val="15"/>
                <w:szCs w:val="15"/>
                <w:color w:val="auto"/>
              </w:rPr>
            </w:pPr>
          </w:p>
        </w:tc>
        <w:tc>
          <w:tcPr>
            <w:tcW w:w="1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6"/>
          </w:tcPr>
          <w:p>
            <w:pPr>
              <w:spacing w:after="0"/>
              <w:rPr>
                <w:sz w:val="15"/>
                <w:szCs w:val="15"/>
                <w:color w:val="auto"/>
              </w:rPr>
            </w:pPr>
          </w:p>
        </w:tc>
        <w:tc>
          <w:tcPr>
            <w:tcW w:w="122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8"/>
                <w:szCs w:val="18"/>
                <w:color w:val="auto"/>
              </w:rPr>
            </w:pPr>
          </w:p>
        </w:tc>
        <w:tc>
          <w:tcPr>
            <w:tcW w:w="49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0"/>
                <w:szCs w:val="20"/>
                <w:color w:val="auto"/>
              </w:rPr>
            </w:pPr>
          </w:p>
        </w:tc>
        <w:tc>
          <w:tcPr>
            <w:tcW w:w="49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200" w:type="dxa"/>
            <w:vAlign w:val="bottom"/>
            <w:gridSpan w:val="4"/>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9512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right="160" w:firstLine="8"/>
        <w:spacing w:after="0" w:line="260" w:lineRule="auto"/>
        <w:tabs>
          <w:tab w:leader="none" w:pos="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9" w:name="page40"/>
    <w:bookmarkEnd w:id="3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52" w:lineRule="exact"/>
        <w:rPr>
          <w:sz w:val="20"/>
          <w:szCs w:val="20"/>
          <w:color w:val="auto"/>
        </w:rPr>
      </w:pPr>
    </w:p>
    <w:p>
      <w:pPr>
        <w:ind w:left="20"/>
        <w:spacing w:after="0"/>
        <w:tabs>
          <w:tab w:leader="none" w:pos="4920" w:val="left"/>
          <w:tab w:leader="none" w:pos="778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26035</wp:posOffset>
            </wp:positionV>
            <wp:extent cx="37376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4920" w:val="left"/>
          <w:tab w:leader="none" w:pos="762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36"/>
          <w:szCs w:val="36"/>
          <w:color w:val="auto"/>
          <w:vertAlign w:val="superscript"/>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-8890</wp:posOffset>
            </wp:positionV>
            <wp:extent cx="37376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7"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0" w:name="page41"/>
    <w:bookmarkEnd w:id="40"/>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IPHER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3"/>
          <w:szCs w:val="13"/>
          <w:b w:val="1"/>
          <w:bCs w:val="1"/>
          <w:color w:val="auto"/>
        </w:rPr>
        <w:t>INING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Amended and Restated Effective May 2, 2024)</w:t>
      </w:r>
    </w:p>
    <w:p>
      <w:pPr>
        <w:spacing w:after="0" w:line="1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Non-employee members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Cipher Mining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be eligible to receive cash and equity compensation as set forth in this Amended and Restated Non-Employee Directors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89" w:lineRule="exact"/>
        <w:rPr>
          <w:sz w:val="20"/>
          <w:szCs w:val="20"/>
          <w:color w:val="auto"/>
        </w:rPr>
      </w:pPr>
    </w:p>
    <w:p>
      <w:pPr>
        <w:ind w:left="700" w:hanging="183"/>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 Each Non-Employee Director shall receive an annual retainer of $150,000 for service on the Board.</w:t>
      </w:r>
    </w:p>
    <w:p>
      <w:pPr>
        <w:spacing w:after="0" w:line="117"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Annual Retainers</w:t>
      </w:r>
      <w:r>
        <w:rPr>
          <w:rFonts w:ascii="Times New Roman" w:cs="Times New Roman" w:eastAsia="Times New Roman" w:hAnsi="Times New Roman"/>
          <w:sz w:val="18"/>
          <w:szCs w:val="18"/>
          <w:color w:val="auto"/>
        </w:rPr>
        <w:t>. In addition, a Non-Employee Director shall receive the following annual retainers:</w:t>
      </w:r>
    </w:p>
    <w:p>
      <w:pPr>
        <w:spacing w:after="0" w:line="117" w:lineRule="exact"/>
        <w:rPr>
          <w:rFonts w:ascii="Times New Roman" w:cs="Times New Roman" w:eastAsia="Times New Roman" w:hAnsi="Times New Roman"/>
          <w:sz w:val="18"/>
          <w:szCs w:val="18"/>
          <w:color w:val="auto"/>
        </w:rPr>
      </w:pPr>
    </w:p>
    <w:p>
      <w:pPr>
        <w:ind w:firstLine="1663"/>
        <w:spacing w:after="0" w:line="282" w:lineRule="auto"/>
        <w:tabs>
          <w:tab w:leader="none" w:pos="187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A Non-Employee Director serving as Lead Independent Director shall receive an additional annual retainer of $75,000 for such service.</w:t>
      </w:r>
    </w:p>
    <w:p>
      <w:pPr>
        <w:spacing w:after="0" w:line="53" w:lineRule="exact"/>
        <w:rPr>
          <w:rFonts w:ascii="Times New Roman" w:cs="Times New Roman" w:eastAsia="Times New Roman" w:hAnsi="Times New Roman"/>
          <w:sz w:val="18"/>
          <w:szCs w:val="18"/>
          <w:color w:val="auto"/>
        </w:rPr>
      </w:pPr>
    </w:p>
    <w:p>
      <w:pPr>
        <w:jc w:val="both"/>
        <w:ind w:firstLine="1663"/>
        <w:spacing w:after="0" w:line="266" w:lineRule="auto"/>
        <w:tabs>
          <w:tab w:leader="none" w:pos="19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 Non-Employee Director serving as Chairperson of the Audit Committee shall receive an additional annual retainer of $25,000 for such service. A Non-Employee Director serving as a member of the Audit Committee (other than the Chairperson of the Audit Committee) shall receive an additional annual retainer of $12,500 for such service.</w:t>
      </w:r>
    </w:p>
    <w:p>
      <w:pPr>
        <w:spacing w:after="0" w:line="67" w:lineRule="exact"/>
        <w:rPr>
          <w:rFonts w:ascii="Times New Roman" w:cs="Times New Roman" w:eastAsia="Times New Roman" w:hAnsi="Times New Roman"/>
          <w:sz w:val="18"/>
          <w:szCs w:val="18"/>
          <w:color w:val="auto"/>
        </w:rPr>
      </w:pPr>
    </w:p>
    <w:p>
      <w:pPr>
        <w:jc w:val="both"/>
        <w:ind w:firstLine="1663"/>
        <w:spacing w:after="0" w:line="266" w:lineRule="auto"/>
        <w:tabs>
          <w:tab w:leader="none" w:pos="197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 Non-Employee Director serving as Chairperson of the Compensation Committee shall receive an additional annual retainer of $25,000 for such service. A Non-Employee Director serving as a member of the Compensation Committee (other than the Chairperson of the Compensation Committee) shall receive an additional annual retainer of $12,500 for such service.</w:t>
      </w:r>
    </w:p>
    <w:p>
      <w:pPr>
        <w:spacing w:after="0" w:line="67" w:lineRule="exact"/>
        <w:rPr>
          <w:rFonts w:ascii="Times New Roman" w:cs="Times New Roman" w:eastAsia="Times New Roman" w:hAnsi="Times New Roman"/>
          <w:sz w:val="18"/>
          <w:szCs w:val="18"/>
          <w:color w:val="auto"/>
        </w:rPr>
      </w:pPr>
    </w:p>
    <w:p>
      <w:pPr>
        <w:jc w:val="both"/>
        <w:ind w:right="20" w:firstLine="1663"/>
        <w:spacing w:after="0" w:line="261" w:lineRule="auto"/>
        <w:tabs>
          <w:tab w:leader="none" w:pos="197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Nominating and Corporate Governance Committee</w:t>
      </w:r>
      <w:r>
        <w:rPr>
          <w:rFonts w:ascii="Times New Roman" w:cs="Times New Roman" w:eastAsia="Times New Roman" w:hAnsi="Times New Roman"/>
          <w:sz w:val="18"/>
          <w:szCs w:val="18"/>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of the Nominating and Corporate Governance Committee) shall receive an additional annual retainer of $10,000 for such service.</w:t>
      </w:r>
    </w:p>
    <w:p>
      <w:pPr>
        <w:spacing w:after="0" w:line="112" w:lineRule="exact"/>
        <w:rPr>
          <w:rFonts w:ascii="Times New Roman" w:cs="Times New Roman" w:eastAsia="Times New Roman" w:hAnsi="Times New Roman"/>
          <w:sz w:val="18"/>
          <w:szCs w:val="18"/>
          <w:color w:val="auto"/>
        </w:rPr>
      </w:pPr>
    </w:p>
    <w:p>
      <w:pPr>
        <w:jc w:val="both"/>
        <w:ind w:firstLine="1154"/>
        <w:spacing w:after="0" w:line="255" w:lineRule="auto"/>
        <w:tabs>
          <w:tab w:leader="none" w:pos="13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Retainers</w:t>
      </w:r>
      <w:r>
        <w:rPr>
          <w:rFonts w:ascii="Times New Roman" w:cs="Times New Roman" w:eastAsia="Times New Roman" w:hAnsi="Times New Roman"/>
          <w:sz w:val="18"/>
          <w:szCs w:val="18"/>
          <w:color w:val="auto"/>
        </w:rPr>
        <w:t>. The annual retainers described in Sections 1(a) and 1(b) shall be earned on a quarterly basis based on a calendar quarter and shall be paid by the Company in arrears on a quarterly prorated portion basis (where applicable)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annual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described in Section 1(b) during the applicable calendar quarter and the denominator of which is the number of days in the applicable calendar quarter.</w:t>
      </w:r>
    </w:p>
    <w:p>
      <w:pPr>
        <w:spacing w:after="0" w:line="225" w:lineRule="exact"/>
        <w:rPr>
          <w:sz w:val="20"/>
          <w:szCs w:val="20"/>
          <w:color w:val="auto"/>
        </w:rPr>
      </w:pPr>
    </w:p>
    <w:p>
      <w:pPr>
        <w:jc w:val="both"/>
        <w:ind w:firstLine="517"/>
        <w:spacing w:after="0" w:line="258" w:lineRule="auto"/>
        <w:tabs>
          <w:tab w:leader="none" w:pos="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Non-Employee Directors shall be granted the equity awards described below. The awards described below shall be granted in the form of fully vested shares of Company common stock (par value $0.001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under and shall be subject to the terms and provisions of the Company’s 2021 Incentive Award Plan or any other applicable Company equity incentive plan then maintained by the Company (such plan, as may be amended from time to time,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All applicable terms of the Equity Plan apply to this Policy as if fully set forth herein, and all equity grants hereunder are subject in all respects to the terms of the Equity Plan.</w:t>
      </w:r>
    </w:p>
    <w:p>
      <w:pPr>
        <w:spacing w:after="0" w:line="179" w:lineRule="exact"/>
        <w:rPr>
          <w:rFonts w:ascii="Times New Roman" w:cs="Times New Roman" w:eastAsia="Times New Roman" w:hAnsi="Times New Roman"/>
          <w:sz w:val="18"/>
          <w:szCs w:val="18"/>
          <w:color w:val="auto"/>
        </w:rPr>
      </w:pPr>
    </w:p>
    <w:p>
      <w:pPr>
        <w:jc w:val="both"/>
        <w:ind w:firstLine="1154"/>
        <w:spacing w:after="0" w:line="255" w:lineRule="auto"/>
        <w:tabs>
          <w:tab w:leader="none" w:pos="14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 Subject to the approval of the Board or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each Non-Employee Director who is elected to the Board on the date of an annual meeting of the Company’s stockholders (each,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xml:space="preserve">”) and who serves on the Board as of the </w:t>
      </w:r>
      <w:r>
        <w:rPr>
          <w:rFonts w:ascii="Times New Roman" w:cs="Times New Roman" w:eastAsia="Times New Roman" w:hAnsi="Times New Roman"/>
          <w:sz w:val="18"/>
          <w:szCs w:val="18"/>
          <w:b w:val="1"/>
          <w:bCs w:val="1"/>
          <w:i w:val="1"/>
          <w:iCs w:val="1"/>
          <w:color w:val="auto"/>
        </w:rPr>
        <w:t>Grant Dates</w:t>
      </w:r>
      <w:r>
        <w:rPr>
          <w:rFonts w:ascii="Times New Roman" w:cs="Times New Roman" w:eastAsia="Times New Roman" w:hAnsi="Times New Roman"/>
          <w:sz w:val="18"/>
          <w:szCs w:val="18"/>
          <w:color w:val="auto"/>
        </w:rPr>
        <w:t xml:space="preserve"> (as defined below) shall receive, for each one (1) year period commencing on the date of the 2024 Annual Meeting, an annual award of fully vested shares of Common Stock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having a value of $200,000. Each Annual Award shall be granted on a date following the meeting as approved by the Board or the Committee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subject to the relevant Grantee’s continued service on the applicable Grant Date. The number of shares of Common Stock granted on each Grant Date shall be determined by dividing $200,000 by the average of the closing sales price for such Common Stock as quoted on the Nasdaq on each of the seven trading days immediately preceding the applicable Grant Date. For the purposes of this Policy, a “trading day” is a day on which national stock exchanges are open for trading.</w:t>
      </w:r>
    </w:p>
    <w:p>
      <w:pPr>
        <w:spacing w:after="0" w:line="188" w:lineRule="exact"/>
        <w:rPr>
          <w:rFonts w:ascii="Times New Roman" w:cs="Times New Roman" w:eastAsia="Times New Roman" w:hAnsi="Times New Roman"/>
          <w:sz w:val="18"/>
          <w:szCs w:val="18"/>
          <w:color w:val="auto"/>
        </w:rPr>
      </w:pPr>
    </w:p>
    <w:p>
      <w:pPr>
        <w:jc w:val="both"/>
        <w:ind w:firstLine="1154"/>
        <w:spacing w:after="0" w:line="253" w:lineRule="auto"/>
        <w:tabs>
          <w:tab w:leader="none" w:pos="142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Awards</w:t>
      </w:r>
      <w:r>
        <w:rPr>
          <w:rFonts w:ascii="Times New Roman" w:cs="Times New Roman" w:eastAsia="Times New Roman" w:hAnsi="Times New Roman"/>
          <w:sz w:val="18"/>
          <w:szCs w:val="18"/>
          <w:color w:val="auto"/>
        </w:rPr>
        <w:t>. Subject to the approval of the Board or the Committee, each Non-Employee Director who is initially elected or appointed to the Board on any date other than the date of an Annual Meeting (the day of such initial election or appointment, the Non-Employee Director’s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shall receive, on a date following the Non-Employee Director’s Start Date as approved by the Board or the Committee (such Non-Employee Director’s “</w:t>
      </w:r>
      <w:r>
        <w:rPr>
          <w:rFonts w:ascii="Times New Roman" w:cs="Times New Roman" w:eastAsia="Times New Roman" w:hAnsi="Times New Roman"/>
          <w:sz w:val="18"/>
          <w:szCs w:val="18"/>
          <w:b w:val="1"/>
          <w:bCs w:val="1"/>
          <w:color w:val="auto"/>
        </w:rPr>
        <w:t>Initial Grant Date</w:t>
      </w:r>
      <w:r>
        <w:rPr>
          <w:rFonts w:ascii="Times New Roman" w:cs="Times New Roman" w:eastAsia="Times New Roman" w:hAnsi="Times New Roman"/>
          <w:sz w:val="18"/>
          <w:szCs w:val="18"/>
          <w:color w:val="auto"/>
        </w:rPr>
        <w:t>”), an award of vested shares of Common Stock having a value equal to the product of (i) $200,000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The number of shares of Common Stock granted on the Non-Employee Director’s Initial Grant Date shall be determined by dividing the value determined in accordance with the immediately preceding sentence by the average of the closing sales price for such Common Stock as quoted on the Nasdaq on each of the seven trading days immediately preceding the Initial Grant Date. The award made on the Non-Employee Director’s Initial Grant Date shall be referred to as an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the avoidance of doubt, no Non-Employee Director shall be granted more than one Initial Award.</w:t>
      </w:r>
    </w:p>
    <w:p>
      <w:pPr>
        <w:spacing w:after="0" w:line="194" w:lineRule="exact"/>
        <w:rPr>
          <w:rFonts w:ascii="Times New Roman" w:cs="Times New Roman" w:eastAsia="Times New Roman" w:hAnsi="Times New Roman"/>
          <w:sz w:val="18"/>
          <w:szCs w:val="18"/>
          <w:color w:val="auto"/>
        </w:rPr>
      </w:pPr>
    </w:p>
    <w:p>
      <w:pPr>
        <w:jc w:val="both"/>
        <w:ind w:firstLine="1154"/>
        <w:spacing w:after="0" w:line="258" w:lineRule="auto"/>
        <w:tabs>
          <w:tab w:leader="none" w:pos="14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of Employee Directors</w:t>
      </w:r>
      <w:r>
        <w:rPr>
          <w:rFonts w:ascii="Times New Roman" w:cs="Times New Roman" w:eastAsia="Times New Roman" w:hAnsi="Times New Roman"/>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 on each applicable Grant Date.</w:t>
      </w:r>
    </w:p>
    <w:p>
      <w:pPr>
        <w:spacing w:after="0" w:line="183" w:lineRule="exact"/>
        <w:rPr>
          <w:rFonts w:ascii="Times New Roman" w:cs="Times New Roman" w:eastAsia="Times New Roman" w:hAnsi="Times New Roman"/>
          <w:sz w:val="18"/>
          <w:szCs w:val="18"/>
          <w:color w:val="auto"/>
        </w:rPr>
      </w:pPr>
    </w:p>
    <w:p>
      <w:pPr>
        <w:jc w:val="both"/>
        <w:ind w:firstLine="517"/>
        <w:spacing w:after="0" w:line="255" w:lineRule="auto"/>
        <w:tabs>
          <w:tab w:leader="none" w:pos="7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will reimburse each Non-Employee Director for ordinary, necessary and reasonable out-of-pocket travel expenses to cover in-person attendance at and participation in Board meetings and meetings of any committee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follows the taxable year in which the expense was incurred; and (iii) the right to any reimbursement may not be subject to liquidation or exchange for another benefit.</w:t>
      </w:r>
    </w:p>
    <w:p>
      <w:pPr>
        <w:spacing w:after="0" w:line="162" w:lineRule="exact"/>
        <w:rPr>
          <w:sz w:val="20"/>
          <w:szCs w:val="20"/>
          <w:color w:val="auto"/>
        </w:rPr>
      </w:pPr>
    </w:p>
    <w:p>
      <w:pPr>
        <w:jc w:val="both"/>
        <w:ind w:firstLine="368"/>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In the event any time period or any date provided in this Policy ends or falls on a day other than a Business Day, such date shall be deemed to fall on the next succeeding Business Day, and performance herein may be made on such Business Day, with the same force and effect as if made on such other day. “Business Day” means any calendar day that is not a Saturday, a Sunday, or a day on which commercial banks in New York, New York are authorized or required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1527175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17090" cy="283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2117090" cy="28321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Certain information marked as [****] has been excluded from this exhibit because it is both (i) not material and (ii) is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type that the Registrant treats as private or confidential.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June 5</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 2024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(“BITMAIN”)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line="451" w:lineRule="auto"/>
        <w:rPr>
          <w:sz w:val="20"/>
          <w:szCs w:val="20"/>
          <w:color w:val="auto"/>
        </w:rPr>
      </w:pPr>
      <w:r>
        <w:rPr>
          <w:rFonts w:ascii="Times New Roman" w:cs="Times New Roman" w:eastAsia="Times New Roman" w:hAnsi="Times New Roman"/>
          <w:sz w:val="22"/>
          <w:szCs w:val="22"/>
          <w:b w:val="1"/>
          <w:bCs w:val="1"/>
          <w:color w:val="auto"/>
        </w:rPr>
        <w:t>SUPPLEMENTAL AGREEMENT TO FUTURE SALES AND PURCHASE AGREEMENT (ANTMINER T21) relating to the purchase of Hash Super Computing Server, T21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December 16</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BM Ref: SALES-20240602-01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2150110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4" w:name="page45"/>
    <w:bookmarkEnd w:id="4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 xml:space="preserve">THIS SUPPLEMENTAL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Supplemental Agreement</w:t>
      </w:r>
      <w:r>
        <w:rPr>
          <w:rFonts w:ascii="Times New Roman" w:cs="Times New Roman" w:eastAsia="Times New Roman" w:hAnsi="Times New Roman"/>
          <w:sz w:val="22"/>
          <w:szCs w:val="22"/>
          <w:color w:val="auto"/>
        </w:rPr>
        <w:t>”) is made on June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hanging="752"/>
        <w:spacing w:after="0" w:line="262"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BITMAIN TECHNOLOGIES DELAWARE LIMITED</w:t>
      </w:r>
      <w:r>
        <w:rPr>
          <w:rFonts w:ascii="Times New Roman" w:cs="Times New Roman" w:eastAsia="Times New Roman" w:hAnsi="Times New Roman"/>
          <w:sz w:val="22"/>
          <w:szCs w:val="22"/>
          <w:color w:val="auto"/>
        </w:rPr>
        <w:t>, a company incorporated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the United States (File Number: 6096946) (“</w:t>
      </w:r>
      <w:r>
        <w:rPr>
          <w:rFonts w:ascii="Times New Roman" w:cs="Times New Roman" w:eastAsia="Times New Roman" w:hAnsi="Times New Roman"/>
          <w:sz w:val="22"/>
          <w:szCs w:val="22"/>
          <w:b w:val="1"/>
          <w:bCs w:val="1"/>
          <w:color w:val="auto"/>
        </w:rPr>
        <w:t>BITMAIN</w:t>
      </w:r>
      <w:r>
        <w:rPr>
          <w:rFonts w:ascii="Times New Roman" w:cs="Times New Roman" w:eastAsia="Times New Roman" w:hAnsi="Times New Roman"/>
          <w:sz w:val="22"/>
          <w:szCs w:val="22"/>
          <w:color w:val="auto"/>
        </w:rPr>
        <w:t>”); and</w:t>
      </w:r>
    </w:p>
    <w:p>
      <w:pPr>
        <w:spacing w:after="0" w:line="149" w:lineRule="exact"/>
        <w:rPr>
          <w:rFonts w:ascii="Times New Roman" w:cs="Times New Roman" w:eastAsia="Times New Roman" w:hAnsi="Times New Roman"/>
          <w:sz w:val="22"/>
          <w:szCs w:val="22"/>
          <w:color w:val="auto"/>
        </w:rPr>
      </w:pPr>
    </w:p>
    <w:p>
      <w:pPr>
        <w:ind w:left="760" w:right="20" w:hanging="752"/>
        <w:spacing w:after="0" w:line="262" w:lineRule="auto"/>
        <w:tabs>
          <w:tab w:leader="none" w:pos="7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Cipher Mining Infrastructure LLC</w:t>
      </w:r>
      <w:r>
        <w:rPr>
          <w:rFonts w:ascii="Times New Roman" w:cs="Times New Roman" w:eastAsia="Times New Roman" w:hAnsi="Times New Roman"/>
          <w:sz w:val="22"/>
          <w:szCs w:val="22"/>
          <w:color w:val="auto"/>
        </w:rPr>
        <w:t>, a company incorporated and existing under the laws of the State of Delaware,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(File Number: 93-4777486)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(together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1" w:lineRule="exact"/>
        <w:rPr>
          <w:sz w:val="20"/>
          <w:szCs w:val="20"/>
          <w:color w:val="auto"/>
        </w:rPr>
      </w:pPr>
    </w:p>
    <w:p>
      <w:pPr>
        <w:jc w:val="both"/>
        <w:ind w:left="760" w:hanging="752"/>
        <w:spacing w:after="0" w:line="231"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BITMAIN and the Purchaser have entered into a </w:t>
      </w:r>
      <w:r>
        <w:rPr>
          <w:rFonts w:ascii="Times New Roman" w:cs="Times New Roman" w:eastAsia="Times New Roman" w:hAnsi="Times New Roman"/>
          <w:sz w:val="22"/>
          <w:szCs w:val="22"/>
          <w:i w:val="1"/>
          <w:iCs w:val="1"/>
          <w:color w:val="auto"/>
        </w:rPr>
        <w:t>Future Sales and Purchase Agreement (ANTMINER T21)</w:t>
      </w:r>
      <w:r>
        <w:rPr>
          <w:rFonts w:ascii="Times New Roman" w:cs="Times New Roman" w:eastAsia="Times New Roman" w:hAnsi="Times New Roman"/>
          <w:sz w:val="22"/>
          <w:szCs w:val="22"/>
          <w:color w:val="auto"/>
        </w:rPr>
        <w:t xml:space="preserve"> (BM Ref: T21-XS-00120231216005) dated December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2023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in respect of HASH Super Computing Servers (Model: T21) of a reference quantity of 37,396 to be delivered in April 2025 with an estimated total purchase price of US$99,473,360.00.</w:t>
      </w:r>
    </w:p>
    <w:p>
      <w:pPr>
        <w:spacing w:after="0" w:line="17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none of the Products under the Original Agreement has been executed and delivered.</w:t>
      </w:r>
    </w:p>
    <w:p>
      <w:pPr>
        <w:spacing w:after="0" w:line="206" w:lineRule="exact"/>
        <w:rPr>
          <w:rFonts w:ascii="Times New Roman" w:cs="Times New Roman" w:eastAsia="Times New Roman" w:hAnsi="Times New Roman"/>
          <w:sz w:val="22"/>
          <w:szCs w:val="22"/>
          <w:color w:val="auto"/>
        </w:rPr>
      </w:pPr>
    </w:p>
    <w:p>
      <w:pPr>
        <w:jc w:val="both"/>
        <w:ind w:left="760" w:hanging="752"/>
        <w:spacing w:after="0" w:line="244"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wish to enter into this Supplemental Agreement regarding certain amendments to the Original Agreement. Unless the context otherwise requires, terms defined in the Original Agreement shall have the same meaning in this Supplemental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 IS AGREED AS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hanging="752"/>
        <w:spacing w:after="0" w:line="258" w:lineRule="auto"/>
        <w:tabs>
          <w:tab w:leader="none" w:pos="760"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to certain definitions and interpretations.</w:t>
      </w:r>
      <w:r>
        <w:rPr>
          <w:rFonts w:ascii="Times New Roman" w:cs="Times New Roman" w:eastAsia="Times New Roman" w:hAnsi="Times New Roman"/>
          <w:sz w:val="22"/>
          <w:szCs w:val="22"/>
          <w:color w:val="auto"/>
        </w:rPr>
        <w:t xml:space="preserve"> The Parties hereby agree that the following definitions set forth in Clause 1.1 used in the Original Agreement shall be deleted in their entirety and replaced as per below:</w:t>
      </w:r>
    </w:p>
    <w:p>
      <w:pPr>
        <w:spacing w:after="0" w:line="152" w:lineRule="exact"/>
        <w:rPr>
          <w:rFonts w:ascii="Times New Roman" w:cs="Times New Roman" w:eastAsia="Times New Roman" w:hAnsi="Times New Roman"/>
          <w:sz w:val="22"/>
          <w:szCs w:val="22"/>
          <w:u w:val="single" w:color="auto"/>
          <w:color w:val="auto"/>
        </w:rPr>
      </w:pPr>
    </w:p>
    <w:p>
      <w:pPr>
        <w:jc w:val="both"/>
        <w:ind w:left="760"/>
        <w:spacing w:after="0" w:line="239"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Quantity of the Products</w:t>
      </w:r>
      <w:r>
        <w:rPr>
          <w:rFonts w:ascii="Times New Roman" w:cs="Times New Roman" w:eastAsia="Times New Roman" w:hAnsi="Times New Roman"/>
          <w:sz w:val="22"/>
          <w:szCs w:val="22"/>
          <w:i w:val="1"/>
          <w:iCs w:val="1"/>
          <w:color w:val="auto"/>
        </w:rPr>
        <w:t>” means 30,364, being the quotient of the Contracted Hashrate divided by Rated Hashrate per Unit as set forth in Appendix A, excluding any Forward Deliverables pursuant to Appendix C, which is for reference only and shall not be deemed as any representation, warranty or covenant made by BITMAIN. The Quantity of the Products shall be automatically adjusted in accordance with the change (if any) of the Rated Hashrate per Unit of the delivered Products.</w:t>
      </w:r>
    </w:p>
    <w:p>
      <w:pPr>
        <w:spacing w:after="0" w:line="171" w:lineRule="exact"/>
        <w:rPr>
          <w:rFonts w:ascii="Times New Roman" w:cs="Times New Roman" w:eastAsia="Times New Roman" w:hAnsi="Times New Roman"/>
          <w:sz w:val="22"/>
          <w:szCs w:val="22"/>
          <w:u w:val="single" w:color="auto"/>
          <w:color w:val="auto"/>
        </w:rPr>
      </w:pPr>
    </w:p>
    <w:p>
      <w:pPr>
        <w:ind w:left="760"/>
        <w:spacing w:after="0" w:line="264"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Total Purchase Price</w:t>
      </w:r>
      <w:r>
        <w:rPr>
          <w:rFonts w:ascii="Times New Roman" w:cs="Times New Roman" w:eastAsia="Times New Roman" w:hAnsi="Times New Roman"/>
          <w:sz w:val="22"/>
          <w:szCs w:val="22"/>
          <w:i w:val="1"/>
          <w:iCs w:val="1"/>
          <w:color w:val="auto"/>
        </w:rPr>
        <w:t>” means US$134,287,826.40, being the product of Purchase Unit Price multiplied by the Contracted Hashrate.</w:t>
      </w:r>
    </w:p>
    <w:p>
      <w:pPr>
        <w:spacing w:after="0" w:line="151" w:lineRule="exact"/>
        <w:rPr>
          <w:rFonts w:ascii="Times New Roman" w:cs="Times New Roman" w:eastAsia="Times New Roman" w:hAnsi="Times New Roman"/>
          <w:sz w:val="22"/>
          <w:szCs w:val="22"/>
          <w:u w:val="single" w:color="auto"/>
          <w:color w:val="auto"/>
        </w:rPr>
      </w:pPr>
    </w:p>
    <w:p>
      <w:pPr>
        <w:jc w:val="both"/>
        <w:ind w:left="760" w:hanging="752"/>
        <w:spacing w:after="0" w:line="244" w:lineRule="auto"/>
        <w:tabs>
          <w:tab w:leader="none" w:pos="760"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to paragraphs 1.1, 1.2, 1.3 and 3.1 of Appendix A of the Original Agreement</w:t>
      </w:r>
      <w:r>
        <w:rPr>
          <w:rFonts w:ascii="Times New Roman" w:cs="Times New Roman" w:eastAsia="Times New Roman" w:hAnsi="Times New Roman"/>
          <w:sz w:val="22"/>
          <w:szCs w:val="22"/>
          <w:color w:val="auto"/>
        </w:rPr>
        <w:t>. The Parties hereby agree that paragraphs 1.1, 1.2, 1.3 and 3.1 of Appendix A of the Original Agreement shall be deleted in their entirety and replaced as per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1. Information of Products.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1.1 The specifications of the Products are as follows:</w:t>
      </w:r>
    </w:p>
    <w:p>
      <w:pPr>
        <w:spacing w:after="0" w:line="219" w:lineRule="exact"/>
        <w:rPr>
          <w:sz w:val="20"/>
          <w:szCs w:val="20"/>
          <w:color w:val="auto"/>
        </w:rPr>
      </w:pPr>
    </w:p>
    <w:tbl>
      <w:tblPr>
        <w:tblLayout w:type="fixed"/>
        <w:tblInd w:w="350" w:type="dxa"/>
        <w:tblCellMar>
          <w:top w:w="0" w:type="dxa"/>
          <w:left w:w="0" w:type="dxa"/>
          <w:bottom w:w="0" w:type="dxa"/>
          <w:right w:w="0" w:type="dxa"/>
        </w:tblCellMar>
      </w:tblPr>
      <w:tr>
        <w:trPr>
          <w:trHeight w:val="392"/>
        </w:trPr>
        <w:tc>
          <w:tcPr>
            <w:tcW w:w="4080" w:type="dxa"/>
            <w:vAlign w:val="bottom"/>
            <w:tcBorders>
              <w:top w:val="single" w:sz="8" w:color="auto"/>
              <w:left w:val="single" w:sz="8" w:color="auto"/>
              <w:bottom w:val="single" w:sz="8" w:color="auto"/>
              <w:right w:val="single" w:sz="8" w:color="auto"/>
            </w:tcBorders>
            <w:shd w:val="clear" w:color="auto" w:fill="A5A5A5"/>
          </w:tcPr>
          <w:p>
            <w:pPr>
              <w:ind w:left="1820"/>
              <w:spacing w:after="0"/>
              <w:rPr>
                <w:sz w:val="20"/>
                <w:szCs w:val="20"/>
                <w:color w:val="auto"/>
              </w:rPr>
            </w:pPr>
            <w:r>
              <w:rPr>
                <w:rFonts w:ascii="Times New Roman" w:cs="Times New Roman" w:eastAsia="Times New Roman" w:hAnsi="Times New Roman"/>
                <w:sz w:val="22"/>
                <w:szCs w:val="22"/>
                <w:b w:val="1"/>
                <w:bCs w:val="1"/>
                <w:i w:val="1"/>
                <w:iCs w:val="1"/>
                <w:color w:val="auto"/>
              </w:rPr>
              <w:t>Type</w:t>
            </w:r>
          </w:p>
        </w:tc>
        <w:tc>
          <w:tcPr>
            <w:tcW w:w="6480" w:type="dxa"/>
            <w:vAlign w:val="bottom"/>
            <w:tcBorders>
              <w:top w:val="single" w:sz="8" w:color="auto"/>
              <w:bottom w:val="single" w:sz="8" w:color="auto"/>
              <w:right w:val="single" w:sz="8" w:color="auto"/>
            </w:tcBorders>
            <w:shd w:val="clear" w:color="auto" w:fill="A5A5A5"/>
          </w:tcPr>
          <w:p>
            <w:pPr>
              <w:ind w:left="2920"/>
              <w:spacing w:after="0"/>
              <w:rPr>
                <w:sz w:val="20"/>
                <w:szCs w:val="20"/>
                <w:color w:val="auto"/>
              </w:rPr>
            </w:pPr>
            <w:r>
              <w:rPr>
                <w:rFonts w:ascii="Times New Roman" w:cs="Times New Roman" w:eastAsia="Times New Roman" w:hAnsi="Times New Roman"/>
                <w:sz w:val="22"/>
                <w:szCs w:val="22"/>
                <w:b w:val="1"/>
                <w:bCs w:val="1"/>
                <w:i w:val="1"/>
                <w:iCs w:val="1"/>
                <w:color w:val="auto"/>
              </w:rPr>
              <w:t>Details</w:t>
            </w:r>
          </w:p>
        </w:tc>
        <w:tc>
          <w:tcPr>
            <w:tcW w:w="0" w:type="dxa"/>
            <w:vAlign w:val="bottom"/>
          </w:tcPr>
          <w:p>
            <w:pPr>
              <w:spacing w:after="0"/>
              <w:rPr>
                <w:sz w:val="1"/>
                <w:szCs w:val="1"/>
                <w:color w:val="auto"/>
              </w:rPr>
            </w:pPr>
          </w:p>
        </w:tc>
      </w:tr>
      <w:tr>
        <w:trPr>
          <w:trHeight w:val="374"/>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Product Name</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HASH Super Computing Server</w:t>
            </w:r>
          </w:p>
        </w:tc>
        <w:tc>
          <w:tcPr>
            <w:tcW w:w="0" w:type="dxa"/>
            <w:vAlign w:val="bottom"/>
          </w:tcPr>
          <w:p>
            <w:pPr>
              <w:spacing w:after="0"/>
              <w:rPr>
                <w:sz w:val="1"/>
                <w:szCs w:val="1"/>
                <w:color w:val="auto"/>
              </w:rPr>
            </w:pPr>
          </w:p>
        </w:tc>
      </w:tr>
      <w:tr>
        <w:trPr>
          <w:trHeight w:val="372"/>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Model</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S21 Pro</w:t>
            </w:r>
          </w:p>
        </w:tc>
        <w:tc>
          <w:tcPr>
            <w:tcW w:w="0" w:type="dxa"/>
            <w:vAlign w:val="bottom"/>
          </w:tcPr>
          <w:p>
            <w:pPr>
              <w:spacing w:after="0"/>
              <w:rPr>
                <w:sz w:val="1"/>
                <w:szCs w:val="1"/>
                <w:color w:val="auto"/>
              </w:rPr>
            </w:pPr>
          </w:p>
        </w:tc>
      </w:tr>
      <w:tr>
        <w:trPr>
          <w:trHeight w:val="371"/>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Rated Hashrate per Unit, T</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234.00 ±10%</w:t>
            </w:r>
          </w:p>
        </w:tc>
        <w:tc>
          <w:tcPr>
            <w:tcW w:w="0" w:type="dxa"/>
            <w:vAlign w:val="bottom"/>
          </w:tcPr>
          <w:p>
            <w:pPr>
              <w:spacing w:after="0"/>
              <w:rPr>
                <w:sz w:val="1"/>
                <w:szCs w:val="1"/>
                <w:color w:val="auto"/>
              </w:rPr>
            </w:pPr>
          </w:p>
        </w:tc>
      </w:tr>
      <w:tr>
        <w:trPr>
          <w:trHeight w:val="371"/>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Rated power per Unit, W</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3,510.00</w:t>
            </w:r>
          </w:p>
        </w:tc>
        <w:tc>
          <w:tcPr>
            <w:tcW w:w="0" w:type="dxa"/>
            <w:vAlign w:val="bottom"/>
          </w:tcPr>
          <w:p>
            <w:pPr>
              <w:spacing w:after="0"/>
              <w:rPr>
                <w:sz w:val="1"/>
                <w:szCs w:val="1"/>
                <w:color w:val="auto"/>
              </w:rPr>
            </w:pPr>
          </w:p>
        </w:tc>
      </w:tr>
      <w:tr>
        <w:trPr>
          <w:trHeight w:val="372"/>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J/T</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15.00</w:t>
            </w:r>
          </w:p>
        </w:tc>
        <w:tc>
          <w:tcPr>
            <w:tcW w:w="0" w:type="dxa"/>
            <w:vAlign w:val="bottom"/>
          </w:tcPr>
          <w:p>
            <w:pPr>
              <w:spacing w:after="0"/>
              <w:rPr>
                <w:sz w:val="1"/>
                <w:szCs w:val="1"/>
                <w:color w:val="auto"/>
              </w:rPr>
            </w:pPr>
          </w:p>
        </w:tc>
      </w:tr>
      <w:tr>
        <w:trPr>
          <w:trHeight w:val="371"/>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Contracted Hashrate, T</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7,105,176.00</w:t>
            </w:r>
          </w:p>
        </w:tc>
        <w:tc>
          <w:tcPr>
            <w:tcW w:w="0" w:type="dxa"/>
            <w:vAlign w:val="bottom"/>
          </w:tcPr>
          <w:p>
            <w:pPr>
              <w:spacing w:after="0"/>
              <w:rPr>
                <w:sz w:val="1"/>
                <w:szCs w:val="1"/>
                <w:color w:val="auto"/>
              </w:rPr>
            </w:pPr>
          </w:p>
        </w:tc>
      </w:tr>
      <w:tr>
        <w:trPr>
          <w:trHeight w:val="371"/>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Quantity of the Products</w:t>
            </w: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30,364</w:t>
            </w:r>
          </w:p>
        </w:tc>
        <w:tc>
          <w:tcPr>
            <w:tcW w:w="0" w:type="dxa"/>
            <w:vAlign w:val="bottom"/>
          </w:tcPr>
          <w:p>
            <w:pPr>
              <w:spacing w:after="0"/>
              <w:rPr>
                <w:sz w:val="1"/>
                <w:szCs w:val="1"/>
                <w:color w:val="auto"/>
              </w:rPr>
            </w:pPr>
          </w:p>
        </w:tc>
      </w:tr>
      <w:tr>
        <w:trPr>
          <w:trHeight w:val="327"/>
        </w:trPr>
        <w:tc>
          <w:tcPr>
            <w:tcW w:w="408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1. BITMAIN undertakes that the error range of the J/T indicator does</w:t>
            </w:r>
          </w:p>
        </w:tc>
        <w:tc>
          <w:tcPr>
            <w:tcW w:w="0" w:type="dxa"/>
            <w:vAlign w:val="bottom"/>
          </w:tcPr>
          <w:p>
            <w:pPr>
              <w:spacing w:after="0"/>
              <w:rPr>
                <w:sz w:val="1"/>
                <w:szCs w:val="1"/>
                <w:color w:val="auto"/>
              </w:rPr>
            </w:pPr>
          </w:p>
        </w:tc>
      </w:tr>
      <w:tr>
        <w:trPr>
          <w:trHeight w:val="286"/>
        </w:trPr>
        <w:tc>
          <w:tcPr>
            <w:tcW w:w="408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not exceed 10%.</w:t>
            </w:r>
          </w:p>
        </w:tc>
        <w:tc>
          <w:tcPr>
            <w:tcW w:w="0" w:type="dxa"/>
            <w:vAlign w:val="bottom"/>
          </w:tcPr>
          <w:p>
            <w:pPr>
              <w:spacing w:after="0"/>
              <w:rPr>
                <w:sz w:val="1"/>
                <w:szCs w:val="1"/>
                <w:color w:val="auto"/>
              </w:rPr>
            </w:pPr>
          </w:p>
        </w:tc>
      </w:tr>
      <w:tr>
        <w:trPr>
          <w:trHeight w:val="308"/>
        </w:trPr>
        <w:tc>
          <w:tcPr>
            <w:tcW w:w="408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2. The Rated Hashrate per Unit and rated power per unit are for</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tcPr>
          <w:p>
            <w:pPr>
              <w:spacing w:after="0"/>
              <w:rPr>
                <w:sz w:val="21"/>
                <w:szCs w:val="21"/>
                <w:color w:val="auto"/>
              </w:rPr>
            </w:pPr>
          </w:p>
        </w:tc>
        <w:tc>
          <w:tcPr>
            <w:tcW w:w="64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reference only and such indicator of each batch or unit of Products may</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i w:val="1"/>
                <w:iCs w:val="1"/>
                <w:color w:val="auto"/>
              </w:rPr>
              <w:t>Description</w:t>
            </w:r>
          </w:p>
        </w:tc>
        <w:tc>
          <w:tcPr>
            <w:tcW w:w="64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differ. BITMAIN makes no representation on the Rated Hashrate per</w:t>
            </w:r>
          </w:p>
        </w:tc>
        <w:tc>
          <w:tcPr>
            <w:tcW w:w="0" w:type="dxa"/>
            <w:vAlign w:val="bottom"/>
          </w:tcPr>
          <w:p>
            <w:pPr>
              <w:spacing w:after="0"/>
              <w:rPr>
                <w:sz w:val="1"/>
                <w:szCs w:val="1"/>
                <w:color w:val="auto"/>
              </w:rPr>
            </w:pPr>
          </w:p>
        </w:tc>
      </w:tr>
      <w:tr>
        <w:trPr>
          <w:trHeight w:val="165"/>
        </w:trPr>
        <w:tc>
          <w:tcPr>
            <w:tcW w:w="4080" w:type="dxa"/>
            <w:vAlign w:val="bottom"/>
            <w:tcBorders>
              <w:left w:val="single" w:sz="8" w:color="auto"/>
              <w:right w:val="single" w:sz="8" w:color="auto"/>
            </w:tcBorders>
            <w:vMerge w:val="continue"/>
          </w:tcPr>
          <w:p>
            <w:pPr>
              <w:spacing w:after="0"/>
              <w:rPr>
                <w:sz w:val="14"/>
                <w:szCs w:val="14"/>
                <w:color w:val="auto"/>
              </w:rPr>
            </w:pPr>
          </w:p>
        </w:tc>
        <w:tc>
          <w:tcPr>
            <w:tcW w:w="6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i w:val="1"/>
                <w:iCs w:val="1"/>
                <w:color w:val="auto"/>
              </w:rPr>
              <w:t>Unit and/or the rated power per unit of any Products.</w:t>
            </w:r>
          </w:p>
        </w:tc>
        <w:tc>
          <w:tcPr>
            <w:tcW w:w="0" w:type="dxa"/>
            <w:vAlign w:val="bottom"/>
          </w:tcPr>
          <w:p>
            <w:pPr>
              <w:spacing w:after="0"/>
              <w:rPr>
                <w:sz w:val="1"/>
                <w:szCs w:val="1"/>
                <w:color w:val="auto"/>
              </w:rPr>
            </w:pPr>
          </w:p>
        </w:tc>
      </w:tr>
      <w:tr>
        <w:trPr>
          <w:trHeight w:val="121"/>
        </w:trPr>
        <w:tc>
          <w:tcPr>
            <w:tcW w:w="4080" w:type="dxa"/>
            <w:vAlign w:val="bottom"/>
            <w:tcBorders>
              <w:left w:val="single" w:sz="8" w:color="auto"/>
              <w:right w:val="single" w:sz="8" w:color="auto"/>
            </w:tcBorders>
          </w:tcPr>
          <w:p>
            <w:pPr>
              <w:spacing w:after="0"/>
              <w:rPr>
                <w:sz w:val="10"/>
                <w:szCs w:val="10"/>
                <w:color w:val="auto"/>
              </w:rPr>
            </w:pPr>
          </w:p>
        </w:tc>
        <w:tc>
          <w:tcPr>
            <w:tcW w:w="6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408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3. Purchaser shall not reject the Products on the grounds that the</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tcPr>
          <w:p>
            <w:pPr>
              <w:spacing w:after="0"/>
              <w:rPr>
                <w:sz w:val="21"/>
                <w:szCs w:val="21"/>
                <w:color w:val="auto"/>
              </w:rPr>
            </w:pPr>
          </w:p>
        </w:tc>
        <w:tc>
          <w:tcPr>
            <w:tcW w:w="64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parameters of the delivered Products are not in consistence with the</w:t>
            </w:r>
          </w:p>
        </w:tc>
        <w:tc>
          <w:tcPr>
            <w:tcW w:w="0" w:type="dxa"/>
            <w:vAlign w:val="bottom"/>
          </w:tcPr>
          <w:p>
            <w:pPr>
              <w:spacing w:after="0"/>
              <w:rPr>
                <w:sz w:val="1"/>
                <w:szCs w:val="1"/>
                <w:color w:val="auto"/>
              </w:rPr>
            </w:pPr>
          </w:p>
        </w:tc>
      </w:tr>
      <w:tr>
        <w:trPr>
          <w:trHeight w:val="243"/>
        </w:trPr>
        <w:tc>
          <w:tcPr>
            <w:tcW w:w="4080" w:type="dxa"/>
            <w:vAlign w:val="bottom"/>
            <w:tcBorders>
              <w:left w:val="single" w:sz="8" w:color="auto"/>
              <w:right w:val="single" w:sz="8" w:color="auto"/>
            </w:tcBorders>
          </w:tcPr>
          <w:p>
            <w:pPr>
              <w:spacing w:after="0"/>
              <w:rPr>
                <w:sz w:val="21"/>
                <w:szCs w:val="21"/>
                <w:color w:val="auto"/>
              </w:rPr>
            </w:pPr>
          </w:p>
        </w:tc>
        <w:tc>
          <w:tcPr>
            <w:tcW w:w="64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reference indicators; provided that the parameters of the delivered</w:t>
            </w:r>
          </w:p>
        </w:tc>
        <w:tc>
          <w:tcPr>
            <w:tcW w:w="0" w:type="dxa"/>
            <w:vAlign w:val="bottom"/>
          </w:tcPr>
          <w:p>
            <w:pPr>
              <w:spacing w:after="0"/>
              <w:rPr>
                <w:sz w:val="1"/>
                <w:szCs w:val="1"/>
                <w:color w:val="auto"/>
              </w:rPr>
            </w:pPr>
          </w:p>
        </w:tc>
      </w:tr>
      <w:tr>
        <w:trPr>
          <w:trHeight w:val="287"/>
        </w:trPr>
        <w:tc>
          <w:tcPr>
            <w:tcW w:w="4080" w:type="dxa"/>
            <w:vAlign w:val="bottom"/>
            <w:tcBorders>
              <w:left w:val="single" w:sz="8" w:color="auto"/>
              <w:bottom w:val="single" w:sz="8" w:color="auto"/>
              <w:right w:val="single" w:sz="8" w:color="auto"/>
            </w:tcBorders>
          </w:tcPr>
          <w:p>
            <w:pPr>
              <w:spacing w:after="0"/>
              <w:rPr>
                <w:sz w:val="24"/>
                <w:szCs w:val="24"/>
                <w:color w:val="auto"/>
              </w:rPr>
            </w:pPr>
          </w:p>
        </w:tc>
        <w:tc>
          <w:tcPr>
            <w:tcW w:w="6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i w:val="1"/>
                <w:iCs w:val="1"/>
                <w:color w:val="auto"/>
              </w:rPr>
              <w:t>Products are within the error range set forth above.</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760"/>
        <w:spacing w:after="0" w:line="262" w:lineRule="auto"/>
        <w:rPr>
          <w:sz w:val="20"/>
          <w:szCs w:val="20"/>
          <w:color w:val="auto"/>
        </w:rPr>
      </w:pPr>
      <w:r>
        <w:rPr>
          <w:rFonts w:ascii="Times New Roman" w:cs="Times New Roman" w:eastAsia="Times New Roman" w:hAnsi="Times New Roman"/>
          <w:sz w:val="22"/>
          <w:szCs w:val="22"/>
          <w:i w:val="1"/>
          <w:iCs w:val="1"/>
          <w:color w:val="auto"/>
        </w:rPr>
        <w:t>1.2 It is estimated that each batch of Products shall be purchased and delivered in accordance with the following arrangements:</w:t>
      </w:r>
    </w:p>
    <w:p>
      <w:pPr>
        <w:spacing w:after="0" w:line="131" w:lineRule="exact"/>
        <w:rPr>
          <w:sz w:val="20"/>
          <w:szCs w:val="20"/>
          <w:color w:val="auto"/>
        </w:rPr>
      </w:pPr>
    </w:p>
    <w:tbl>
      <w:tblPr>
        <w:tblLayout w:type="fixed"/>
        <w:tblInd w:w="90" w:type="dxa"/>
        <w:tblCellMar>
          <w:top w:w="0" w:type="dxa"/>
          <w:left w:w="0" w:type="dxa"/>
          <w:bottom w:w="0" w:type="dxa"/>
          <w:right w:w="0" w:type="dxa"/>
        </w:tblCellMar>
      </w:tblPr>
      <w:tr>
        <w:trPr>
          <w:trHeight w:val="214"/>
        </w:trPr>
        <w:tc>
          <w:tcPr>
            <w:tcW w:w="1060" w:type="dxa"/>
            <w:vAlign w:val="bottom"/>
            <w:tcBorders>
              <w:top w:val="single" w:sz="8" w:color="auto"/>
              <w:left w:val="single" w:sz="8" w:color="auto"/>
              <w:right w:val="single" w:sz="8" w:color="auto"/>
            </w:tcBorders>
            <w:vMerge w:val="restart"/>
            <w:shd w:val="clear" w:color="auto" w:fill="A6A6A6"/>
          </w:tcPr>
          <w:p>
            <w:pPr>
              <w:jc w:val="right"/>
              <w:ind w:right="406"/>
              <w:spacing w:after="0"/>
              <w:rPr>
                <w:sz w:val="20"/>
                <w:szCs w:val="20"/>
                <w:color w:val="auto"/>
              </w:rPr>
            </w:pPr>
            <w:r>
              <w:rPr>
                <w:rFonts w:ascii="Times New Roman" w:cs="Times New Roman" w:eastAsia="Times New Roman" w:hAnsi="Times New Roman"/>
                <w:sz w:val="19"/>
                <w:szCs w:val="19"/>
                <w:b w:val="1"/>
                <w:bCs w:val="1"/>
                <w:i w:val="1"/>
                <w:iCs w:val="1"/>
                <w:color w:val="auto"/>
              </w:rPr>
              <w:t>Batch</w:t>
            </w:r>
          </w:p>
        </w:tc>
        <w:tc>
          <w:tcPr>
            <w:tcW w:w="142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w w:val="96"/>
              </w:rPr>
              <w:t>Model</w:t>
            </w:r>
          </w:p>
        </w:tc>
        <w:tc>
          <w:tcPr>
            <w:tcW w:w="178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w w:val="98"/>
              </w:rPr>
              <w:t>Shipping Period</w:t>
            </w:r>
          </w:p>
        </w:tc>
        <w:tc>
          <w:tcPr>
            <w:tcW w:w="1420" w:type="dxa"/>
            <w:vAlign w:val="bottom"/>
            <w:tcBorders>
              <w:top w:val="single" w:sz="8" w:color="auto"/>
              <w:right w:val="single" w:sz="8" w:color="auto"/>
            </w:tcBorders>
            <w:shd w:val="clear" w:color="auto" w:fill="A6A6A6"/>
          </w:tcPr>
          <w:p>
            <w:pPr>
              <w:jc w:val="center"/>
              <w:spacing w:after="0" w:line="214" w:lineRule="exact"/>
              <w:rPr>
                <w:sz w:val="20"/>
                <w:szCs w:val="20"/>
                <w:color w:val="auto"/>
              </w:rPr>
            </w:pPr>
            <w:r>
              <w:rPr>
                <w:rFonts w:ascii="Times New Roman" w:cs="Times New Roman" w:eastAsia="Times New Roman" w:hAnsi="Times New Roman"/>
                <w:sz w:val="19"/>
                <w:szCs w:val="19"/>
                <w:b w:val="1"/>
                <w:bCs w:val="1"/>
                <w:i w:val="1"/>
                <w:iCs w:val="1"/>
                <w:color w:val="auto"/>
                <w:w w:val="98"/>
              </w:rPr>
              <w:t>Reference</w:t>
            </w:r>
          </w:p>
        </w:tc>
        <w:tc>
          <w:tcPr>
            <w:tcW w:w="1920" w:type="dxa"/>
            <w:vAlign w:val="bottom"/>
            <w:tcBorders>
              <w:top w:val="single" w:sz="8" w:color="auto"/>
              <w:right w:val="single" w:sz="8" w:color="auto"/>
            </w:tcBorders>
            <w:shd w:val="clear" w:color="auto" w:fill="A6A6A6"/>
          </w:tcPr>
          <w:p>
            <w:pPr>
              <w:jc w:val="center"/>
              <w:spacing w:after="0" w:line="214" w:lineRule="exact"/>
              <w:rPr>
                <w:sz w:val="20"/>
                <w:szCs w:val="20"/>
                <w:color w:val="auto"/>
              </w:rPr>
            </w:pPr>
            <w:r>
              <w:rPr>
                <w:rFonts w:ascii="Times New Roman" w:cs="Times New Roman" w:eastAsia="Times New Roman" w:hAnsi="Times New Roman"/>
                <w:sz w:val="19"/>
                <w:szCs w:val="19"/>
                <w:b w:val="1"/>
                <w:bCs w:val="1"/>
                <w:i w:val="1"/>
                <w:iCs w:val="1"/>
                <w:color w:val="auto"/>
                <w:w w:val="99"/>
              </w:rPr>
              <w:t>Total Rated Hashrate</w:t>
            </w:r>
          </w:p>
        </w:tc>
        <w:tc>
          <w:tcPr>
            <w:tcW w:w="1400" w:type="dxa"/>
            <w:vAlign w:val="bottom"/>
            <w:tcBorders>
              <w:top w:val="single" w:sz="8" w:color="auto"/>
              <w:right w:val="single" w:sz="8" w:color="auto"/>
            </w:tcBorders>
            <w:shd w:val="clear" w:color="auto" w:fill="A6A6A6"/>
          </w:tcPr>
          <w:p>
            <w:pPr>
              <w:jc w:val="center"/>
              <w:spacing w:after="0" w:line="214" w:lineRule="exact"/>
              <w:rPr>
                <w:sz w:val="20"/>
                <w:szCs w:val="20"/>
                <w:color w:val="auto"/>
              </w:rPr>
            </w:pPr>
            <w:r>
              <w:rPr>
                <w:rFonts w:ascii="Times New Roman" w:cs="Times New Roman" w:eastAsia="Times New Roman" w:hAnsi="Times New Roman"/>
                <w:sz w:val="19"/>
                <w:szCs w:val="19"/>
                <w:b w:val="1"/>
                <w:bCs w:val="1"/>
                <w:i w:val="1"/>
                <w:iCs w:val="1"/>
                <w:color w:val="auto"/>
                <w:w w:val="98"/>
              </w:rPr>
              <w:t>Purchase Unit</w:t>
            </w:r>
          </w:p>
        </w:tc>
        <w:tc>
          <w:tcPr>
            <w:tcW w:w="2120" w:type="dxa"/>
            <w:vAlign w:val="bottom"/>
            <w:tcBorders>
              <w:top w:val="single" w:sz="8" w:color="auto"/>
              <w:right w:val="single" w:sz="8" w:color="auto"/>
            </w:tcBorders>
            <w:shd w:val="clear" w:color="auto" w:fill="A6A6A6"/>
          </w:tcPr>
          <w:p>
            <w:pPr>
              <w:jc w:val="center"/>
              <w:spacing w:after="0" w:line="214" w:lineRule="exact"/>
              <w:rPr>
                <w:sz w:val="20"/>
                <w:szCs w:val="20"/>
                <w:color w:val="auto"/>
              </w:rPr>
            </w:pPr>
            <w:r>
              <w:rPr>
                <w:rFonts w:ascii="Times New Roman" w:cs="Times New Roman" w:eastAsia="Times New Roman" w:hAnsi="Times New Roman"/>
                <w:sz w:val="19"/>
                <w:szCs w:val="19"/>
                <w:b w:val="1"/>
                <w:bCs w:val="1"/>
                <w:i w:val="1"/>
                <w:iCs w:val="1"/>
                <w:color w:val="auto"/>
                <w:w w:val="98"/>
              </w:rPr>
              <w:t>Corresponding Total</w:t>
            </w:r>
          </w:p>
        </w:tc>
        <w:tc>
          <w:tcPr>
            <w:tcW w:w="0" w:type="dxa"/>
            <w:vAlign w:val="bottom"/>
          </w:tcPr>
          <w:p>
            <w:pPr>
              <w:spacing w:after="0"/>
              <w:rPr>
                <w:sz w:val="1"/>
                <w:szCs w:val="1"/>
                <w:color w:val="auto"/>
              </w:rPr>
            </w:pPr>
          </w:p>
        </w:tc>
      </w:tr>
      <w:tr>
        <w:trPr>
          <w:trHeight w:val="142"/>
        </w:trPr>
        <w:tc>
          <w:tcPr>
            <w:tcW w:w="1060" w:type="dxa"/>
            <w:vAlign w:val="bottom"/>
            <w:tcBorders>
              <w:left w:val="single" w:sz="8" w:color="auto"/>
              <w:right w:val="single" w:sz="8" w:color="auto"/>
            </w:tcBorders>
            <w:vMerge w:val="continue"/>
            <w:shd w:val="clear" w:color="auto" w:fill="A6A6A6"/>
          </w:tcPr>
          <w:p>
            <w:pPr>
              <w:spacing w:after="0"/>
              <w:rPr>
                <w:sz w:val="12"/>
                <w:szCs w:val="12"/>
                <w:color w:val="auto"/>
              </w:rPr>
            </w:pPr>
          </w:p>
        </w:tc>
        <w:tc>
          <w:tcPr>
            <w:tcW w:w="1420" w:type="dxa"/>
            <w:vAlign w:val="bottom"/>
            <w:tcBorders>
              <w:right w:val="single" w:sz="8" w:color="auto"/>
            </w:tcBorders>
            <w:vMerge w:val="continue"/>
            <w:shd w:val="clear" w:color="auto" w:fill="A6A6A6"/>
          </w:tcPr>
          <w:p>
            <w:pPr>
              <w:spacing w:after="0"/>
              <w:rPr>
                <w:sz w:val="12"/>
                <w:szCs w:val="12"/>
                <w:color w:val="auto"/>
              </w:rPr>
            </w:pPr>
          </w:p>
        </w:tc>
        <w:tc>
          <w:tcPr>
            <w:tcW w:w="1780" w:type="dxa"/>
            <w:vAlign w:val="bottom"/>
            <w:tcBorders>
              <w:right w:val="single" w:sz="8" w:color="auto"/>
            </w:tcBorders>
            <w:vMerge w:val="continue"/>
            <w:shd w:val="clear" w:color="auto" w:fill="A6A6A6"/>
          </w:tcPr>
          <w:p>
            <w:pPr>
              <w:spacing w:after="0"/>
              <w:rPr>
                <w:sz w:val="12"/>
                <w:szCs w:val="12"/>
                <w:color w:val="auto"/>
              </w:rPr>
            </w:pPr>
          </w:p>
        </w:tc>
        <w:tc>
          <w:tcPr>
            <w:tcW w:w="1420" w:type="dxa"/>
            <w:vAlign w:val="bottom"/>
            <w:tcBorders>
              <w:right w:val="single" w:sz="8" w:color="auto"/>
            </w:tcBorders>
            <w:vMerge w:val="restart"/>
            <w:shd w:val="clear" w:color="auto" w:fill="A6A6A6"/>
          </w:tcPr>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Quantity</w:t>
            </w:r>
          </w:p>
        </w:tc>
        <w:tc>
          <w:tcPr>
            <w:tcW w:w="192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w w:val="98"/>
              </w:rPr>
              <w:t>(T)</w:t>
            </w:r>
          </w:p>
        </w:tc>
        <w:tc>
          <w:tcPr>
            <w:tcW w:w="1400" w:type="dxa"/>
            <w:vAlign w:val="bottom"/>
            <w:tcBorders>
              <w:right w:val="single" w:sz="8" w:color="auto"/>
            </w:tcBorders>
            <w:vMerge w:val="restart"/>
            <w:shd w:val="clear" w:color="auto" w:fill="A6A6A6"/>
          </w:tcPr>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Price (US$/T)</w:t>
            </w:r>
          </w:p>
        </w:tc>
        <w:tc>
          <w:tcPr>
            <w:tcW w:w="212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w w:val="99"/>
              </w:rPr>
              <w:t>Purchase Price (US$)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shd w:val="clear" w:color="auto" w:fill="A6A6A6"/>
          </w:tcPr>
          <w:p>
            <w:pPr>
              <w:spacing w:after="0"/>
              <w:rPr>
                <w:sz w:val="9"/>
                <w:szCs w:val="9"/>
                <w:color w:val="auto"/>
              </w:rPr>
            </w:pPr>
          </w:p>
        </w:tc>
        <w:tc>
          <w:tcPr>
            <w:tcW w:w="1420" w:type="dxa"/>
            <w:vAlign w:val="bottom"/>
            <w:tcBorders>
              <w:right w:val="single" w:sz="8" w:color="auto"/>
            </w:tcBorders>
            <w:shd w:val="clear" w:color="auto" w:fill="A6A6A6"/>
          </w:tcPr>
          <w:p>
            <w:pPr>
              <w:spacing w:after="0"/>
              <w:rPr>
                <w:sz w:val="9"/>
                <w:szCs w:val="9"/>
                <w:color w:val="auto"/>
              </w:rPr>
            </w:pPr>
          </w:p>
        </w:tc>
        <w:tc>
          <w:tcPr>
            <w:tcW w:w="1780" w:type="dxa"/>
            <w:vAlign w:val="bottom"/>
            <w:tcBorders>
              <w:right w:val="single" w:sz="8" w:color="auto"/>
            </w:tcBorders>
            <w:shd w:val="clear" w:color="auto" w:fill="A6A6A6"/>
          </w:tcPr>
          <w:p>
            <w:pPr>
              <w:spacing w:after="0"/>
              <w:rPr>
                <w:sz w:val="9"/>
                <w:szCs w:val="9"/>
                <w:color w:val="auto"/>
              </w:rPr>
            </w:pPr>
          </w:p>
        </w:tc>
        <w:tc>
          <w:tcPr>
            <w:tcW w:w="1420" w:type="dxa"/>
            <w:vAlign w:val="bottom"/>
            <w:tcBorders>
              <w:right w:val="single" w:sz="8" w:color="auto"/>
            </w:tcBorders>
            <w:vMerge w:val="continue"/>
            <w:shd w:val="clear" w:color="auto" w:fill="A6A6A6"/>
          </w:tcPr>
          <w:p>
            <w:pPr>
              <w:spacing w:after="0"/>
              <w:rPr>
                <w:sz w:val="9"/>
                <w:szCs w:val="9"/>
                <w:color w:val="auto"/>
              </w:rPr>
            </w:pPr>
          </w:p>
        </w:tc>
        <w:tc>
          <w:tcPr>
            <w:tcW w:w="1920" w:type="dxa"/>
            <w:vAlign w:val="bottom"/>
            <w:tcBorders>
              <w:right w:val="single" w:sz="8" w:color="auto"/>
            </w:tcBorders>
            <w:vMerge w:val="continue"/>
            <w:shd w:val="clear" w:color="auto" w:fill="A6A6A6"/>
          </w:tcPr>
          <w:p>
            <w:pPr>
              <w:spacing w:after="0"/>
              <w:rPr>
                <w:sz w:val="9"/>
                <w:szCs w:val="9"/>
                <w:color w:val="auto"/>
              </w:rPr>
            </w:pPr>
          </w:p>
        </w:tc>
        <w:tc>
          <w:tcPr>
            <w:tcW w:w="1400" w:type="dxa"/>
            <w:vAlign w:val="bottom"/>
            <w:tcBorders>
              <w:right w:val="single" w:sz="8" w:color="auto"/>
            </w:tcBorders>
            <w:vMerge w:val="continue"/>
            <w:shd w:val="clear" w:color="auto" w:fill="A6A6A6"/>
          </w:tcPr>
          <w:p>
            <w:pPr>
              <w:spacing w:after="0"/>
              <w:rPr>
                <w:sz w:val="9"/>
                <w:szCs w:val="9"/>
                <w:color w:val="auto"/>
              </w:rPr>
            </w:pPr>
          </w:p>
        </w:tc>
        <w:tc>
          <w:tcPr>
            <w:tcW w:w="2120" w:type="dxa"/>
            <w:vAlign w:val="bottom"/>
            <w:tcBorders>
              <w:right w:val="single" w:sz="8" w:color="auto"/>
            </w:tcBorders>
            <w:vMerge w:val="continue"/>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auto"/>
              <w:bottom w:val="single" w:sz="8" w:color="auto"/>
              <w:right w:val="single" w:sz="8" w:color="auto"/>
            </w:tcBorders>
            <w:shd w:val="clear" w:color="auto" w:fill="A6A6A6"/>
          </w:tcPr>
          <w:p>
            <w:pPr>
              <w:spacing w:after="0"/>
              <w:rPr>
                <w:sz w:val="17"/>
                <w:szCs w:val="17"/>
                <w:color w:val="auto"/>
              </w:rPr>
            </w:pPr>
          </w:p>
        </w:tc>
        <w:tc>
          <w:tcPr>
            <w:tcW w:w="1420" w:type="dxa"/>
            <w:vAlign w:val="bottom"/>
            <w:tcBorders>
              <w:bottom w:val="single" w:sz="8" w:color="auto"/>
              <w:right w:val="single" w:sz="8" w:color="auto"/>
            </w:tcBorders>
            <w:shd w:val="clear" w:color="auto" w:fill="A6A6A6"/>
          </w:tcPr>
          <w:p>
            <w:pPr>
              <w:spacing w:after="0"/>
              <w:rPr>
                <w:sz w:val="17"/>
                <w:szCs w:val="17"/>
                <w:color w:val="auto"/>
              </w:rPr>
            </w:pPr>
          </w:p>
        </w:tc>
        <w:tc>
          <w:tcPr>
            <w:tcW w:w="1780" w:type="dxa"/>
            <w:vAlign w:val="bottom"/>
            <w:tcBorders>
              <w:bottom w:val="single" w:sz="8" w:color="auto"/>
              <w:right w:val="single" w:sz="8" w:color="auto"/>
            </w:tcBorders>
            <w:shd w:val="clear" w:color="auto" w:fill="A6A6A6"/>
          </w:tcPr>
          <w:p>
            <w:pPr>
              <w:spacing w:after="0"/>
              <w:rPr>
                <w:sz w:val="17"/>
                <w:szCs w:val="17"/>
                <w:color w:val="auto"/>
              </w:rPr>
            </w:pPr>
          </w:p>
        </w:tc>
        <w:tc>
          <w:tcPr>
            <w:tcW w:w="1420" w:type="dxa"/>
            <w:vAlign w:val="bottom"/>
            <w:tcBorders>
              <w:bottom w:val="single" w:sz="8" w:color="auto"/>
              <w:right w:val="single" w:sz="8" w:color="auto"/>
            </w:tcBorders>
            <w:shd w:val="clear" w:color="auto" w:fill="A6A6A6"/>
          </w:tcPr>
          <w:p>
            <w:pPr>
              <w:spacing w:after="0"/>
              <w:rPr>
                <w:sz w:val="17"/>
                <w:szCs w:val="17"/>
                <w:color w:val="auto"/>
              </w:rPr>
            </w:pPr>
          </w:p>
        </w:tc>
        <w:tc>
          <w:tcPr>
            <w:tcW w:w="1920" w:type="dxa"/>
            <w:vAlign w:val="bottom"/>
            <w:tcBorders>
              <w:bottom w:val="single" w:sz="8" w:color="auto"/>
              <w:right w:val="single" w:sz="8" w:color="auto"/>
            </w:tcBorders>
            <w:shd w:val="clear" w:color="auto" w:fill="A6A6A6"/>
          </w:tcPr>
          <w:p>
            <w:pPr>
              <w:spacing w:after="0"/>
              <w:rPr>
                <w:sz w:val="17"/>
                <w:szCs w:val="17"/>
                <w:color w:val="auto"/>
              </w:rPr>
            </w:pPr>
          </w:p>
        </w:tc>
        <w:tc>
          <w:tcPr>
            <w:tcW w:w="1400" w:type="dxa"/>
            <w:vAlign w:val="bottom"/>
            <w:tcBorders>
              <w:bottom w:val="single" w:sz="8" w:color="auto"/>
              <w:right w:val="single" w:sz="8" w:color="auto"/>
            </w:tcBorders>
            <w:shd w:val="clear" w:color="auto" w:fill="A6A6A6"/>
          </w:tcPr>
          <w:p>
            <w:pPr>
              <w:spacing w:after="0"/>
              <w:rPr>
                <w:sz w:val="17"/>
                <w:szCs w:val="17"/>
                <w:color w:val="auto"/>
              </w:rPr>
            </w:pPr>
          </w:p>
        </w:tc>
        <w:tc>
          <w:tcPr>
            <w:tcW w:w="2120" w:type="dxa"/>
            <w:vAlign w:val="bottom"/>
            <w:tcBorders>
              <w:bottom w:val="single" w:sz="8" w:color="auto"/>
              <w:right w:val="single" w:sz="8" w:color="auto"/>
            </w:tcBorders>
            <w:shd w:val="clear" w:color="auto" w:fill="A6A6A6"/>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60" w:type="dxa"/>
            <w:vAlign w:val="bottom"/>
            <w:tcBorders>
              <w:right w:val="single" w:sz="8" w:color="auto"/>
            </w:tcBorders>
          </w:tcPr>
          <w:p>
            <w:pPr>
              <w:jc w:val="right"/>
              <w:ind w:right="406"/>
              <w:spacing w:after="0"/>
              <w:rPr>
                <w:sz w:val="20"/>
                <w:szCs w:val="20"/>
                <w:color w:val="auto"/>
              </w:rPr>
            </w:pPr>
            <w:r>
              <w:rPr>
                <w:rFonts w:ascii="Times New Roman" w:cs="Times New Roman" w:eastAsia="Times New Roman" w:hAnsi="Times New Roman"/>
                <w:sz w:val="19"/>
                <w:szCs w:val="19"/>
                <w:i w:val="1"/>
                <w:iCs w:val="1"/>
                <w:color w:val="auto"/>
              </w:rPr>
              <w:t>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S21 Pro</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September 2024</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5"/>
              </w:rPr>
              <w:t>15,182</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3,552,588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18.90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67,143,913.20</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60" w:type="dxa"/>
            <w:vAlign w:val="bottom"/>
            <w:tcBorders>
              <w:right w:val="single" w:sz="8" w:color="auto"/>
            </w:tcBorders>
          </w:tcPr>
          <w:p>
            <w:pPr>
              <w:jc w:val="right"/>
              <w:ind w:right="406"/>
              <w:spacing w:after="0"/>
              <w:rPr>
                <w:sz w:val="20"/>
                <w:szCs w:val="20"/>
                <w:color w:val="auto"/>
              </w:rPr>
            </w:pPr>
            <w:r>
              <w:rPr>
                <w:rFonts w:ascii="Times New Roman" w:cs="Times New Roman" w:eastAsia="Times New Roman" w:hAnsi="Times New Roman"/>
                <w:sz w:val="19"/>
                <w:szCs w:val="19"/>
                <w:i w:val="1"/>
                <w:iCs w:val="1"/>
                <w:color w:val="auto"/>
              </w:rPr>
              <w:t>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S21 Pro</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rPr>
              <w:t>October 2024</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5"/>
              </w:rPr>
              <w:t>15,182</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3,552,588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18.90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67,143,913.20</w:t>
            </w:r>
          </w:p>
        </w:tc>
        <w:tc>
          <w:tcPr>
            <w:tcW w:w="0" w:type="dxa"/>
            <w:vAlign w:val="bottom"/>
          </w:tcPr>
          <w:p>
            <w:pPr>
              <w:spacing w:after="0"/>
              <w:rPr>
                <w:sz w:val="1"/>
                <w:szCs w:val="1"/>
                <w:color w:val="auto"/>
              </w:rPr>
            </w:pPr>
          </w:p>
        </w:tc>
      </w:tr>
      <w:tr>
        <w:trPr>
          <w:trHeight w:val="170"/>
        </w:trPr>
        <w:tc>
          <w:tcPr>
            <w:tcW w:w="10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1420" w:type="dxa"/>
            <w:vAlign w:val="bottom"/>
          </w:tcPr>
          <w:p>
            <w:pPr>
              <w:ind w:left="740"/>
              <w:spacing w:after="0"/>
              <w:rPr>
                <w:sz w:val="20"/>
                <w:szCs w:val="20"/>
                <w:color w:val="auto"/>
              </w:rPr>
            </w:pPr>
            <w:r>
              <w:rPr>
                <w:rFonts w:ascii="Times New Roman" w:cs="Times New Roman" w:eastAsia="Times New Roman" w:hAnsi="Times New Roman"/>
                <w:sz w:val="19"/>
                <w:szCs w:val="19"/>
                <w:b w:val="1"/>
                <w:bCs w:val="1"/>
                <w:i w:val="1"/>
                <w:iCs w:val="1"/>
                <w:color w:val="auto"/>
              </w:rPr>
              <w:t>In Total</w:t>
            </w:r>
          </w:p>
        </w:tc>
        <w:tc>
          <w:tcPr>
            <w:tcW w:w="17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5"/>
              </w:rPr>
              <w:t>30,364</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7,105,176</w:t>
            </w:r>
          </w:p>
        </w:tc>
        <w:tc>
          <w:tcPr>
            <w:tcW w:w="14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i w:val="1"/>
                <w:iCs w:val="1"/>
                <w:color w:val="auto"/>
              </w:rPr>
              <w:t>134,287,826.40</w:t>
            </w:r>
          </w:p>
        </w:tc>
        <w:tc>
          <w:tcPr>
            <w:tcW w:w="0" w:type="dxa"/>
            <w:vAlign w:val="bottom"/>
          </w:tcPr>
          <w:p>
            <w:pPr>
              <w:spacing w:after="0"/>
              <w:rPr>
                <w:sz w:val="1"/>
                <w:szCs w:val="1"/>
                <w:color w:val="auto"/>
              </w:rPr>
            </w:pPr>
          </w:p>
        </w:tc>
      </w:tr>
      <w:tr>
        <w:trPr>
          <w:trHeight w:val="168"/>
        </w:trPr>
        <w:tc>
          <w:tcPr>
            <w:tcW w:w="10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1.3 Total Purchase Price (tax exclusive): US$134,287,826.40(exclusive of Call Purchase Fee, Call Purchase Price).</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3. Payment of the Total Purchase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0"/>
          <w:szCs w:val="20"/>
          <w:i w:val="1"/>
          <w:iCs w:val="1"/>
          <w:color w:val="auto"/>
        </w:rPr>
        <w:t>3.1 BITMAIN’s BANK ACCOUNT info: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Company Name: Bitmain Technologies Limited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Company address: 11/F., Wheelock House, 20 Pedder Street, Central, Hong Kong</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 No.: </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 Code: </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 Name: </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i w:val="1"/>
          <w:iCs w:val="1"/>
          <w:color w:val="auto"/>
        </w:rPr>
        <w:t xml:space="preserve">Bank Address: </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SWIFT Code: </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760" w:hanging="752"/>
        <w:spacing w:after="0" w:line="258" w:lineRule="auto"/>
        <w:tabs>
          <w:tab w:leader="none" w:pos="760"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to Appendix B of the Original Agreement.</w:t>
      </w:r>
      <w:r>
        <w:rPr>
          <w:rFonts w:ascii="Times New Roman" w:cs="Times New Roman" w:eastAsia="Times New Roman" w:hAnsi="Times New Roman"/>
          <w:sz w:val="22"/>
          <w:szCs w:val="22"/>
          <w:color w:val="auto"/>
        </w:rPr>
        <w:t xml:space="preserve"> The Parties hereby agree that Appendix B of the Original Agreement shall be deleted in its entirety and replaced as per below: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1740" w:type="dxa"/>
            <w:vAlign w:val="bottom"/>
            <w:tcBorders>
              <w:top w:val="single" w:sz="8" w:color="auto"/>
              <w:left w:val="single" w:sz="8" w:color="auto"/>
              <w:right w:val="single" w:sz="8" w:color="auto"/>
            </w:tcBorders>
            <w:vMerge w:val="restart"/>
            <w:shd w:val="clear" w:color="auto" w:fill="A5A5A5"/>
          </w:tcPr>
          <w:p>
            <w:pPr>
              <w:ind w:left="540"/>
              <w:spacing w:after="0"/>
              <w:rPr>
                <w:sz w:val="20"/>
                <w:szCs w:val="20"/>
                <w:color w:val="auto"/>
              </w:rPr>
            </w:pPr>
            <w:r>
              <w:rPr>
                <w:rFonts w:ascii="Times New Roman" w:cs="Times New Roman" w:eastAsia="Times New Roman" w:hAnsi="Times New Roman"/>
                <w:sz w:val="19"/>
                <w:szCs w:val="19"/>
                <w:b w:val="1"/>
                <w:bCs w:val="1"/>
                <w:i w:val="1"/>
                <w:iCs w:val="1"/>
                <w:color w:val="auto"/>
              </w:rPr>
              <w:t>Payment</w:t>
            </w:r>
          </w:p>
        </w:tc>
        <w:tc>
          <w:tcPr>
            <w:tcW w:w="3180" w:type="dxa"/>
            <w:vAlign w:val="bottom"/>
            <w:tcBorders>
              <w:top w:val="single" w:sz="8" w:color="auto"/>
            </w:tcBorders>
            <w:shd w:val="clear" w:color="auto" w:fill="A5A5A5"/>
          </w:tcPr>
          <w:p>
            <w:pPr>
              <w:jc w:val="center"/>
              <w:ind w:right="1426"/>
              <w:spacing w:after="0"/>
              <w:rPr>
                <w:sz w:val="20"/>
                <w:szCs w:val="20"/>
                <w:color w:val="auto"/>
              </w:rPr>
            </w:pPr>
            <w:r>
              <w:rPr>
                <w:rFonts w:ascii="Times New Roman" w:cs="Times New Roman" w:eastAsia="Times New Roman" w:hAnsi="Times New Roman"/>
                <w:sz w:val="19"/>
                <w:szCs w:val="19"/>
                <w:b w:val="1"/>
                <w:bCs w:val="1"/>
                <w:i w:val="1"/>
                <w:iCs w:val="1"/>
                <w:color w:val="auto"/>
              </w:rPr>
              <w:t>Payment</w:t>
            </w:r>
          </w:p>
        </w:tc>
        <w:tc>
          <w:tcPr>
            <w:tcW w:w="6320" w:type="dxa"/>
            <w:vAlign w:val="bottom"/>
            <w:tcBorders>
              <w:top w:val="single" w:sz="8" w:color="auto"/>
            </w:tcBorders>
            <w:vMerge w:val="restart"/>
            <w:shd w:val="clear" w:color="auto" w:fill="A5A5A5"/>
          </w:tcPr>
          <w:p>
            <w:pPr>
              <w:ind w:left="1880"/>
              <w:spacing w:after="0"/>
              <w:rPr>
                <w:sz w:val="20"/>
                <w:szCs w:val="20"/>
                <w:color w:val="auto"/>
              </w:rPr>
            </w:pPr>
            <w:r>
              <w:rPr>
                <w:rFonts w:ascii="Times New Roman" w:cs="Times New Roman" w:eastAsia="Times New Roman" w:hAnsi="Times New Roman"/>
                <w:sz w:val="19"/>
                <w:szCs w:val="19"/>
                <w:b w:val="1"/>
                <w:bCs w:val="1"/>
                <w:i w:val="1"/>
                <w:iCs w:val="1"/>
                <w:color w:val="auto"/>
              </w:rPr>
              <w:t>Payment Date</w:t>
            </w:r>
          </w:p>
        </w:tc>
        <w:tc>
          <w:tcPr>
            <w:tcW w:w="0" w:type="dxa"/>
            <w:vAlign w:val="bottom"/>
          </w:tcPr>
          <w:p>
            <w:pPr>
              <w:spacing w:after="0"/>
              <w:rPr>
                <w:sz w:val="1"/>
                <w:szCs w:val="1"/>
                <w:color w:val="auto"/>
              </w:rPr>
            </w:pPr>
          </w:p>
        </w:tc>
      </w:tr>
      <w:tr>
        <w:trPr>
          <w:trHeight w:val="142"/>
        </w:trPr>
        <w:tc>
          <w:tcPr>
            <w:tcW w:w="1740" w:type="dxa"/>
            <w:vAlign w:val="bottom"/>
            <w:tcBorders>
              <w:left w:val="single" w:sz="8" w:color="auto"/>
              <w:right w:val="single" w:sz="8" w:color="auto"/>
            </w:tcBorders>
            <w:vMerge w:val="continue"/>
            <w:shd w:val="clear" w:color="auto" w:fill="A5A5A5"/>
          </w:tcPr>
          <w:p>
            <w:pPr>
              <w:spacing w:after="0"/>
              <w:rPr>
                <w:sz w:val="12"/>
                <w:szCs w:val="12"/>
                <w:color w:val="auto"/>
              </w:rPr>
            </w:pPr>
          </w:p>
        </w:tc>
        <w:tc>
          <w:tcPr>
            <w:tcW w:w="3180" w:type="dxa"/>
            <w:vAlign w:val="bottom"/>
            <w:vMerge w:val="restart"/>
            <w:shd w:val="clear" w:color="auto" w:fill="A5A5A5"/>
          </w:tcPr>
          <w:p>
            <w:pPr>
              <w:jc w:val="center"/>
              <w:ind w:right="1386"/>
              <w:spacing w:after="0"/>
              <w:rPr>
                <w:sz w:val="20"/>
                <w:szCs w:val="20"/>
                <w:color w:val="auto"/>
              </w:rPr>
            </w:pPr>
            <w:r>
              <w:rPr>
                <w:rFonts w:ascii="Times New Roman" w:cs="Times New Roman" w:eastAsia="Times New Roman" w:hAnsi="Times New Roman"/>
                <w:sz w:val="19"/>
                <w:szCs w:val="19"/>
                <w:b w:val="1"/>
                <w:bCs w:val="1"/>
                <w:i w:val="1"/>
                <w:iCs w:val="1"/>
                <w:color w:val="auto"/>
                <w:w w:val="98"/>
              </w:rPr>
              <w:t>Percentage</w:t>
            </w:r>
          </w:p>
        </w:tc>
        <w:tc>
          <w:tcPr>
            <w:tcW w:w="6320" w:type="dxa"/>
            <w:vAlign w:val="bottom"/>
            <w:vMerge w:val="continue"/>
            <w:shd w:val="clear" w:color="auto" w:fill="A5A5A5"/>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shd w:val="clear" w:color="auto" w:fill="A5A5A5"/>
          </w:tcPr>
          <w:p>
            <w:pPr>
              <w:spacing w:after="0"/>
              <w:rPr>
                <w:sz w:val="9"/>
                <w:szCs w:val="9"/>
                <w:color w:val="auto"/>
              </w:rPr>
            </w:pPr>
          </w:p>
        </w:tc>
        <w:tc>
          <w:tcPr>
            <w:tcW w:w="3180" w:type="dxa"/>
            <w:vAlign w:val="bottom"/>
            <w:vMerge w:val="continue"/>
            <w:shd w:val="clear" w:color="auto" w:fill="A5A5A5"/>
          </w:tcPr>
          <w:p>
            <w:pPr>
              <w:spacing w:after="0"/>
              <w:rPr>
                <w:sz w:val="9"/>
                <w:szCs w:val="9"/>
                <w:color w:val="auto"/>
              </w:rPr>
            </w:pPr>
          </w:p>
        </w:tc>
        <w:tc>
          <w:tcPr>
            <w:tcW w:w="6320" w:type="dxa"/>
            <w:vAlign w:val="bottom"/>
            <w:shd w:val="clear" w:color="auto" w:fill="A5A5A5"/>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740" w:type="dxa"/>
            <w:vAlign w:val="bottom"/>
            <w:tcBorders>
              <w:left w:val="single" w:sz="8" w:color="auto"/>
              <w:bottom w:val="single" w:sz="8" w:color="auto"/>
              <w:right w:val="single" w:sz="8" w:color="auto"/>
            </w:tcBorders>
            <w:shd w:val="clear" w:color="auto" w:fill="A5A5A5"/>
          </w:tcPr>
          <w:p>
            <w:pPr>
              <w:spacing w:after="0"/>
              <w:rPr>
                <w:sz w:val="10"/>
                <w:szCs w:val="10"/>
                <w:color w:val="auto"/>
              </w:rPr>
            </w:pPr>
          </w:p>
        </w:tc>
        <w:tc>
          <w:tcPr>
            <w:tcW w:w="3180" w:type="dxa"/>
            <w:vAlign w:val="bottom"/>
            <w:tcBorders>
              <w:bottom w:val="single" w:sz="8" w:color="auto"/>
            </w:tcBorders>
            <w:shd w:val="clear" w:color="auto" w:fill="A5A5A5"/>
          </w:tcPr>
          <w:p>
            <w:pPr>
              <w:spacing w:after="0"/>
              <w:rPr>
                <w:sz w:val="10"/>
                <w:szCs w:val="10"/>
                <w:color w:val="auto"/>
              </w:rPr>
            </w:pPr>
          </w:p>
        </w:tc>
        <w:tc>
          <w:tcPr>
            <w:tcW w:w="6320" w:type="dxa"/>
            <w:vAlign w:val="bottom"/>
            <w:tcBorders>
              <w:bottom w:val="single" w:sz="8" w:color="auto"/>
            </w:tcBorders>
            <w:shd w:val="clear" w:color="auto" w:fill="A5A5A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-12065</wp:posOffset>
            </wp:positionV>
            <wp:extent cx="8255" cy="36283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8255" cy="3628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36283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8890" cy="36283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-447040</wp:posOffset>
            </wp:positionV>
            <wp:extent cx="8890" cy="40633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8890" cy="406336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-447040</wp:posOffset>
            </wp:positionV>
            <wp:extent cx="8255" cy="40633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8255" cy="406336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US$ 9,947,336.00 (“</w:t>
            </w:r>
            <w:r>
              <w:rPr>
                <w:rFonts w:ascii="Times New Roman" w:cs="Times New Roman" w:eastAsia="Times New Roman" w:hAnsi="Times New Roman"/>
                <w:sz w:val="22"/>
                <w:szCs w:val="22"/>
                <w:b w:val="1"/>
                <w:bCs w:val="1"/>
                <w:color w:val="auto"/>
              </w:rPr>
              <w:t>Initial Down Payment</w:t>
            </w:r>
            <w:r>
              <w:rPr>
                <w:rFonts w:ascii="Times New Roman" w:cs="Times New Roman" w:eastAsia="Times New Roman" w:hAnsi="Times New Roman"/>
                <w:sz w:val="22"/>
                <w:szCs w:val="22"/>
                <w:color w:val="auto"/>
              </w:rPr>
              <w:t xml:space="preserve">”) has been </w:t>
            </w:r>
            <w:r>
              <w:rPr>
                <w:rFonts w:ascii="Times New Roman" w:cs="Times New Roman" w:eastAsia="Times New Roman" w:hAnsi="Times New Roman"/>
                <w:sz w:val="22"/>
                <w:szCs w:val="22"/>
                <w:i w:val="1"/>
                <w:iCs w:val="1"/>
                <w:color w:val="auto"/>
              </w:rPr>
              <w:t>paid by the Purchaser</w:t>
            </w:r>
            <w:r>
              <w:rPr>
                <w:rFonts w:ascii="Times New Roman" w:cs="Times New Roman" w:eastAsia="Times New Roman" w:hAnsi="Times New Roman"/>
                <w:sz w:val="22"/>
                <w:szCs w:val="22"/>
                <w:color w:val="auto"/>
              </w:rPr>
              <w:t xml:space="preserve"> through</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its affiliate, Cipher Mining Technologies Inc. (“</w:t>
            </w:r>
            <w:r>
              <w:rPr>
                <w:rFonts w:ascii="Times New Roman" w:cs="Times New Roman" w:eastAsia="Times New Roman" w:hAnsi="Times New Roman"/>
                <w:sz w:val="22"/>
                <w:szCs w:val="22"/>
                <w:b w:val="1"/>
                <w:bCs w:val="1"/>
                <w:color w:val="auto"/>
              </w:rPr>
              <w:t>CMTI</w:t>
            </w:r>
            <w:r>
              <w:rPr>
                <w:rFonts w:ascii="Times New Roman" w:cs="Times New Roman" w:eastAsia="Times New Roman" w:hAnsi="Times New Roman"/>
                <w:sz w:val="22"/>
                <w:szCs w:val="22"/>
                <w:color w:val="auto"/>
              </w:rPr>
              <w:t>”) on December 12, 2023 as</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Initial Down</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w w:val="94"/>
              </w:rPr>
              <w:t>-</w:t>
            </w:r>
          </w:p>
        </w:tc>
        <w:tc>
          <w:tcPr>
            <w:tcW w:w="78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 xml:space="preserve">“Earnest Money” for the Products, pursuant to the </w:t>
            </w:r>
            <w:r>
              <w:rPr>
                <w:rFonts w:ascii="Times New Roman" w:cs="Times New Roman" w:eastAsia="Times New Roman" w:hAnsi="Times New Roman"/>
                <w:sz w:val="22"/>
                <w:szCs w:val="22"/>
                <w:i w:val="1"/>
                <w:iCs w:val="1"/>
                <w:color w:val="auto"/>
              </w:rPr>
              <w:t>Letter of Intent for Bulk</w:t>
            </w:r>
          </w:p>
        </w:tc>
        <w:tc>
          <w:tcPr>
            <w:tcW w:w="0" w:type="dxa"/>
            <w:vAlign w:val="bottom"/>
          </w:tcPr>
          <w:p>
            <w:pPr>
              <w:spacing w:after="0"/>
              <w:rPr>
                <w:sz w:val="1"/>
                <w:szCs w:val="1"/>
                <w:color w:val="auto"/>
              </w:rPr>
            </w:pPr>
          </w:p>
        </w:tc>
      </w:tr>
      <w:tr>
        <w:trPr>
          <w:trHeight w:val="141"/>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Payment</w:t>
            </w:r>
          </w:p>
        </w:tc>
        <w:tc>
          <w:tcPr>
            <w:tcW w:w="1620" w:type="dxa"/>
            <w:vAlign w:val="bottom"/>
            <w:vMerge w:val="continue"/>
          </w:tcPr>
          <w:p>
            <w:pPr>
              <w:spacing w:after="0"/>
              <w:rPr>
                <w:sz w:val="12"/>
                <w:szCs w:val="12"/>
                <w:color w:val="auto"/>
              </w:rPr>
            </w:pPr>
          </w:p>
        </w:tc>
        <w:tc>
          <w:tcPr>
            <w:tcW w:w="78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entered by and between BITMAIN DEVELOPMENT PTE. LTD.</w:t>
            </w:r>
          </w:p>
        </w:tc>
        <w:tc>
          <w:tcPr>
            <w:tcW w:w="0" w:type="dxa"/>
            <w:vAlign w:val="bottom"/>
          </w:tcPr>
          <w:p>
            <w:pPr>
              <w:spacing w:after="0"/>
              <w:rPr>
                <w:sz w:val="1"/>
                <w:szCs w:val="1"/>
                <w:color w:val="auto"/>
              </w:rPr>
            </w:pPr>
          </w:p>
        </w:tc>
      </w:tr>
      <w:tr>
        <w:trPr>
          <w:trHeight w:val="102"/>
        </w:trPr>
        <w:tc>
          <w:tcPr>
            <w:tcW w:w="176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7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60" w:type="dxa"/>
            <w:vAlign w:val="bottom"/>
          </w:tcPr>
          <w:p>
            <w:pPr>
              <w:ind w:left="180"/>
              <w:spacing w:after="0" w:line="24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BITMAIN DEVELOPMENT</w:t>
            </w:r>
            <w:r>
              <w:rPr>
                <w:rFonts w:ascii="Times New Roman" w:cs="Times New Roman" w:eastAsia="Times New Roman" w:hAnsi="Times New Roman"/>
                <w:sz w:val="22"/>
                <w:szCs w:val="22"/>
                <w:color w:val="auto"/>
              </w:rPr>
              <w:t>”) and CMTI, executed by CMTI on December 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2023 and by BITMAIN DEVELOPMENT on December 12, 2023.</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0"/>
        </w:trPr>
        <w:tc>
          <w:tcPr>
            <w:tcW w:w="17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20% minus the</w:t>
            </w: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w w:val="99"/>
              </w:rPr>
              <w:t>20% of the Total Purchase Price of all batches of Products hereunder minus the Initial</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Down Payment</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Initial Down</w:t>
            </w:r>
          </w:p>
        </w:tc>
        <w:tc>
          <w:tcPr>
            <w:tcW w:w="78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i w:val="1"/>
                <w:iCs w:val="1"/>
                <w:color w:val="auto"/>
                <w:w w:val="99"/>
              </w:rPr>
              <w:t>Down Payment shall be paid by the Purchaser within seven (7) days after the execution</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Payment</w:t>
            </w: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of this Agreement</w:t>
            </w:r>
          </w:p>
        </w:tc>
        <w:tc>
          <w:tcPr>
            <w:tcW w:w="0" w:type="dxa"/>
            <w:vAlign w:val="bottom"/>
          </w:tcPr>
          <w:p>
            <w:pPr>
              <w:spacing w:after="0"/>
              <w:rPr>
                <w:sz w:val="1"/>
                <w:szCs w:val="1"/>
                <w:color w:val="auto"/>
              </w:rPr>
            </w:pPr>
          </w:p>
        </w:tc>
      </w:tr>
      <w:tr>
        <w:trPr>
          <w:trHeight w:val="136"/>
        </w:trPr>
        <w:tc>
          <w:tcPr>
            <w:tcW w:w="17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7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7"/>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30% of the Total Purchase Price of each batch of Products shall be paid by the</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Interim Payment</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30%</w:t>
            </w:r>
          </w:p>
        </w:tc>
        <w:tc>
          <w:tcPr>
            <w:tcW w:w="78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i w:val="1"/>
                <w:iCs w:val="1"/>
                <w:color w:val="auto"/>
              </w:rPr>
              <w:t>Purchaser at least one (1) month prior to the first day of the Shipping Period of such</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batch of Products</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30% of the Total Purchase Price of each batch of Products shall be paid by the</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Interim Payment</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30%</w:t>
            </w:r>
          </w:p>
        </w:tc>
        <w:tc>
          <w:tcPr>
            <w:tcW w:w="78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i w:val="1"/>
                <w:iCs w:val="1"/>
                <w:color w:val="auto"/>
              </w:rPr>
              <w:t>Purchaser at least seven (7) days prior to the first day of the Shipping Period of such</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batch of Products.</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Balance</w:t>
            </w:r>
          </w:p>
        </w:tc>
        <w:tc>
          <w:tcPr>
            <w:tcW w:w="162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20% of the Total Purchase Price of each batch of Products shall be paid by the</w:t>
            </w:r>
          </w:p>
        </w:tc>
        <w:tc>
          <w:tcPr>
            <w:tcW w:w="0" w:type="dxa"/>
            <w:vAlign w:val="bottom"/>
          </w:tcPr>
          <w:p>
            <w:pPr>
              <w:spacing w:after="0"/>
              <w:rPr>
                <w:sz w:val="1"/>
                <w:szCs w:val="1"/>
                <w:color w:val="auto"/>
              </w:rPr>
            </w:pPr>
          </w:p>
        </w:tc>
      </w:tr>
      <w:tr>
        <w:trPr>
          <w:trHeight w:val="122"/>
        </w:trPr>
        <w:tc>
          <w:tcPr>
            <w:tcW w:w="1760" w:type="dxa"/>
            <w:vAlign w:val="bottom"/>
            <w:vMerge w:val="continue"/>
          </w:tcPr>
          <w:p>
            <w:pPr>
              <w:spacing w:after="0"/>
              <w:rPr>
                <w:sz w:val="10"/>
                <w:szCs w:val="10"/>
                <w:color w:val="auto"/>
              </w:rPr>
            </w:pPr>
          </w:p>
        </w:tc>
        <w:tc>
          <w:tcPr>
            <w:tcW w:w="1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20%</w:t>
            </w:r>
          </w:p>
        </w:tc>
        <w:tc>
          <w:tcPr>
            <w:tcW w:w="786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i w:val="1"/>
                <w:iCs w:val="1"/>
                <w:color w:val="auto"/>
              </w:rPr>
              <w:t>Purchaser within nine (9) months of the delivery date specified in the Ready-to-Ship</w:t>
            </w:r>
          </w:p>
        </w:tc>
        <w:tc>
          <w:tcPr>
            <w:tcW w:w="0" w:type="dxa"/>
            <w:vAlign w:val="bottom"/>
          </w:tcPr>
          <w:p>
            <w:pPr>
              <w:spacing w:after="0"/>
              <w:rPr>
                <w:sz w:val="1"/>
                <w:szCs w:val="1"/>
                <w:color w:val="auto"/>
              </w:rPr>
            </w:pPr>
          </w:p>
        </w:tc>
      </w:tr>
      <w:tr>
        <w:trPr>
          <w:trHeight w:val="121"/>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Payment</w:t>
            </w:r>
          </w:p>
        </w:tc>
        <w:tc>
          <w:tcPr>
            <w:tcW w:w="1620" w:type="dxa"/>
            <w:vAlign w:val="bottom"/>
            <w:vMerge w:val="continue"/>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78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i w:val="1"/>
                <w:iCs w:val="1"/>
                <w:color w:val="auto"/>
              </w:rPr>
              <w:t>Notification for such batch of Products.</w:t>
            </w: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1"/>
        </w:trPr>
        <w:tc>
          <w:tcPr>
            <w:tcW w:w="1760" w:type="dxa"/>
            <w:vAlign w:val="bottom"/>
          </w:tcPr>
          <w:p>
            <w:pPr>
              <w:jc w:val="right"/>
              <w:ind w:right="1557"/>
              <w:spacing w:after="0"/>
              <w:rPr>
                <w:sz w:val="20"/>
                <w:szCs w:val="20"/>
                <w:color w:val="auto"/>
              </w:rPr>
            </w:pPr>
            <w:r>
              <w:rPr>
                <w:rFonts w:ascii="Times New Roman" w:cs="Times New Roman" w:eastAsia="Times New Roman" w:hAnsi="Times New Roman"/>
                <w:sz w:val="20"/>
                <w:szCs w:val="20"/>
                <w:color w:val="auto"/>
                <w:w w:val="79"/>
              </w:rPr>
              <w:t>3</w:t>
            </w:r>
          </w:p>
        </w:tc>
        <w:tc>
          <w:tcPr>
            <w:tcW w:w="1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0"/>
        </w:trPr>
        <w:tc>
          <w:tcPr>
            <w:tcW w:w="1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ind w:left="760" w:hanging="752"/>
        <w:spacing w:after="0" w:line="262" w:lineRule="auto"/>
        <w:tabs>
          <w:tab w:leader="none" w:pos="760"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i w:val="1"/>
          <w:iCs w:val="1"/>
          <w:u w:val="single" w:color="auto"/>
          <w:color w:val="auto"/>
        </w:rPr>
        <w:t>Amendments to paragraph 1.1 of Appendix C of the Original Agreement.</w:t>
      </w:r>
      <w:r>
        <w:rPr>
          <w:rFonts w:ascii="Times New Roman" w:cs="Times New Roman" w:eastAsia="Times New Roman" w:hAnsi="Times New Roman"/>
          <w:sz w:val="22"/>
          <w:szCs w:val="22"/>
          <w:i w:val="1"/>
          <w:iCs w:val="1"/>
          <w:color w:val="auto"/>
        </w:rPr>
        <w:t xml:space="preserve"> The Parties hereby agree that paragraph 1.1 of Appendix C of the Original Agreement shall be deleted in its entirety and replaced as per below:</w:t>
      </w:r>
    </w:p>
    <w:p>
      <w:pPr>
        <w:spacing w:after="0" w:line="149" w:lineRule="exact"/>
        <w:rPr>
          <w:rFonts w:ascii="Times New Roman" w:cs="Times New Roman" w:eastAsia="Times New Roman" w:hAnsi="Times New Roman"/>
          <w:sz w:val="22"/>
          <w:szCs w:val="22"/>
          <w:u w:val="single" w:color="auto"/>
          <w:color w:val="auto"/>
        </w:rPr>
      </w:pPr>
    </w:p>
    <w:p>
      <w:pPr>
        <w:jc w:val="both"/>
        <w:ind w:left="760"/>
        <w:spacing w:after="0" w:line="235"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i w:val="1"/>
          <w:iCs w:val="1"/>
          <w:color w:val="auto"/>
        </w:rPr>
        <w:t xml:space="preserve">1.1 </w:t>
      </w:r>
      <w:r>
        <w:rPr>
          <w:rFonts w:ascii="Times New Roman" w:cs="Times New Roman" w:eastAsia="Times New Roman" w:hAnsi="Times New Roman"/>
          <w:sz w:val="22"/>
          <w:szCs w:val="22"/>
          <w:i w:val="1"/>
          <w:iCs w:val="1"/>
          <w:u w:val="single" w:color="auto"/>
          <w:color w:val="auto"/>
        </w:rPr>
        <w:t>Right to Purchase</w:t>
      </w:r>
      <w:r>
        <w:rPr>
          <w:rFonts w:ascii="Times New Roman" w:cs="Times New Roman" w:eastAsia="Times New Roman" w:hAnsi="Times New Roman"/>
          <w:sz w:val="22"/>
          <w:szCs w:val="22"/>
          <w:i w:val="1"/>
          <w:iCs w:val="1"/>
          <w:color w:val="auto"/>
        </w:rPr>
        <w:t>. Subject to the terms and conditions of this Agreement, at any time during the period from the date of this Agreement to December 31, 2024 (the “</w:t>
      </w:r>
      <w:r>
        <w:rPr>
          <w:rFonts w:ascii="Times New Roman" w:cs="Times New Roman" w:eastAsia="Times New Roman" w:hAnsi="Times New Roman"/>
          <w:sz w:val="22"/>
          <w:szCs w:val="22"/>
          <w:b w:val="1"/>
          <w:bCs w:val="1"/>
          <w:i w:val="1"/>
          <w:iCs w:val="1"/>
          <w:color w:val="auto"/>
        </w:rPr>
        <w:t>Call Option Period</w:t>
      </w:r>
      <w:r>
        <w:rPr>
          <w:rFonts w:ascii="Times New Roman" w:cs="Times New Roman" w:eastAsia="Times New Roman" w:hAnsi="Times New Roman"/>
          <w:sz w:val="22"/>
          <w:szCs w:val="22"/>
          <w:i w:val="1"/>
          <w:iCs w:val="1"/>
          <w:color w:val="auto"/>
        </w:rPr>
        <w:t>”), the Purchaser shall have the right (the “</w:t>
      </w:r>
      <w:r>
        <w:rPr>
          <w:rFonts w:ascii="Times New Roman" w:cs="Times New Roman" w:eastAsia="Times New Roman" w:hAnsi="Times New Roman"/>
          <w:sz w:val="22"/>
          <w:szCs w:val="22"/>
          <w:b w:val="1"/>
          <w:bCs w:val="1"/>
          <w:i w:val="1"/>
          <w:iCs w:val="1"/>
          <w:color w:val="auto"/>
        </w:rPr>
        <w:t>Call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i w:val="1"/>
          <w:iCs w:val="1"/>
          <w:color w:val="auto"/>
        </w:rPr>
        <w:t>”), but not the obligation, to purchase, in whole or in part, additional Products having the same or better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specifications listed in the table below (the “</w:t>
      </w:r>
      <w:r>
        <w:rPr>
          <w:rFonts w:ascii="Times New Roman" w:cs="Times New Roman" w:eastAsia="Times New Roman" w:hAnsi="Times New Roman"/>
          <w:sz w:val="22"/>
          <w:szCs w:val="22"/>
          <w:b w:val="1"/>
          <w:bCs w:val="1"/>
          <w:i w:val="1"/>
          <w:iCs w:val="1"/>
          <w:color w:val="auto"/>
        </w:rPr>
        <w:t>Forward Deliverable</w:t>
      </w:r>
      <w:r>
        <w:rPr>
          <w:rFonts w:ascii="Times New Roman" w:cs="Times New Roman" w:eastAsia="Times New Roman" w:hAnsi="Times New Roman"/>
          <w:sz w:val="22"/>
          <w:szCs w:val="22"/>
          <w:i w:val="1"/>
          <w:iCs w:val="1"/>
          <w:color w:val="auto"/>
        </w:rPr>
        <w:t>s”) at the Call Purchase Price (as defined below) in one or more transactions, which may be done in more than one batch in non-consecutive months. The maximum rated hashrate of the Forward Deliverables if exercising the Call Option in full shall be 8,684,140 T with a total purchase price of US$ 121,577,960 (“</w:t>
      </w:r>
      <w:r>
        <w:rPr>
          <w:rFonts w:ascii="Times New Roman" w:cs="Times New Roman" w:eastAsia="Times New Roman" w:hAnsi="Times New Roman"/>
          <w:sz w:val="22"/>
          <w:szCs w:val="22"/>
          <w:b w:val="1"/>
          <w:bCs w:val="1"/>
          <w:i w:val="1"/>
          <w:iCs w:val="1"/>
          <w:color w:val="auto"/>
        </w:rPr>
        <w:t>Call Purchase Price</w:t>
      </w:r>
      <w:r>
        <w:rPr>
          <w:rFonts w:ascii="Times New Roman" w:cs="Times New Roman" w:eastAsia="Times New Roman" w:hAnsi="Times New Roman"/>
          <w:sz w:val="22"/>
          <w:szCs w:val="22"/>
          <w:i w:val="1"/>
          <w:iCs w:val="1"/>
          <w:color w:val="auto"/>
        </w:rPr>
        <w:t>”), representing US$ 14 per T and full unit price of US$ 2,660 per unit, and the maximum quantity of Forward Deliverables shall be approximately 45,706 units.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2500" w:type="dxa"/>
            <w:vAlign w:val="bottom"/>
            <w:tcBorders>
              <w:top w:val="single" w:sz="8" w:color="auto"/>
              <w:left w:val="single" w:sz="8" w:color="auto"/>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2"/>
                <w:szCs w:val="22"/>
                <w:i w:val="1"/>
                <w:iCs w:val="1"/>
                <w:color w:val="auto"/>
              </w:rPr>
              <w:t>Type</w:t>
            </w:r>
          </w:p>
        </w:tc>
        <w:tc>
          <w:tcPr>
            <w:tcW w:w="460" w:type="dxa"/>
            <w:vAlign w:val="bottom"/>
            <w:tcBorders>
              <w:top w:val="single" w:sz="8" w:color="auto"/>
            </w:tcBorders>
            <w:shd w:val="clear" w:color="auto" w:fill="D9D9D9"/>
          </w:tcPr>
          <w:p>
            <w:pPr>
              <w:spacing w:after="0"/>
              <w:rPr>
                <w:sz w:val="24"/>
                <w:szCs w:val="24"/>
                <w:color w:val="auto"/>
              </w:rPr>
            </w:pPr>
          </w:p>
        </w:tc>
        <w:tc>
          <w:tcPr>
            <w:tcW w:w="8280" w:type="dxa"/>
            <w:vAlign w:val="bottom"/>
            <w:tcBorders>
              <w:top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22"/>
                <w:szCs w:val="22"/>
                <w:i w:val="1"/>
                <w:iCs w:val="1"/>
                <w:color w:val="auto"/>
              </w:rPr>
              <w:t>Details</w:t>
            </w:r>
          </w:p>
        </w:tc>
        <w:tc>
          <w:tcPr>
            <w:tcW w:w="0" w:type="dxa"/>
            <w:vAlign w:val="bottom"/>
          </w:tcPr>
          <w:p>
            <w:pPr>
              <w:spacing w:after="0"/>
              <w:rPr>
                <w:sz w:val="1"/>
                <w:szCs w:val="1"/>
                <w:color w:val="auto"/>
              </w:rPr>
            </w:pPr>
          </w:p>
        </w:tc>
      </w:tr>
      <w:tr>
        <w:trPr>
          <w:trHeight w:val="173"/>
        </w:trPr>
        <w:tc>
          <w:tcPr>
            <w:tcW w:w="25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8740" w:type="dxa"/>
            <w:vAlign w:val="bottom"/>
            <w:tcBorders>
              <w:bottom w:val="single" w:sz="8" w:color="auto"/>
              <w:right w:val="single" w:sz="8" w:color="auto"/>
            </w:tcBorders>
            <w:gridSpan w:val="2"/>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Product Name</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HASH Super Computing Server</w:t>
            </w:r>
          </w:p>
        </w:tc>
        <w:tc>
          <w:tcPr>
            <w:tcW w:w="0" w:type="dxa"/>
            <w:vAlign w:val="bottom"/>
          </w:tcPr>
          <w:p>
            <w:pPr>
              <w:spacing w:after="0"/>
              <w:rPr>
                <w:sz w:val="1"/>
                <w:szCs w:val="1"/>
                <w:color w:val="auto"/>
              </w:rPr>
            </w:pPr>
          </w:p>
        </w:tc>
      </w:tr>
      <w:tr>
        <w:trPr>
          <w:trHeight w:val="156"/>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Model</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T21</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87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tcBorders>
              <w:left w:val="single" w:sz="8" w:color="auto"/>
              <w:right w:val="single" w:sz="8" w:color="auto"/>
            </w:tcBorders>
          </w:tcPr>
          <w:p>
            <w:pPr>
              <w:ind w:left="120"/>
              <w:spacing w:after="0" w:line="219" w:lineRule="exact"/>
              <w:rPr>
                <w:sz w:val="20"/>
                <w:szCs w:val="20"/>
                <w:color w:val="auto"/>
              </w:rPr>
            </w:pPr>
            <w:r>
              <w:rPr>
                <w:rFonts w:ascii="Times New Roman" w:cs="Times New Roman" w:eastAsia="Times New Roman" w:hAnsi="Times New Roman"/>
                <w:sz w:val="22"/>
                <w:szCs w:val="22"/>
                <w:i w:val="1"/>
                <w:iCs w:val="1"/>
                <w:color w:val="auto"/>
              </w:rPr>
              <w:t>Rated Hashrate per Unit,</w:t>
            </w:r>
          </w:p>
        </w:tc>
        <w:tc>
          <w:tcPr>
            <w:tcW w:w="8740" w:type="dxa"/>
            <w:vAlign w:val="bottom"/>
            <w:tcBorders>
              <w:right w:val="single" w:sz="8" w:color="auto"/>
            </w:tcBorders>
            <w:gridSpan w:val="2"/>
          </w:tcPr>
          <w:p>
            <w:pPr>
              <w:ind w:left="80"/>
              <w:spacing w:after="0" w:line="219" w:lineRule="exact"/>
              <w:rPr>
                <w:sz w:val="20"/>
                <w:szCs w:val="20"/>
                <w:color w:val="auto"/>
              </w:rPr>
            </w:pPr>
            <w:r>
              <w:rPr>
                <w:rFonts w:ascii="Times New Roman" w:cs="Times New Roman" w:eastAsia="Times New Roman" w:hAnsi="Times New Roman"/>
                <w:sz w:val="22"/>
                <w:szCs w:val="22"/>
                <w:i w:val="1"/>
                <w:iCs w:val="1"/>
                <w:color w:val="auto"/>
              </w:rPr>
              <w:t>190.00</w:t>
            </w: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T/s</w:t>
            </w:r>
          </w:p>
        </w:tc>
        <w:tc>
          <w:tcPr>
            <w:tcW w:w="46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Rated Power per Unit, W</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3,610.00</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87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J/T</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19.00</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1.</w:t>
            </w:r>
          </w:p>
        </w:tc>
        <w:tc>
          <w:tcPr>
            <w:tcW w:w="8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i w:val="1"/>
                <w:iCs w:val="1"/>
                <w:color w:val="auto"/>
              </w:rPr>
              <w:t>BITMAIN undertakes that the error range of the J/T indicator does not exceed 10%.</w:t>
            </w:r>
          </w:p>
        </w:tc>
        <w:tc>
          <w:tcPr>
            <w:tcW w:w="0" w:type="dxa"/>
            <w:vAlign w:val="bottom"/>
          </w:tcPr>
          <w:p>
            <w:pPr>
              <w:spacing w:after="0"/>
              <w:rPr>
                <w:sz w:val="1"/>
                <w:szCs w:val="1"/>
                <w:color w:val="auto"/>
              </w:rPr>
            </w:pPr>
          </w:p>
        </w:tc>
      </w:tr>
      <w:tr>
        <w:trPr>
          <w:trHeight w:val="371"/>
        </w:trPr>
        <w:tc>
          <w:tcPr>
            <w:tcW w:w="25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2.</w:t>
            </w:r>
          </w:p>
        </w:tc>
        <w:tc>
          <w:tcPr>
            <w:tcW w:w="8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i w:val="1"/>
                <w:iCs w:val="1"/>
                <w:color w:val="auto"/>
              </w:rPr>
              <w:t>The Rated Hashrate per Unit and Rated Power per Unit are for reference only and such</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i w:val="1"/>
                <w:iCs w:val="1"/>
                <w:color w:val="auto"/>
              </w:rPr>
              <w:t>Description</w:t>
            </w:r>
          </w:p>
        </w:tc>
        <w:tc>
          <w:tcPr>
            <w:tcW w:w="874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indicator of each batch or unit of Products may differ. BITMAIN makes no representation on the</w:t>
            </w: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vMerge w:val="continue"/>
          </w:tcPr>
          <w:p>
            <w:pPr>
              <w:spacing w:after="0"/>
              <w:rPr>
                <w:sz w:val="24"/>
                <w:szCs w:val="24"/>
                <w:color w:val="auto"/>
              </w:rPr>
            </w:pP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Rated Hashrate per Unit and/or the Rated Power per Unit of any Products.</w:t>
            </w:r>
          </w:p>
        </w:tc>
        <w:tc>
          <w:tcPr>
            <w:tcW w:w="0" w:type="dxa"/>
            <w:vAlign w:val="bottom"/>
          </w:tcPr>
          <w:p>
            <w:pPr>
              <w:spacing w:after="0"/>
              <w:rPr>
                <w:sz w:val="1"/>
                <w:szCs w:val="1"/>
                <w:color w:val="auto"/>
              </w:rPr>
            </w:pPr>
          </w:p>
        </w:tc>
      </w:tr>
      <w:tr>
        <w:trPr>
          <w:trHeight w:val="375"/>
        </w:trPr>
        <w:tc>
          <w:tcPr>
            <w:tcW w:w="2500" w:type="dxa"/>
            <w:vAlign w:val="bottom"/>
            <w:tcBorders>
              <w:left w:val="single" w:sz="8" w:color="auto"/>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3.</w:t>
            </w:r>
          </w:p>
        </w:tc>
        <w:tc>
          <w:tcPr>
            <w:tcW w:w="82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22"/>
                <w:szCs w:val="22"/>
                <w:i w:val="1"/>
                <w:iCs w:val="1"/>
                <w:color w:val="auto"/>
                <w:w w:val="99"/>
              </w:rPr>
              <w:t>Purchaser shall not reject the Products on the grounds that the parameters of the delivered</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Products are not in consistence with the reference indicators; provided that the parameters of the</w:t>
            </w: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delivered Products are within the error range set forth above.</w:t>
            </w:r>
          </w:p>
        </w:tc>
        <w:tc>
          <w:tcPr>
            <w:tcW w:w="0" w:type="dxa"/>
            <w:vAlign w:val="bottom"/>
          </w:tcPr>
          <w:p>
            <w:pPr>
              <w:spacing w:after="0"/>
              <w:rPr>
                <w:sz w:val="1"/>
                <w:szCs w:val="1"/>
                <w:color w:val="auto"/>
              </w:rPr>
            </w:pPr>
          </w:p>
        </w:tc>
      </w:tr>
      <w:tr>
        <w:trPr>
          <w:trHeight w:val="177"/>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760" w:hanging="752"/>
        <w:spacing w:after="0" w:line="239" w:lineRule="auto"/>
        <w:tabs>
          <w:tab w:leader="none" w:pos="760" w:val="left"/>
        </w:tabs>
        <w:numPr>
          <w:ilvl w:val="0"/>
          <w:numId w:val="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the avoidance of doubt, except as set out in this Supplemental Agreement, the provisions of the Original Agreement shall not otherwise be affected by this Supplemental Agreement and shall remain in full force and effect. In the event of discrepancies between this Supplemental Agreement and the Original Agreement, the provisions of this Supplemental Agreement shall prevail.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jc w:val="both"/>
        <w:ind w:left="760" w:hanging="752"/>
        <w:spacing w:after="0" w:line="239" w:lineRule="auto"/>
        <w:tabs>
          <w:tab w:leader="none" w:pos="76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Further Assurance</w:t>
      </w:r>
      <w:r>
        <w:rPr>
          <w:rFonts w:ascii="Times New Roman" w:cs="Times New Roman" w:eastAsia="Times New Roman" w:hAnsi="Times New Roman"/>
          <w:sz w:val="22"/>
          <w:szCs w:val="22"/>
          <w:color w:val="auto"/>
        </w:rPr>
        <w:t>. At all times after the date of this Supplemental Agreement, each of the Parties agrees to perform (or procure the performance of) all such acts and things and/or to execute and deliver (or procure the execution and delivery of) all such documents, as may be required by law or as may be necessary or reasonably requested by the other parties for giving full effect to this Supplemental Agreement.</w:t>
      </w:r>
    </w:p>
    <w:p>
      <w:pPr>
        <w:spacing w:after="0" w:line="180" w:lineRule="exact"/>
        <w:rPr>
          <w:rFonts w:ascii="Times New Roman" w:cs="Times New Roman" w:eastAsia="Times New Roman" w:hAnsi="Times New Roman"/>
          <w:sz w:val="22"/>
          <w:szCs w:val="22"/>
          <w:u w:val="single" w:color="auto"/>
          <w:color w:val="auto"/>
        </w:rPr>
      </w:pPr>
    </w:p>
    <w:p>
      <w:pPr>
        <w:ind w:left="760" w:hanging="752"/>
        <w:spacing w:after="0" w:line="258" w:lineRule="auto"/>
        <w:tabs>
          <w:tab w:leader="none" w:pos="760"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Except as modified by this Supplemental Agreement, Clauses 1 to 25 of the Original Agreement apply mutatis mutandis to this Supplemental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0580" cy="274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t>
      </w:r>
      <w:r>
        <w:rPr>
          <w:rFonts w:ascii="Times New Roman" w:cs="Times New Roman" w:eastAsia="Times New Roman" w:hAnsi="Times New Roman"/>
          <w:sz w:val="21"/>
          <w:szCs w:val="21"/>
          <w:color w:val="auto"/>
        </w:rPr>
        <w:t>whereof this Supplemental Agreement has been duly executed by the undersigned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EXECUTED BY: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Cheng 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4478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Cheng Ran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EXECUTED BY: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221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172212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William Iwaschuk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and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0" w:name="page51"/>
    <w:bookmarkEnd w:id="5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17090" cy="283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28321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DATED July 10</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(“BITMAIN”)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647700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AMENDMENT AGREEMENT TO</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FUTURE SALES AND PURCHASE AGREEMENT (ANTMINER T21)</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relating to the purchase of Hash Super Computing Server, 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Dated December 16</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BM Ref: SALES-20240627-01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1875790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1" w:name="page52"/>
    <w:bookmarkEnd w:id="51"/>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 xml:space="preserve">THIS AMENDMENT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on July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hanging="752"/>
        <w:spacing w:after="0" w:line="262" w:lineRule="auto"/>
        <w:tabs>
          <w:tab w:leader="none" w:pos="7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BITMAIN TECHNOLOGIES DELAWARE LIMITED</w:t>
      </w:r>
      <w:r>
        <w:rPr>
          <w:rFonts w:ascii="Times New Roman" w:cs="Times New Roman" w:eastAsia="Times New Roman" w:hAnsi="Times New Roman"/>
          <w:sz w:val="22"/>
          <w:szCs w:val="22"/>
          <w:color w:val="auto"/>
        </w:rPr>
        <w:t>, a company incorporated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the United States (File Number: 6096946) (“</w:t>
      </w:r>
      <w:r>
        <w:rPr>
          <w:rFonts w:ascii="Times New Roman" w:cs="Times New Roman" w:eastAsia="Times New Roman" w:hAnsi="Times New Roman"/>
          <w:sz w:val="22"/>
          <w:szCs w:val="22"/>
          <w:b w:val="1"/>
          <w:bCs w:val="1"/>
          <w:color w:val="auto"/>
        </w:rPr>
        <w:t>BITMAIN</w:t>
      </w:r>
      <w:r>
        <w:rPr>
          <w:rFonts w:ascii="Times New Roman" w:cs="Times New Roman" w:eastAsia="Times New Roman" w:hAnsi="Times New Roman"/>
          <w:sz w:val="22"/>
          <w:szCs w:val="22"/>
          <w:color w:val="auto"/>
        </w:rPr>
        <w:t>”); and</w:t>
      </w:r>
    </w:p>
    <w:p>
      <w:pPr>
        <w:spacing w:after="0" w:line="149" w:lineRule="exact"/>
        <w:rPr>
          <w:rFonts w:ascii="Times New Roman" w:cs="Times New Roman" w:eastAsia="Times New Roman" w:hAnsi="Times New Roman"/>
          <w:sz w:val="22"/>
          <w:szCs w:val="22"/>
          <w:color w:val="auto"/>
        </w:rPr>
      </w:pPr>
    </w:p>
    <w:p>
      <w:pPr>
        <w:ind w:left="760" w:right="20" w:hanging="752"/>
        <w:spacing w:after="0" w:line="262" w:lineRule="auto"/>
        <w:tabs>
          <w:tab w:leader="none" w:pos="7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Cipher Mining Infrastructure LLC</w:t>
      </w:r>
      <w:r>
        <w:rPr>
          <w:rFonts w:ascii="Times New Roman" w:cs="Times New Roman" w:eastAsia="Times New Roman" w:hAnsi="Times New Roman"/>
          <w:sz w:val="22"/>
          <w:szCs w:val="22"/>
          <w:color w:val="auto"/>
        </w:rPr>
        <w:t>, a company incorporated and existing under the laws of the State of Delaware,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(File Number: 93-4777486)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(together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1" w:lineRule="exact"/>
        <w:rPr>
          <w:sz w:val="20"/>
          <w:szCs w:val="20"/>
          <w:color w:val="auto"/>
        </w:rPr>
      </w:pPr>
    </w:p>
    <w:p>
      <w:pPr>
        <w:jc w:val="both"/>
        <w:ind w:left="760" w:hanging="752"/>
        <w:spacing w:after="0" w:line="231" w:lineRule="auto"/>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BITMAIN and the Purchaser have entered into a </w:t>
      </w:r>
      <w:r>
        <w:rPr>
          <w:rFonts w:ascii="Times New Roman" w:cs="Times New Roman" w:eastAsia="Times New Roman" w:hAnsi="Times New Roman"/>
          <w:sz w:val="22"/>
          <w:szCs w:val="22"/>
          <w:i w:val="1"/>
          <w:iCs w:val="1"/>
          <w:color w:val="auto"/>
        </w:rPr>
        <w:t>Future Sales and Purchase Agreement (ANTMINER T21)</w:t>
      </w:r>
      <w:r>
        <w:rPr>
          <w:rFonts w:ascii="Times New Roman" w:cs="Times New Roman" w:eastAsia="Times New Roman" w:hAnsi="Times New Roman"/>
          <w:sz w:val="22"/>
          <w:szCs w:val="22"/>
          <w:color w:val="auto"/>
        </w:rPr>
        <w:t xml:space="preserve"> (BM Ref: T21-XS-00120231216005) dated December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2023 (as amended by the </w:t>
      </w:r>
      <w:r>
        <w:rPr>
          <w:rFonts w:ascii="Times New Roman" w:cs="Times New Roman" w:eastAsia="Times New Roman" w:hAnsi="Times New Roman"/>
          <w:sz w:val="22"/>
          <w:szCs w:val="22"/>
          <w:i w:val="1"/>
          <w:iCs w:val="1"/>
          <w:color w:val="auto"/>
        </w:rPr>
        <w:t>Supplemental Agreement</w:t>
      </w:r>
      <w:r>
        <w:rPr>
          <w:rFonts w:ascii="Times New Roman" w:cs="Times New Roman" w:eastAsia="Times New Roman" w:hAnsi="Times New Roman"/>
          <w:sz w:val="22"/>
          <w:szCs w:val="22"/>
          <w:color w:val="auto"/>
        </w:rPr>
        <w:t xml:space="preserve"> (BM Ref: SALES-20240602-01) dated June 5, 2024,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in respect of (1) HASH Super Computing Servers (Model: S21 Pro) of a reference quantity of 30,364 to be delivered in September and October 2024 with an estimated total purchase price of US$134,287,826.40 and (2) a right to purchase additional HASH Super Computing Servers (Model: T21) of a maximum quantity of 45,706 by December 31, 2024, with an estimated total price of US$121,577,960.</w:t>
      </w:r>
    </w:p>
    <w:p>
      <w:pPr>
        <w:spacing w:after="0" w:line="177"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none of the Products under the Original Agreement has been executed and delivered.</w:t>
      </w:r>
    </w:p>
    <w:p>
      <w:pPr>
        <w:spacing w:after="0" w:line="206" w:lineRule="exact"/>
        <w:rPr>
          <w:rFonts w:ascii="Times New Roman" w:cs="Times New Roman" w:eastAsia="Times New Roman" w:hAnsi="Times New Roman"/>
          <w:sz w:val="22"/>
          <w:szCs w:val="22"/>
          <w:color w:val="auto"/>
        </w:rPr>
      </w:pPr>
    </w:p>
    <w:p>
      <w:pPr>
        <w:ind w:left="760" w:hanging="752"/>
        <w:spacing w:after="0" w:line="258" w:lineRule="auto"/>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wish to enter into this Amendment regarding certain amendments to the Original Agreement. Unless the context otherwise requires, terms defined in the Original Agreement shall have the same meaning in this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 IS AGREED AS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hanging="752"/>
        <w:spacing w:after="0" w:line="244" w:lineRule="auto"/>
        <w:tabs>
          <w:tab w:leader="none" w:pos="760"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to paragraph 1.1 and 1.2 of Appendix C of the Original Agreement.</w:t>
      </w:r>
      <w:r>
        <w:rPr>
          <w:rFonts w:ascii="Times New Roman" w:cs="Times New Roman" w:eastAsia="Times New Roman" w:hAnsi="Times New Roman"/>
          <w:sz w:val="22"/>
          <w:szCs w:val="22"/>
          <w:color w:val="auto"/>
        </w:rPr>
        <w:t xml:space="preserve"> The Parties hereby agree that paragraph 1.1 and 1.2 of Appendix C of the Original Agreement shall be deleted in its entirety and replaced as per below:</w:t>
      </w:r>
    </w:p>
    <w:p>
      <w:pPr>
        <w:spacing w:after="0" w:line="169" w:lineRule="exact"/>
        <w:rPr>
          <w:rFonts w:ascii="Times New Roman" w:cs="Times New Roman" w:eastAsia="Times New Roman" w:hAnsi="Times New Roman"/>
          <w:sz w:val="22"/>
          <w:szCs w:val="22"/>
          <w:u w:val="single" w:color="auto"/>
          <w:color w:val="auto"/>
        </w:rPr>
      </w:pPr>
    </w:p>
    <w:p>
      <w:pPr>
        <w:jc w:val="both"/>
        <w:ind w:left="760"/>
        <w:spacing w:after="0" w:line="235"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i w:val="1"/>
          <w:iCs w:val="1"/>
          <w:color w:val="auto"/>
        </w:rPr>
        <w:t>“1.1 Right to Purchase. Subject to the terms and conditions of this Agreement, at any time during the period from the date of this Agreement to June 30, 2025 (the “</w:t>
      </w:r>
      <w:r>
        <w:rPr>
          <w:rFonts w:ascii="Times New Roman" w:cs="Times New Roman" w:eastAsia="Times New Roman" w:hAnsi="Times New Roman"/>
          <w:sz w:val="22"/>
          <w:szCs w:val="22"/>
          <w:b w:val="1"/>
          <w:bCs w:val="1"/>
          <w:i w:val="1"/>
          <w:iCs w:val="1"/>
          <w:color w:val="auto"/>
        </w:rPr>
        <w:t>Call Option Period</w:t>
      </w:r>
      <w:r>
        <w:rPr>
          <w:rFonts w:ascii="Times New Roman" w:cs="Times New Roman" w:eastAsia="Times New Roman" w:hAnsi="Times New Roman"/>
          <w:sz w:val="22"/>
          <w:szCs w:val="22"/>
          <w:i w:val="1"/>
          <w:iCs w:val="1"/>
          <w:color w:val="auto"/>
        </w:rPr>
        <w:t>”), the Purchaser shall have the right (the “</w:t>
      </w:r>
      <w:r>
        <w:rPr>
          <w:rFonts w:ascii="Times New Roman" w:cs="Times New Roman" w:eastAsia="Times New Roman" w:hAnsi="Times New Roman"/>
          <w:sz w:val="22"/>
          <w:szCs w:val="22"/>
          <w:b w:val="1"/>
          <w:bCs w:val="1"/>
          <w:i w:val="1"/>
          <w:iCs w:val="1"/>
          <w:color w:val="auto"/>
        </w:rPr>
        <w:t>Call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i w:val="1"/>
          <w:iCs w:val="1"/>
          <w:color w:val="auto"/>
        </w:rPr>
        <w:t>”), but not the obligation, to purchase, in whole or in part, additional Products having the same or better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specifications listed in the table below (the “</w:t>
      </w:r>
      <w:r>
        <w:rPr>
          <w:rFonts w:ascii="Times New Roman" w:cs="Times New Roman" w:eastAsia="Times New Roman" w:hAnsi="Times New Roman"/>
          <w:sz w:val="22"/>
          <w:szCs w:val="22"/>
          <w:b w:val="1"/>
          <w:bCs w:val="1"/>
          <w:i w:val="1"/>
          <w:iCs w:val="1"/>
          <w:color w:val="auto"/>
        </w:rPr>
        <w:t>Forward Deliverable</w:t>
      </w:r>
      <w:r>
        <w:rPr>
          <w:rFonts w:ascii="Times New Roman" w:cs="Times New Roman" w:eastAsia="Times New Roman" w:hAnsi="Times New Roman"/>
          <w:sz w:val="22"/>
          <w:szCs w:val="22"/>
          <w:i w:val="1"/>
          <w:iCs w:val="1"/>
          <w:color w:val="auto"/>
        </w:rPr>
        <w:t>s”) at the Call Purchase Price (as defined below) in one or more transactions, which may be done in more than one batch in non-consecutive months. The maximum rated hashrate of the Forward Deliverables if exercising the Call Option in full shall be 8,684,280 T with a total purchase price of US$186,712,020.00 (“</w:t>
      </w:r>
      <w:r>
        <w:rPr>
          <w:rFonts w:ascii="Times New Roman" w:cs="Times New Roman" w:eastAsia="Times New Roman" w:hAnsi="Times New Roman"/>
          <w:sz w:val="22"/>
          <w:szCs w:val="22"/>
          <w:b w:val="1"/>
          <w:bCs w:val="1"/>
          <w:i w:val="1"/>
          <w:iCs w:val="1"/>
          <w:color w:val="auto"/>
        </w:rPr>
        <w:t>Call Purchase Price</w:t>
      </w:r>
      <w:r>
        <w:rPr>
          <w:rFonts w:ascii="Times New Roman" w:cs="Times New Roman" w:eastAsia="Times New Roman" w:hAnsi="Times New Roman"/>
          <w:sz w:val="22"/>
          <w:szCs w:val="22"/>
          <w:i w:val="1"/>
          <w:iCs w:val="1"/>
          <w:color w:val="auto"/>
        </w:rPr>
        <w:t>”), representing US$21.5 per T and full unit price of US$5,805 per unit, and the maximum quantity of Forward Deliverables shall be approximately 32,164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-1109345</wp:posOffset>
            </wp:positionV>
            <wp:extent cx="10541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06"/>
        </w:trPr>
        <w:tc>
          <w:tcPr>
            <w:tcW w:w="2500" w:type="dxa"/>
            <w:vAlign w:val="bottom"/>
            <w:tcBorders>
              <w:top w:val="single" w:sz="8" w:color="auto"/>
              <w:left w:val="single" w:sz="8" w:color="auto"/>
              <w:right w:val="single" w:sz="8" w:color="auto"/>
            </w:tcBorders>
            <w:shd w:val="clear" w:color="auto" w:fill="D9D9D9"/>
          </w:tcPr>
          <w:p>
            <w:pPr>
              <w:ind w:left="760"/>
              <w:spacing w:after="0"/>
              <w:rPr>
                <w:sz w:val="20"/>
                <w:szCs w:val="20"/>
                <w:color w:val="auto"/>
              </w:rPr>
            </w:pPr>
            <w:r>
              <w:rPr>
                <w:rFonts w:ascii="Times New Roman" w:cs="Times New Roman" w:eastAsia="Times New Roman" w:hAnsi="Times New Roman"/>
                <w:sz w:val="22"/>
                <w:szCs w:val="22"/>
                <w:i w:val="1"/>
                <w:iCs w:val="1"/>
                <w:color w:val="auto"/>
              </w:rPr>
              <w:t>Type</w:t>
            </w:r>
          </w:p>
        </w:tc>
        <w:tc>
          <w:tcPr>
            <w:tcW w:w="480" w:type="dxa"/>
            <w:vAlign w:val="bottom"/>
            <w:tcBorders>
              <w:top w:val="single" w:sz="8" w:color="auto"/>
            </w:tcBorders>
            <w:shd w:val="clear" w:color="auto" w:fill="D9D9D9"/>
          </w:tcPr>
          <w:p>
            <w:pPr>
              <w:spacing w:after="0"/>
              <w:rPr>
                <w:sz w:val="24"/>
                <w:szCs w:val="24"/>
                <w:color w:val="auto"/>
              </w:rPr>
            </w:pPr>
          </w:p>
        </w:tc>
        <w:tc>
          <w:tcPr>
            <w:tcW w:w="8260" w:type="dxa"/>
            <w:vAlign w:val="bottom"/>
            <w:tcBorders>
              <w:top w:val="single" w:sz="8" w:color="auto"/>
              <w:right w:val="single" w:sz="8" w:color="auto"/>
            </w:tcBorders>
            <w:shd w:val="clear" w:color="auto" w:fill="D9D9D9"/>
          </w:tcPr>
          <w:p>
            <w:pPr>
              <w:ind w:left="240"/>
              <w:spacing w:after="0"/>
              <w:rPr>
                <w:sz w:val="20"/>
                <w:szCs w:val="20"/>
                <w:color w:val="auto"/>
              </w:rPr>
            </w:pPr>
            <w:r>
              <w:rPr>
                <w:rFonts w:ascii="Times New Roman" w:cs="Times New Roman" w:eastAsia="Times New Roman" w:hAnsi="Times New Roman"/>
                <w:sz w:val="22"/>
                <w:szCs w:val="22"/>
                <w:i w:val="1"/>
                <w:iCs w:val="1"/>
                <w:color w:val="auto"/>
              </w:rPr>
              <w:t>Details</w:t>
            </w:r>
          </w:p>
        </w:tc>
        <w:tc>
          <w:tcPr>
            <w:tcW w:w="0" w:type="dxa"/>
            <w:vAlign w:val="bottom"/>
          </w:tcPr>
          <w:p>
            <w:pPr>
              <w:spacing w:after="0"/>
              <w:rPr>
                <w:sz w:val="1"/>
                <w:szCs w:val="1"/>
                <w:color w:val="auto"/>
              </w:rPr>
            </w:pPr>
          </w:p>
        </w:tc>
      </w:tr>
      <w:tr>
        <w:trPr>
          <w:trHeight w:val="173"/>
        </w:trPr>
        <w:tc>
          <w:tcPr>
            <w:tcW w:w="25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8740" w:type="dxa"/>
            <w:vAlign w:val="bottom"/>
            <w:tcBorders>
              <w:bottom w:val="single" w:sz="8" w:color="auto"/>
              <w:right w:val="single" w:sz="8" w:color="auto"/>
            </w:tcBorders>
            <w:gridSpan w:val="2"/>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Product Name</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HASH Super Computing Server</w:t>
            </w:r>
          </w:p>
        </w:tc>
        <w:tc>
          <w:tcPr>
            <w:tcW w:w="0" w:type="dxa"/>
            <w:vAlign w:val="bottom"/>
          </w:tcPr>
          <w:p>
            <w:pPr>
              <w:spacing w:after="0"/>
              <w:rPr>
                <w:sz w:val="1"/>
                <w:szCs w:val="1"/>
                <w:color w:val="auto"/>
              </w:rPr>
            </w:pPr>
          </w:p>
        </w:tc>
      </w:tr>
      <w:tr>
        <w:trPr>
          <w:trHeight w:val="156"/>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874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Model</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S21 XP</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tcBorders>
              <w:left w:val="single" w:sz="8" w:color="auto"/>
              <w:right w:val="single" w:sz="8" w:color="auto"/>
            </w:tcBorders>
          </w:tcPr>
          <w:p>
            <w:pPr>
              <w:ind w:left="120"/>
              <w:spacing w:after="0" w:line="219" w:lineRule="exact"/>
              <w:rPr>
                <w:sz w:val="20"/>
                <w:szCs w:val="20"/>
                <w:color w:val="auto"/>
              </w:rPr>
            </w:pPr>
            <w:r>
              <w:rPr>
                <w:rFonts w:ascii="Times New Roman" w:cs="Times New Roman" w:eastAsia="Times New Roman" w:hAnsi="Times New Roman"/>
                <w:sz w:val="22"/>
                <w:szCs w:val="22"/>
                <w:i w:val="1"/>
                <w:iCs w:val="1"/>
                <w:color w:val="auto"/>
              </w:rPr>
              <w:t>Rated Hashrate per Unit,</w:t>
            </w:r>
          </w:p>
        </w:tc>
        <w:tc>
          <w:tcPr>
            <w:tcW w:w="480" w:type="dxa"/>
            <w:vAlign w:val="bottom"/>
          </w:tcPr>
          <w:p>
            <w:pPr>
              <w:ind w:left="80"/>
              <w:spacing w:after="0" w:line="219" w:lineRule="exact"/>
              <w:rPr>
                <w:sz w:val="20"/>
                <w:szCs w:val="20"/>
                <w:color w:val="auto"/>
              </w:rPr>
            </w:pPr>
            <w:r>
              <w:rPr>
                <w:rFonts w:ascii="Times New Roman" w:cs="Times New Roman" w:eastAsia="Times New Roman" w:hAnsi="Times New Roman"/>
                <w:sz w:val="22"/>
                <w:szCs w:val="22"/>
                <w:i w:val="1"/>
                <w:iCs w:val="1"/>
                <w:color w:val="auto"/>
              </w:rPr>
              <w:t>270</w:t>
            </w:r>
          </w:p>
        </w:tc>
        <w:tc>
          <w:tcPr>
            <w:tcW w:w="8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T/s</w:t>
            </w:r>
          </w:p>
        </w:tc>
        <w:tc>
          <w:tcPr>
            <w:tcW w:w="480" w:type="dxa"/>
            <w:vAlign w:val="bottom"/>
          </w:tcPr>
          <w:p>
            <w:pPr>
              <w:spacing w:after="0"/>
              <w:rPr>
                <w:sz w:val="24"/>
                <w:szCs w:val="24"/>
                <w:color w:val="auto"/>
              </w:rPr>
            </w:pP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Rated Power per Unit, W</w:t>
            </w: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3,645</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i w:val="1"/>
                <w:iCs w:val="1"/>
                <w:color w:val="auto"/>
              </w:rPr>
              <w:t>J/T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w w:val="98"/>
              </w:rPr>
              <w:t>13.5</w:t>
            </w:r>
          </w:p>
        </w:tc>
        <w:tc>
          <w:tcPr>
            <w:tcW w:w="8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00" w:type="dxa"/>
            <w:vAlign w:val="bottom"/>
            <w:tcBorders>
              <w:left w:val="single" w:sz="8" w:color="auto"/>
              <w:right w:val="single" w:sz="8" w:color="auto"/>
            </w:tcBorders>
          </w:tcPr>
          <w:p>
            <w:pPr>
              <w:spacing w:after="0"/>
              <w:rPr>
                <w:sz w:val="19"/>
                <w:szCs w:val="19"/>
                <w:color w:val="auto"/>
              </w:rPr>
            </w:pPr>
          </w:p>
        </w:tc>
        <w:tc>
          <w:tcPr>
            <w:tcW w:w="480" w:type="dxa"/>
            <w:vAlign w:val="bottom"/>
          </w:tcPr>
          <w:p>
            <w:pPr>
              <w:ind w:left="80"/>
              <w:spacing w:after="0" w:line="219" w:lineRule="exact"/>
              <w:rPr>
                <w:sz w:val="20"/>
                <w:szCs w:val="20"/>
                <w:color w:val="auto"/>
              </w:rPr>
            </w:pPr>
            <w:r>
              <w:rPr>
                <w:rFonts w:ascii="Times New Roman" w:cs="Times New Roman" w:eastAsia="Times New Roman" w:hAnsi="Times New Roman"/>
                <w:sz w:val="22"/>
                <w:szCs w:val="22"/>
                <w:i w:val="1"/>
                <w:iCs w:val="1"/>
                <w:color w:val="auto"/>
              </w:rPr>
              <w:t>1.</w:t>
            </w:r>
          </w:p>
        </w:tc>
        <w:tc>
          <w:tcPr>
            <w:tcW w:w="8260" w:type="dxa"/>
            <w:vAlign w:val="bottom"/>
            <w:tcBorders>
              <w:right w:val="single" w:sz="8" w:color="auto"/>
            </w:tcBorders>
          </w:tcPr>
          <w:p>
            <w:pPr>
              <w:ind w:left="20"/>
              <w:spacing w:after="0" w:line="219" w:lineRule="exact"/>
              <w:rPr>
                <w:sz w:val="20"/>
                <w:szCs w:val="20"/>
                <w:color w:val="auto"/>
              </w:rPr>
            </w:pPr>
            <w:r>
              <w:rPr>
                <w:rFonts w:ascii="Times New Roman" w:cs="Times New Roman" w:eastAsia="Times New Roman" w:hAnsi="Times New Roman"/>
                <w:sz w:val="22"/>
                <w:szCs w:val="22"/>
                <w:i w:val="1"/>
                <w:iCs w:val="1"/>
                <w:color w:val="auto"/>
              </w:rPr>
              <w:t>BITMAIN procures with commercially reasonable efforts that the error range of the J/T</w:t>
            </w: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indicator does not exceed 10%.</w:t>
            </w:r>
          </w:p>
        </w:tc>
        <w:tc>
          <w:tcPr>
            <w:tcW w:w="0" w:type="dxa"/>
            <w:vAlign w:val="bottom"/>
          </w:tcPr>
          <w:p>
            <w:pPr>
              <w:spacing w:after="0"/>
              <w:rPr>
                <w:sz w:val="1"/>
                <w:szCs w:val="1"/>
                <w:color w:val="auto"/>
              </w:rPr>
            </w:pPr>
          </w:p>
        </w:tc>
      </w:tr>
      <w:tr>
        <w:trPr>
          <w:trHeight w:val="389"/>
        </w:trPr>
        <w:tc>
          <w:tcPr>
            <w:tcW w:w="2500" w:type="dxa"/>
            <w:vAlign w:val="bottom"/>
            <w:tcBorders>
              <w:left w:val="single" w:sz="8" w:color="auto"/>
              <w:right w:val="single" w:sz="8" w:color="auto"/>
            </w:tcBorders>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2.</w:t>
            </w:r>
          </w:p>
        </w:tc>
        <w:tc>
          <w:tcPr>
            <w:tcW w:w="8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i w:val="1"/>
                <w:iCs w:val="1"/>
                <w:color w:val="auto"/>
              </w:rPr>
              <w:t>The Rated Hashrate per Unit and Rated Power per Unit are for reference only and such</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i w:val="1"/>
                <w:iCs w:val="1"/>
                <w:color w:val="auto"/>
              </w:rPr>
              <w:t>Description</w:t>
            </w:r>
          </w:p>
        </w:tc>
        <w:tc>
          <w:tcPr>
            <w:tcW w:w="874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indicator of each batch or unit of Products may differ. BITMAIN makes no representation on the</w:t>
            </w:r>
          </w:p>
        </w:tc>
        <w:tc>
          <w:tcPr>
            <w:tcW w:w="0" w:type="dxa"/>
            <w:vAlign w:val="bottom"/>
          </w:tcPr>
          <w:p>
            <w:pPr>
              <w:spacing w:after="0"/>
              <w:rPr>
                <w:sz w:val="1"/>
                <w:szCs w:val="1"/>
                <w:color w:val="auto"/>
              </w:rPr>
            </w:pPr>
          </w:p>
        </w:tc>
      </w:tr>
      <w:tr>
        <w:trPr>
          <w:trHeight w:val="151"/>
        </w:trPr>
        <w:tc>
          <w:tcPr>
            <w:tcW w:w="2500" w:type="dxa"/>
            <w:vAlign w:val="bottom"/>
            <w:tcBorders>
              <w:left w:val="single" w:sz="8" w:color="auto"/>
              <w:right w:val="single" w:sz="8" w:color="auto"/>
            </w:tcBorders>
            <w:vMerge w:val="continue"/>
          </w:tcPr>
          <w:p>
            <w:pPr>
              <w:spacing w:after="0"/>
              <w:rPr>
                <w:sz w:val="13"/>
                <w:szCs w:val="13"/>
                <w:color w:val="auto"/>
              </w:rPr>
            </w:pPr>
          </w:p>
        </w:tc>
        <w:tc>
          <w:tcPr>
            <w:tcW w:w="87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2"/>
                <w:szCs w:val="22"/>
                <w:i w:val="1"/>
                <w:iCs w:val="1"/>
                <w:color w:val="auto"/>
              </w:rPr>
              <w:t>Rated Hashrate per Unit and/or the Rated Power per Unit of any Products.</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right w:val="single" w:sz="8" w:color="auto"/>
            </w:tcBorders>
          </w:tcPr>
          <w:p>
            <w:pPr>
              <w:spacing w:after="0"/>
              <w:rPr>
                <w:sz w:val="11"/>
                <w:szCs w:val="11"/>
                <w:color w:val="auto"/>
              </w:rPr>
            </w:pPr>
          </w:p>
        </w:tc>
        <w:tc>
          <w:tcPr>
            <w:tcW w:w="87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250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3. Purchaser shall not reject the Products on the grounds that the parameters of the delivered</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Products are not in consistence with the reference indicators; provided that the parameters of the</w:t>
            </w:r>
          </w:p>
        </w:tc>
        <w:tc>
          <w:tcPr>
            <w:tcW w:w="0" w:type="dxa"/>
            <w:vAlign w:val="bottom"/>
          </w:tcPr>
          <w:p>
            <w:pPr>
              <w:spacing w:after="0"/>
              <w:rPr>
                <w:sz w:val="1"/>
                <w:szCs w:val="1"/>
                <w:color w:val="auto"/>
              </w:rPr>
            </w:pPr>
          </w:p>
        </w:tc>
      </w:tr>
      <w:tr>
        <w:trPr>
          <w:trHeight w:val="286"/>
        </w:trPr>
        <w:tc>
          <w:tcPr>
            <w:tcW w:w="250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delivered Products are within the error range set forth above.</w:t>
            </w:r>
          </w:p>
        </w:tc>
        <w:tc>
          <w:tcPr>
            <w:tcW w:w="0" w:type="dxa"/>
            <w:vAlign w:val="bottom"/>
          </w:tcPr>
          <w:p>
            <w:pPr>
              <w:spacing w:after="0"/>
              <w:rPr>
                <w:sz w:val="1"/>
                <w:szCs w:val="1"/>
                <w:color w:val="auto"/>
              </w:rPr>
            </w:pPr>
          </w:p>
        </w:tc>
      </w:tr>
      <w:tr>
        <w:trPr>
          <w:trHeight w:val="177"/>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i w:val="1"/>
          <w:iCs w:val="1"/>
          <w:color w:val="auto"/>
        </w:rPr>
        <w:t>1.2 Call Purchase Fee. The Purchaser shall pay BITMAIN an amount of US$18,671,202.00 as the consideration of the Call Option (“</w:t>
      </w:r>
      <w:r>
        <w:rPr>
          <w:rFonts w:ascii="Times New Roman" w:cs="Times New Roman" w:eastAsia="Times New Roman" w:hAnsi="Times New Roman"/>
          <w:sz w:val="22"/>
          <w:szCs w:val="22"/>
          <w:b w:val="1"/>
          <w:bCs w:val="1"/>
          <w:i w:val="1"/>
          <w:iCs w:val="1"/>
          <w:color w:val="auto"/>
        </w:rPr>
        <w:t>Call Purchase Fee</w:t>
      </w:r>
      <w:r>
        <w:rPr>
          <w:rFonts w:ascii="Times New Roman" w:cs="Times New Roman" w:eastAsia="Times New Roman" w:hAnsi="Times New Roman"/>
          <w:sz w:val="22"/>
          <w:szCs w:val="22"/>
          <w:i w:val="1"/>
          <w:iCs w:val="1"/>
          <w:color w:val="auto"/>
        </w:rPr>
        <w:t>”), which is calculated as 10% of the Call Purchase Price. As the date hereof, the Purchaser has already paid to BITMAIN an amount of US$12,157,796.00 (“</w:t>
      </w:r>
      <w:r>
        <w:rPr>
          <w:rFonts w:ascii="Times New Roman" w:cs="Times New Roman" w:eastAsia="Times New Roman" w:hAnsi="Times New Roman"/>
          <w:sz w:val="22"/>
          <w:szCs w:val="22"/>
          <w:b w:val="1"/>
          <w:bCs w:val="1"/>
          <w:i w:val="1"/>
          <w:iCs w:val="1"/>
          <w:color w:val="auto"/>
        </w:rPr>
        <w:t>Initial Down Payment</w:t>
      </w:r>
      <w:r>
        <w:rPr>
          <w:rFonts w:ascii="Times New Roman" w:cs="Times New Roman" w:eastAsia="Times New Roman" w:hAnsi="Times New Roman"/>
          <w:sz w:val="22"/>
          <w:szCs w:val="22"/>
          <w:i w:val="1"/>
          <w:iCs w:val="1"/>
          <w:color w:val="auto"/>
        </w:rPr>
        <w:t>”) towards the Call Purchase Fee and an amount of US$6,513,406.00 (“</w:t>
      </w:r>
      <w:r>
        <w:rPr>
          <w:rFonts w:ascii="Times New Roman" w:cs="Times New Roman" w:eastAsia="Times New Roman" w:hAnsi="Times New Roman"/>
          <w:sz w:val="22"/>
          <w:szCs w:val="22"/>
          <w:b w:val="1"/>
          <w:bCs w:val="1"/>
          <w:i w:val="1"/>
          <w:iCs w:val="1"/>
          <w:color w:val="auto"/>
        </w:rPr>
        <w:t>Additional Down Payment</w:t>
      </w:r>
      <w:r>
        <w:rPr>
          <w:rFonts w:ascii="Times New Roman" w:cs="Times New Roman" w:eastAsia="Times New Roman" w:hAnsi="Times New Roman"/>
          <w:sz w:val="22"/>
          <w:szCs w:val="22"/>
          <w:i w:val="1"/>
          <w:iCs w:val="1"/>
          <w:color w:val="auto"/>
        </w:rPr>
        <w:t>”) shall be paid to BITMIN by the Purchaser within 7 days after the execution of this Amendment.</w:t>
      </w:r>
    </w:p>
    <w:p>
      <w:pPr>
        <w:spacing w:after="0" w:line="177" w:lineRule="exact"/>
        <w:rPr>
          <w:sz w:val="20"/>
          <w:szCs w:val="20"/>
          <w:color w:val="auto"/>
        </w:rPr>
      </w:pPr>
    </w:p>
    <w:p>
      <w:pPr>
        <w:jc w:val="both"/>
        <w:ind w:left="760" w:right="20"/>
        <w:spacing w:after="0" w:line="262" w:lineRule="auto"/>
        <w:rPr>
          <w:sz w:val="20"/>
          <w:szCs w:val="20"/>
          <w:color w:val="auto"/>
        </w:rPr>
      </w:pPr>
      <w:r>
        <w:rPr>
          <w:rFonts w:ascii="Times New Roman" w:cs="Times New Roman" w:eastAsia="Times New Roman" w:hAnsi="Times New Roman"/>
          <w:sz w:val="22"/>
          <w:szCs w:val="22"/>
          <w:i w:val="1"/>
          <w:iCs w:val="1"/>
          <w:color w:val="auto"/>
        </w:rPr>
        <w:t>1.2.1 Exercise of the Call Option in Full. In the event the Purchaser exercises the Call Option in whole, the Call Purchase Fee shall be applied in whole towards the settlement of the Call Purchase Price.</w:t>
      </w:r>
    </w:p>
    <w:p>
      <w:pPr>
        <w:spacing w:after="0" w:line="150"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2"/>
          <w:szCs w:val="22"/>
          <w:i w:val="1"/>
          <w:iCs w:val="1"/>
          <w:color w:val="auto"/>
        </w:rPr>
        <w:t>1.2.2 Exercise of the Call Option in Part. In the event that the Purchaser only exercises a portion of the Call Option (less than 100%), a proportion of the Call Purchase Fee, corresponding to the ratio of the quantity to be purchased to 32,164 units shall be applied to settle the total purchase price of Forward Deliverables, while any remaining proportion of the Call Purchase Fee shall be forfeited to BITMAIN.</w:t>
      </w:r>
    </w:p>
    <w:p>
      <w:pPr>
        <w:spacing w:after="0" w:line="172" w:lineRule="exact"/>
        <w:rPr>
          <w:sz w:val="20"/>
          <w:szCs w:val="20"/>
          <w:color w:val="auto"/>
        </w:rPr>
      </w:pPr>
    </w:p>
    <w:p>
      <w:pPr>
        <w:jc w:val="both"/>
        <w:ind w:left="760" w:right="20"/>
        <w:spacing w:after="0" w:line="262" w:lineRule="auto"/>
        <w:rPr>
          <w:sz w:val="20"/>
          <w:szCs w:val="20"/>
          <w:color w:val="auto"/>
        </w:rPr>
      </w:pPr>
      <w:r>
        <w:rPr>
          <w:rFonts w:ascii="Times New Roman" w:cs="Times New Roman" w:eastAsia="Times New Roman" w:hAnsi="Times New Roman"/>
          <w:sz w:val="22"/>
          <w:szCs w:val="22"/>
          <w:i w:val="1"/>
          <w:iCs w:val="1"/>
          <w:color w:val="auto"/>
        </w:rPr>
        <w:t>1.2.3 Upon exercise of the Call Option in accordance with either subparagraph 1.2.1 or 1.2.2, the Purchaser shall be obligated to pay the corresponding proportionate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ind w:left="760"/>
        <w:spacing w:after="0" w:line="286" w:lineRule="auto"/>
        <w:rPr>
          <w:sz w:val="20"/>
          <w:szCs w:val="20"/>
          <w:color w:val="auto"/>
        </w:rPr>
      </w:pPr>
      <w:r>
        <w:rPr>
          <w:rFonts w:ascii="Times New Roman" w:cs="Times New Roman" w:eastAsia="Times New Roman" w:hAnsi="Times New Roman"/>
          <w:sz w:val="21"/>
          <w:szCs w:val="21"/>
          <w:i w:val="1"/>
          <w:iCs w:val="1"/>
          <w:color w:val="auto"/>
        </w:rPr>
        <w:t>amount of the Call Purchase Price associated with the exercise of the Call Option less the corresponding proportionate amount of the Call Purchase Fee already paid to BITMAIN, according to the schedule of payment as follows:</w:t>
      </w:r>
    </w:p>
    <w:p>
      <w:pPr>
        <w:spacing w:after="0" w:line="135" w:lineRule="exact"/>
        <w:rPr>
          <w:sz w:val="20"/>
          <w:szCs w:val="20"/>
          <w:color w:val="auto"/>
        </w:rPr>
      </w:pPr>
    </w:p>
    <w:tbl>
      <w:tblPr>
        <w:tblLayout w:type="fixed"/>
        <w:tblInd w:w="670" w:type="dxa"/>
        <w:tblCellMar>
          <w:top w:w="0" w:type="dxa"/>
          <w:left w:w="0" w:type="dxa"/>
          <w:bottom w:w="0" w:type="dxa"/>
          <w:right w:w="0" w:type="dxa"/>
        </w:tblCellMar>
      </w:tblPr>
      <w:tr>
        <w:trPr>
          <w:trHeight w:val="348"/>
        </w:trPr>
        <w:tc>
          <w:tcPr>
            <w:tcW w:w="226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Payment</w:t>
            </w:r>
          </w:p>
        </w:tc>
        <w:tc>
          <w:tcPr>
            <w:tcW w:w="18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Payment</w:t>
            </w:r>
          </w:p>
        </w:tc>
        <w:tc>
          <w:tcPr>
            <w:tcW w:w="6300" w:type="dxa"/>
            <w:vAlign w:val="bottom"/>
            <w:tcBorders>
              <w:top w:val="single" w:sz="8" w:color="auto"/>
              <w:right w:val="single" w:sz="8" w:color="auto"/>
            </w:tcBorders>
            <w:vMerge w:val="restart"/>
            <w:shd w:val="clear" w:color="auto" w:fill="BFBFBF"/>
          </w:tcPr>
          <w:p>
            <w:pPr>
              <w:ind w:left="2520"/>
              <w:spacing w:after="0"/>
              <w:rPr>
                <w:sz w:val="20"/>
                <w:szCs w:val="20"/>
                <w:color w:val="auto"/>
              </w:rPr>
            </w:pPr>
            <w:r>
              <w:rPr>
                <w:rFonts w:ascii="Times New Roman" w:cs="Times New Roman" w:eastAsia="Times New Roman" w:hAnsi="Times New Roman"/>
                <w:sz w:val="22"/>
                <w:szCs w:val="22"/>
                <w:b w:val="1"/>
                <w:bCs w:val="1"/>
                <w:i w:val="1"/>
                <w:iCs w:val="1"/>
                <w:color w:val="auto"/>
              </w:rPr>
              <w:t>Payment Date</w:t>
            </w:r>
          </w:p>
        </w:tc>
        <w:tc>
          <w:tcPr>
            <w:tcW w:w="0" w:type="dxa"/>
            <w:vAlign w:val="bottom"/>
          </w:tcPr>
          <w:p>
            <w:pPr>
              <w:spacing w:after="0"/>
              <w:rPr>
                <w:sz w:val="1"/>
                <w:szCs w:val="1"/>
                <w:color w:val="auto"/>
              </w:rPr>
            </w:pPr>
          </w:p>
        </w:tc>
      </w:tr>
      <w:tr>
        <w:trPr>
          <w:trHeight w:val="167"/>
        </w:trPr>
        <w:tc>
          <w:tcPr>
            <w:tcW w:w="2260" w:type="dxa"/>
            <w:vAlign w:val="bottom"/>
            <w:tcBorders>
              <w:left w:val="single" w:sz="8" w:color="auto"/>
              <w:right w:val="single" w:sz="8" w:color="auto"/>
            </w:tcBorders>
            <w:vMerge w:val="continue"/>
            <w:shd w:val="clear" w:color="auto" w:fill="BFBFBF"/>
          </w:tcPr>
          <w:p>
            <w:pPr>
              <w:spacing w:after="0"/>
              <w:rPr>
                <w:sz w:val="14"/>
                <w:szCs w:val="14"/>
                <w:color w:val="auto"/>
              </w:rPr>
            </w:pPr>
          </w:p>
        </w:tc>
        <w:tc>
          <w:tcPr>
            <w:tcW w:w="18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8"/>
              </w:rPr>
              <w:t>Percentage</w:t>
            </w:r>
          </w:p>
        </w:tc>
        <w:tc>
          <w:tcPr>
            <w:tcW w:w="6300" w:type="dxa"/>
            <w:vAlign w:val="bottom"/>
            <w:tcBorders>
              <w:right w:val="single" w:sz="8" w:color="auto"/>
            </w:tcBorders>
            <w:vMerge w:val="continue"/>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shd w:val="clear" w:color="auto" w:fill="BFBFBF"/>
          </w:tcPr>
          <w:p>
            <w:pPr>
              <w:spacing w:after="0"/>
              <w:rPr>
                <w:sz w:val="10"/>
                <w:szCs w:val="10"/>
                <w:color w:val="auto"/>
              </w:rPr>
            </w:pPr>
          </w:p>
        </w:tc>
        <w:tc>
          <w:tcPr>
            <w:tcW w:w="1880" w:type="dxa"/>
            <w:vAlign w:val="bottom"/>
            <w:tcBorders>
              <w:right w:val="single" w:sz="8" w:color="auto"/>
            </w:tcBorders>
            <w:vMerge w:val="continue"/>
            <w:shd w:val="clear" w:color="auto" w:fill="BFBFBF"/>
          </w:tcPr>
          <w:p>
            <w:pPr>
              <w:spacing w:after="0"/>
              <w:rPr>
                <w:sz w:val="10"/>
                <w:szCs w:val="10"/>
                <w:color w:val="auto"/>
              </w:rPr>
            </w:pPr>
          </w:p>
        </w:tc>
        <w:tc>
          <w:tcPr>
            <w:tcW w:w="630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bottom w:val="single" w:sz="8" w:color="auto"/>
              <w:right w:val="single" w:sz="8" w:color="auto"/>
            </w:tcBorders>
            <w:shd w:val="clear" w:color="auto" w:fill="BFBFBF"/>
          </w:tcPr>
          <w:p>
            <w:pPr>
              <w:spacing w:after="0"/>
              <w:rPr>
                <w:sz w:val="10"/>
                <w:szCs w:val="10"/>
                <w:color w:val="auto"/>
              </w:rPr>
            </w:pPr>
          </w:p>
        </w:tc>
        <w:tc>
          <w:tcPr>
            <w:tcW w:w="1880" w:type="dxa"/>
            <w:vAlign w:val="bottom"/>
            <w:tcBorders>
              <w:bottom w:val="single" w:sz="8" w:color="auto"/>
              <w:right w:val="single" w:sz="8" w:color="auto"/>
            </w:tcBorders>
            <w:shd w:val="clear" w:color="auto" w:fill="BFBFBF"/>
          </w:tcPr>
          <w:p>
            <w:pPr>
              <w:spacing w:after="0"/>
              <w:rPr>
                <w:sz w:val="10"/>
                <w:szCs w:val="10"/>
                <w:color w:val="auto"/>
              </w:rPr>
            </w:pPr>
          </w:p>
        </w:tc>
        <w:tc>
          <w:tcPr>
            <w:tcW w:w="6300" w:type="dxa"/>
            <w:vAlign w:val="bottom"/>
            <w:tcBorders>
              <w:bottom w:val="single" w:sz="8" w:color="auto"/>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Initial Down Payment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$12,157,796</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Purchaser already paid to BITMAIN $12,157,796 in connection with</w:t>
            </w: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63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auto"/>
              </w:rPr>
              <w:t>the execution of the Original Agreement</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6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$6,513,406,</w:t>
            </w:r>
          </w:p>
        </w:tc>
        <w:tc>
          <w:tcPr>
            <w:tcW w:w="6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Additional Down</w:t>
            </w: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(together with the</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$6,513,406 shall be paid within 7 days after the execution of this</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Payment</w:t>
            </w: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Initial Down</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Amendment</w:t>
            </w: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22"/>
                <w:szCs w:val="22"/>
                <w:i w:val="1"/>
                <w:iCs w:val="1"/>
                <w:color w:val="auto"/>
              </w:rPr>
              <w:t>Payment, 10%)</w:t>
            </w:r>
          </w:p>
        </w:tc>
        <w:tc>
          <w:tcPr>
            <w:tcW w:w="6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w w:val="99"/>
              </w:rPr>
              <w:t>10% of the total purchase price of the applicable batch of the relevant</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7"/>
              </w:rPr>
              <w:t>Interim Payment</w:t>
            </w:r>
          </w:p>
        </w:tc>
        <w:tc>
          <w:tcPr>
            <w:tcW w:w="18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10%</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Forward Deliverables shall be paid within 7 days of applicable</w:t>
            </w: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Notice of Exercise issued under paragraph 1.4.i. of this Appendix C</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30% of the total purchase price of each batch of Forward</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Interim Payment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9"/>
              </w:rPr>
              <w:t>30%</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Deliverables shall be paid at least 3 months prior to the first day of</w:t>
            </w: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6300" w:type="dxa"/>
            <w:vAlign w:val="bottom"/>
            <w:tcBorders>
              <w:right w:val="single" w:sz="8" w:color="auto"/>
            </w:tcBorders>
            <w:vMerge w:val="restart"/>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the Shipping Period of Call Purchase (as defined below) of such</w:t>
            </w:r>
          </w:p>
        </w:tc>
        <w:tc>
          <w:tcPr>
            <w:tcW w:w="0" w:type="dxa"/>
            <w:vAlign w:val="bottom"/>
          </w:tcPr>
          <w:p>
            <w:pPr>
              <w:spacing w:after="0"/>
              <w:rPr>
                <w:sz w:val="1"/>
                <w:szCs w:val="1"/>
                <w:color w:val="auto"/>
              </w:rPr>
            </w:pPr>
          </w:p>
        </w:tc>
      </w:tr>
      <w:tr>
        <w:trPr>
          <w:trHeight w:val="78"/>
        </w:trPr>
        <w:tc>
          <w:tcPr>
            <w:tcW w:w="2260" w:type="dxa"/>
            <w:vAlign w:val="bottom"/>
            <w:tcBorders>
              <w:left w:val="single" w:sz="8" w:color="auto"/>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6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batch of Forward Deliverables</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30% of the total purchase price of each batch of Forward</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Interim Payment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9"/>
              </w:rPr>
              <w:t>30%</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Deliverables shall be paid at least [1] month prior to the first day of</w:t>
            </w: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6300" w:type="dxa"/>
            <w:vAlign w:val="bottom"/>
            <w:tcBorders>
              <w:right w:val="single" w:sz="8" w:color="auto"/>
            </w:tcBorders>
            <w:vMerge w:val="restart"/>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the Shipping Period of Call Purchase of such batch of Forward</w:t>
            </w:r>
          </w:p>
        </w:tc>
        <w:tc>
          <w:tcPr>
            <w:tcW w:w="0" w:type="dxa"/>
            <w:vAlign w:val="bottom"/>
          </w:tcPr>
          <w:p>
            <w:pPr>
              <w:spacing w:after="0"/>
              <w:rPr>
                <w:sz w:val="1"/>
                <w:szCs w:val="1"/>
                <w:color w:val="auto"/>
              </w:rPr>
            </w:pPr>
          </w:p>
        </w:tc>
      </w:tr>
      <w:tr>
        <w:trPr>
          <w:trHeight w:val="78"/>
        </w:trPr>
        <w:tc>
          <w:tcPr>
            <w:tcW w:w="2260" w:type="dxa"/>
            <w:vAlign w:val="bottom"/>
            <w:tcBorders>
              <w:left w:val="single" w:sz="8" w:color="auto"/>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6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Deliverables</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20% of the total purchase price of each batch of Forward</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Balance Payment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9"/>
              </w:rPr>
              <w:t>20%</w:t>
            </w:r>
          </w:p>
        </w:tc>
        <w:tc>
          <w:tcPr>
            <w:tcW w:w="63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Deliverables shall be paid within [180] days after the first day of the</w:t>
            </w: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6300" w:type="dxa"/>
            <w:vAlign w:val="bottom"/>
            <w:tcBorders>
              <w:right w:val="single" w:sz="8" w:color="auto"/>
            </w:tcBorders>
            <w:vMerge w:val="restart"/>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Shipping Period of Call Purchase of such batch of Forward</w:t>
            </w:r>
          </w:p>
        </w:tc>
        <w:tc>
          <w:tcPr>
            <w:tcW w:w="0" w:type="dxa"/>
            <w:vAlign w:val="bottom"/>
          </w:tcPr>
          <w:p>
            <w:pPr>
              <w:spacing w:after="0"/>
              <w:rPr>
                <w:sz w:val="1"/>
                <w:szCs w:val="1"/>
                <w:color w:val="auto"/>
              </w:rPr>
            </w:pPr>
          </w:p>
        </w:tc>
      </w:tr>
      <w:tr>
        <w:trPr>
          <w:trHeight w:val="78"/>
        </w:trPr>
        <w:tc>
          <w:tcPr>
            <w:tcW w:w="2260" w:type="dxa"/>
            <w:vAlign w:val="bottom"/>
            <w:tcBorders>
              <w:left w:val="single" w:sz="8" w:color="auto"/>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6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i w:val="1"/>
                <w:iCs w:val="1"/>
                <w:color w:val="auto"/>
              </w:rPr>
              <w:t>Deliverables”</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760" w:hanging="752"/>
        <w:spacing w:after="0" w:line="258" w:lineRule="auto"/>
        <w:tabs>
          <w:tab w:leader="none" w:pos="76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the avoidance of doubt, except as set out in this Amendment, the provisions of the Original Agreement shall not otherwise be affected by this Amendment and shall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2100580" cy="274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ind w:left="760"/>
        <w:spacing w:after="0" w:line="258" w:lineRule="auto"/>
        <w:rPr>
          <w:sz w:val="20"/>
          <w:szCs w:val="20"/>
          <w:color w:val="auto"/>
        </w:rPr>
      </w:pPr>
      <w:r>
        <w:rPr>
          <w:rFonts w:ascii="Times New Roman" w:cs="Times New Roman" w:eastAsia="Times New Roman" w:hAnsi="Times New Roman"/>
          <w:sz w:val="22"/>
          <w:szCs w:val="22"/>
          <w:color w:val="auto"/>
        </w:rPr>
        <w:t>remain in full force and effect. In the event of discrepancies between this Amendment and the Original Agreement, the provisions of this Amendment shall prevail.</w:t>
      </w:r>
    </w:p>
    <w:p>
      <w:pPr>
        <w:spacing w:after="0" w:line="158" w:lineRule="exact"/>
        <w:rPr>
          <w:sz w:val="20"/>
          <w:szCs w:val="20"/>
          <w:color w:val="auto"/>
        </w:rPr>
      </w:pPr>
    </w:p>
    <w:p>
      <w:pPr>
        <w:jc w:val="both"/>
        <w:ind w:left="760" w:hanging="752"/>
        <w:spacing w:after="0" w:line="239" w:lineRule="auto"/>
        <w:tabs>
          <w:tab w:leader="none" w:pos="7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Further Assurance</w:t>
      </w:r>
      <w:r>
        <w:rPr>
          <w:rFonts w:ascii="Times New Roman" w:cs="Times New Roman" w:eastAsia="Times New Roman" w:hAnsi="Times New Roman"/>
          <w:sz w:val="22"/>
          <w:szCs w:val="22"/>
          <w:color w:val="auto"/>
        </w:rPr>
        <w:t>. At all times after the date of this Amendment, each of the Parties agrees to perform (or procure the performance of) all such acts and things and/or to execute and deliver (or procure the execution and delivery of) all such documents, as may be required by law or as may be necessary or reasonably requested by the other parties for giving full effect to this Amendment.</w:t>
      </w:r>
    </w:p>
    <w:p>
      <w:pPr>
        <w:spacing w:after="0" w:line="180" w:lineRule="exact"/>
        <w:rPr>
          <w:rFonts w:ascii="Times New Roman" w:cs="Times New Roman" w:eastAsia="Times New Roman" w:hAnsi="Times New Roman"/>
          <w:sz w:val="22"/>
          <w:szCs w:val="22"/>
          <w:u w:val="single" w:color="auto"/>
          <w:color w:val="auto"/>
        </w:rPr>
      </w:pPr>
    </w:p>
    <w:p>
      <w:pPr>
        <w:ind w:left="760" w:hanging="752"/>
        <w:spacing w:after="0" w:line="258" w:lineRule="auto"/>
        <w:tabs>
          <w:tab w:leader="none" w:pos="76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Except as modified by this Amendment, Clauses 1 to 25 of the Original Agreement apply mutatis mutandis to this Amendment.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100580" cy="274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10058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t>
      </w:r>
      <w:r>
        <w:rPr>
          <w:rFonts w:ascii="Times New Roman" w:cs="Times New Roman" w:eastAsia="Times New Roman" w:hAnsi="Times New Roman"/>
          <w:sz w:val="21"/>
          <w:szCs w:val="21"/>
          <w:color w:val="auto"/>
        </w:rPr>
        <w:t>whereof this Amendment has been duly executed by the undersigned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EXECUTED BY: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Cheng 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221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17221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Cheng Ran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EXECUTED BY: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9964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199644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William Iwaschuk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&amp; CLO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
      <w:numFmt w:val="bullet"/>
      <w:start w:val="1"/>
    </w:lvl>
    <w:lvl w:ilvl="1">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2443A858"/>
    <w:multiLevelType w:val="hybridMultilevel"/>
    <w:lvl w:ilvl="0">
      <w:lvlJc w:val="left"/>
      <w:lvlText w:val="%1."/>
      <w:numFmt w:val="decimal"/>
      <w:start w:val="2"/>
    </w:lvl>
    <w:lvl w:ilvl="1">
      <w:lvlJc w:val="left"/>
      <w:lvlText w:val="(%2)"/>
      <w:numFmt w:val="lowerLetter"/>
      <w:start w:val="1"/>
    </w:lvl>
  </w:abstractNum>
  <w:abstractNum w:abstractNumId="14">
    <w:nsid w:val="2D1D5AE9"/>
    <w:multiLevelType w:val="hybridMultilevel"/>
    <w:lvl w:ilvl="0">
      <w:lvlJc w:val="left"/>
      <w:lvlText w:val="%1."/>
      <w:numFmt w:val="decimal"/>
      <w:start w:val="4"/>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upperLetter"/>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4"/>
    </w:lvl>
  </w:abstractNum>
  <w:abstractNum w:abstractNumId="20">
    <w:nsid w:val="B03E0C6"/>
    <w:multiLevelType w:val="hybridMultilevel"/>
    <w:lvl w:ilvl="0">
      <w:lvlJc w:val="left"/>
      <w:lvlText w:val="%1."/>
      <w:numFmt w:val="decimal"/>
      <w:start w:val="5"/>
    </w:lvl>
  </w:abstractNum>
  <w:abstractNum w:abstractNumId="21">
    <w:nsid w:val="189A769B"/>
    <w:multiLevelType w:val="hybridMultilevel"/>
    <w:lvl w:ilvl="0">
      <w:lvlJc w:val="left"/>
      <w:lvlText w:val="%1."/>
      <w:numFmt w:val="decimal"/>
      <w:start w:val="6"/>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upp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2"/>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jpe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jpeg"/><Relationship Id="rId270" Type="http://schemas.openxmlformats.org/officeDocument/2006/relationships/image" Target="media/image258.png"/><Relationship Id="rId271" Type="http://schemas.openxmlformats.org/officeDocument/2006/relationships/image" Target="media/image259.jpeg"/><Relationship Id="rId272" Type="http://schemas.openxmlformats.org/officeDocument/2006/relationships/image" Target="media/image260.png"/><Relationship Id="rId273" Type="http://schemas.openxmlformats.org/officeDocument/2006/relationships/image" Target="media/image261.jpe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jpeg"/><Relationship Id="rId281" Type="http://schemas.openxmlformats.org/officeDocument/2006/relationships/image" Target="media/image269.png"/><Relationship Id="rId282" Type="http://schemas.openxmlformats.org/officeDocument/2006/relationships/image" Target="media/image270.jpeg"/><Relationship Id="rId283" Type="http://schemas.openxmlformats.org/officeDocument/2006/relationships/image" Target="media/image271.png"/><Relationship Id="rId284" Type="http://schemas.openxmlformats.org/officeDocument/2006/relationships/image" Target="media/image272.jpe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jpe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jpe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jpeg"/><Relationship Id="rId296" Type="http://schemas.openxmlformats.org/officeDocument/2006/relationships/image" Target="media/image284.png"/><Relationship Id="rId297" Type="http://schemas.openxmlformats.org/officeDocument/2006/relationships/image" Target="media/image285.jpeg"/><Relationship Id="rId298" Type="http://schemas.openxmlformats.org/officeDocument/2006/relationships/image" Target="media/image286.png"/><Relationship Id="rId299" Type="http://schemas.openxmlformats.org/officeDocument/2006/relationships/image" Target="media/image287.jpeg"/><Relationship Id="rId300" Type="http://schemas.openxmlformats.org/officeDocument/2006/relationships/image" Target="media/image288.png"/><Relationship Id="rId301" Type="http://schemas.openxmlformats.org/officeDocument/2006/relationships/image" Target="media/image289.jpe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252" Type="http://schemas.openxmlformats.org/officeDocument/2006/relationships/hyperlink" Target="https://www.sec.gov/Archives/edgar/data/0001819989/000121390021013594/ea136931ex2-1_goodworks.htm" TargetMode="External"/><Relationship Id="rId253" Type="http://schemas.openxmlformats.org/officeDocument/2006/relationships/hyperlink" Target="https://www.sec.gov/Archives/edgar/data/0001819989/000119312521260900/d212090dex31.htm" TargetMode="External"/><Relationship Id="rId254" Type="http://schemas.openxmlformats.org/officeDocument/2006/relationships/hyperlink" Target="https://www.sec.gov/Archives/edgar/data/0001819989/000119312521260900/d212090dex32.htm" TargetMode="External"/><Relationship Id="rId255" Type="http://schemas.openxmlformats.org/officeDocument/2006/relationships/hyperlink" Target="https://www.sec.gov/Archives/edgar/data/0001819989/000121390020030737/ea128022ex4-3_goodworks.htm" TargetMode="External"/><Relationship Id="rId256" Type="http://schemas.openxmlformats.org/officeDocument/2006/relationships/hyperlink" Target="https://www.sec.gov/Archives/edgar/data/0001819989/000121390020033703/ea128955ex4-1_goodworks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2024-08-13T08:24:25Z</dcterms:created>
  <dcterms:modified xsi:type="dcterms:W3CDTF">2024-08-13T08:24:25Z</dcterms:modified>
</cp:coreProperties>
</file>