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6996430" cy="632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6323330"/>
                    </a:xfrm>
                    <a:prstGeom prst="rect">
                      <a:avLst/>
                    </a:prstGeom>
                    <a:noFill/>
                  </pic:spPr>
                </pic:pic>
              </a:graphicData>
            </a:graphic>
          </wp:anchor>
        </w:drawing>
      </w:r>
    </w:p>
    <w:p>
      <w:pPr>
        <w:spacing w:after="0" w:line="1194" w:lineRule="exact"/>
        <w:rPr>
          <w:sz w:val="24"/>
          <w:szCs w:val="24"/>
          <w:color w:val="auto"/>
        </w:rPr>
      </w:pPr>
    </w:p>
    <w:p>
      <w:pPr>
        <w:sectPr>
          <w:pgSz w:w="11900" w:h="16894" w:orient="portrait"/>
          <w:cols w:equalWidth="0" w:num="2">
            <w:col w:w="2280" w:space="360"/>
            <w:col w:w="8440"/>
          </w:cols>
          <w:pgMar w:left="460" w:top="215"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Page Tyler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CIPHER DIGITAL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VANDERBILT AVENUE, FLOOR 54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Cipher Digital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CIFR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06/30/2026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9" w:lineRule="exact"/>
        <w:rPr>
          <w:sz w:val="24"/>
          <w:szCs w:val="24"/>
          <w:color w:val="auto"/>
        </w:rPr>
      </w:pPr>
    </w:p>
    <w:p>
      <w:pPr>
        <w:sectPr>
          <w:pgSz w:w="11900" w:h="16894" w:orient="portrait"/>
          <w:cols w:equalWidth="0" w:num="3">
            <w:col w:w="3180" w:space="720"/>
            <w:col w:w="3103" w:space="720"/>
            <w:col w:w="3357"/>
          </w:cols>
          <w:pgMar w:left="460" w:top="215" w:right="359" w:bottom="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10017</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94"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0000FF"/>
              </w:rPr>
              <w:t>06/30/2026</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73"/>
              <w:spacing w:after="0"/>
              <w:rPr>
                <w:sz w:val="20"/>
                <w:szCs w:val="20"/>
                <w:color w:val="auto"/>
              </w:rPr>
            </w:pPr>
            <w:r>
              <w:rPr>
                <w:rFonts w:ascii="Times New Roman" w:cs="Times New Roman" w:eastAsia="Times New Roman" w:hAnsi="Times New Roman"/>
                <w:sz w:val="16"/>
                <w:szCs w:val="16"/>
                <w:color w:val="0000FF"/>
                <w:w w:val="99"/>
              </w:rPr>
              <w:t>113,225</w:t>
            </w: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9,078,287</w:t>
            </w:r>
          </w:p>
        </w:tc>
        <w:tc>
          <w:tcPr>
            <w:tcW w:w="340" w:type="dxa"/>
            <w:vAlign w:val="bottom"/>
          </w:tcPr>
          <w:p>
            <w:pPr>
              <w:spacing w:after="0"/>
              <w:rPr>
                <w:sz w:val="21"/>
                <w:szCs w:val="21"/>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0000FF"/>
              </w:rPr>
              <w:t>06/30/2026</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6"/>
                <w:szCs w:val="16"/>
                <w:color w:val="0000FF"/>
              </w:rPr>
              <w:t>57,802</w:t>
            </w: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24.5</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9,020,485</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0000FF"/>
              </w:rPr>
              <w:t>06/30/2026</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6"/>
                <w:szCs w:val="16"/>
                <w:color w:val="0000FF"/>
              </w:rPr>
              <w:t>105,285</w:t>
            </w: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9,125,770</w:t>
            </w:r>
          </w:p>
        </w:tc>
        <w:tc>
          <w:tcPr>
            <w:tcW w:w="340" w:type="dxa"/>
            <w:vAlign w:val="bottom"/>
          </w:tcPr>
          <w:p>
            <w:pPr>
              <w:spacing w:after="0"/>
              <w:rPr>
                <w:sz w:val="21"/>
                <w:szCs w:val="21"/>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0000FF"/>
              </w:rPr>
              <w:t>06/30/2026</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6"/>
                <w:szCs w:val="16"/>
                <w:color w:val="0000FF"/>
              </w:rPr>
              <w:t>53,748</w:t>
            </w: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24.5</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9,072,022</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0000FF"/>
              </w:rPr>
              <w:t>06/30/2026</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6"/>
                <w:szCs w:val="16"/>
                <w:color w:val="0000FF"/>
              </w:rPr>
              <w:t>254,756</w:t>
            </w: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9,326,778</w:t>
            </w:r>
          </w:p>
        </w:tc>
        <w:tc>
          <w:tcPr>
            <w:tcW w:w="340" w:type="dxa"/>
            <w:vAlign w:val="bottom"/>
          </w:tcPr>
          <w:p>
            <w:pPr>
              <w:spacing w:after="0"/>
              <w:rPr>
                <w:sz w:val="21"/>
                <w:szCs w:val="21"/>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0000FF"/>
              </w:rPr>
              <w:t>06/30/2026</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6"/>
                <w:szCs w:val="16"/>
                <w:color w:val="0000FF"/>
              </w:rPr>
              <w:t>130,053</w:t>
            </w: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24.5</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rPr>
              <w:t>9,196,725</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400,000</w:t>
            </w:r>
          </w:p>
        </w:tc>
        <w:tc>
          <w:tcPr>
            <w:tcW w:w="340" w:type="dxa"/>
            <w:vAlign w:val="bottom"/>
          </w:tcPr>
          <w:p>
            <w:pPr>
              <w:spacing w:after="0"/>
              <w:rPr>
                <w:sz w:val="20"/>
                <w:szCs w:val="20"/>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20" w:type="dxa"/>
            <w:vAlign w:val="bottom"/>
            <w:gridSpan w:val="1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jc w:val="center"/>
              <w:ind w:right="35"/>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jc w:val="center"/>
              <w:ind w:right="35"/>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0"/>
                <w:szCs w:val="10"/>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3"/>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06/30/2026</w:t>
            </w:r>
          </w:p>
        </w:tc>
        <w:tc>
          <w:tcPr>
            <w:tcW w:w="1120" w:type="dxa"/>
            <w:vAlign w:val="bottom"/>
          </w:tcPr>
          <w:p>
            <w:pPr>
              <w:spacing w:after="0"/>
              <w:rPr>
                <w:sz w:val="20"/>
                <w:szCs w:val="20"/>
                <w:color w:val="auto"/>
              </w:rPr>
            </w:pPr>
          </w:p>
        </w:tc>
        <w:tc>
          <w:tcPr>
            <w:tcW w:w="6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113,225</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113,225</w:t>
            </w:r>
          </w:p>
        </w:tc>
        <w:tc>
          <w:tcPr>
            <w:tcW w:w="20" w:type="dxa"/>
            <w:vAlign w:val="bottom"/>
          </w:tcPr>
          <w:p>
            <w:pPr>
              <w:spacing w:after="0"/>
              <w:rPr>
                <w:sz w:val="20"/>
                <w:szCs w:val="20"/>
                <w:color w:val="auto"/>
              </w:rPr>
            </w:pPr>
          </w:p>
        </w:tc>
        <w:tc>
          <w:tcPr>
            <w:tcW w:w="72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3,404,883</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14"/>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06/30/2026</w:t>
            </w:r>
          </w:p>
        </w:tc>
        <w:tc>
          <w:tcPr>
            <w:tcW w:w="1120" w:type="dxa"/>
            <w:vAlign w:val="bottom"/>
          </w:tcPr>
          <w:p>
            <w:pPr>
              <w:spacing w:after="0"/>
              <w:rPr>
                <w:sz w:val="20"/>
                <w:szCs w:val="20"/>
                <w:color w:val="auto"/>
              </w:rPr>
            </w:pPr>
          </w:p>
        </w:tc>
        <w:tc>
          <w:tcPr>
            <w:tcW w:w="6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105,285</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105,285</w:t>
            </w:r>
          </w:p>
        </w:tc>
        <w:tc>
          <w:tcPr>
            <w:tcW w:w="20" w:type="dxa"/>
            <w:vAlign w:val="bottom"/>
          </w:tcPr>
          <w:p>
            <w:pPr>
              <w:spacing w:after="0"/>
              <w:rPr>
                <w:sz w:val="20"/>
                <w:szCs w:val="20"/>
                <w:color w:val="auto"/>
              </w:rPr>
            </w:pPr>
          </w:p>
        </w:tc>
        <w:tc>
          <w:tcPr>
            <w:tcW w:w="72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3,299,598</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14"/>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06/30/2026</w:t>
            </w:r>
          </w:p>
        </w:tc>
        <w:tc>
          <w:tcPr>
            <w:tcW w:w="1120" w:type="dxa"/>
            <w:vAlign w:val="bottom"/>
          </w:tcPr>
          <w:p>
            <w:pPr>
              <w:spacing w:after="0"/>
              <w:rPr>
                <w:sz w:val="20"/>
                <w:szCs w:val="20"/>
                <w:color w:val="auto"/>
              </w:rPr>
            </w:pPr>
          </w:p>
        </w:tc>
        <w:tc>
          <w:tcPr>
            <w:tcW w:w="6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254,756</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254,756</w:t>
            </w:r>
          </w:p>
        </w:tc>
        <w:tc>
          <w:tcPr>
            <w:tcW w:w="20" w:type="dxa"/>
            <w:vAlign w:val="bottom"/>
          </w:tcPr>
          <w:p>
            <w:pPr>
              <w:spacing w:after="0"/>
              <w:rPr>
                <w:sz w:val="20"/>
                <w:szCs w:val="20"/>
                <w:color w:val="auto"/>
              </w:rPr>
            </w:pPr>
          </w:p>
        </w:tc>
        <w:tc>
          <w:tcPr>
            <w:tcW w:w="720" w:type="dxa"/>
            <w:vAlign w:val="bottom"/>
          </w:tcPr>
          <w:p>
            <w:pPr>
              <w:jc w:val="center"/>
              <w:ind w:right="15"/>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1,528,532</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ind w:right="14"/>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-2151380</wp:posOffset>
            </wp:positionV>
            <wp:extent cx="28575" cy="2157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570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Issuer's Common Stock.</w:t>
      </w:r>
    </w:p>
    <w:p>
      <w:pPr>
        <w:spacing w:after="0" w:line="39" w:lineRule="exact"/>
        <w:rPr>
          <w:rFonts w:ascii="Times New Roman" w:cs="Times New Roman" w:eastAsia="Times New Roman" w:hAnsi="Times New Roman"/>
          <w:sz w:val="13"/>
          <w:szCs w:val="13"/>
          <w:color w:val="008000"/>
        </w:rPr>
      </w:pPr>
    </w:p>
    <w:p>
      <w:pPr>
        <w:ind w:left="40" w:right="22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12, 2026, the Reporting Person transferred 400,000 shares of the Issuer's Common Stock to Impa Holdings LLC. The Reporting Person serves as the managing member of Impa Holdings LLC, and 100% of its membership interests are held by a trust for the benefit of certain members of the Reporting Person's immediate family over which the Reporting Person has investment authority.</w:t>
      </w:r>
    </w:p>
    <w:p>
      <w:pPr>
        <w:spacing w:after="0" w:line="21" w:lineRule="exact"/>
        <w:rPr>
          <w:rFonts w:ascii="Times New Roman" w:cs="Times New Roman" w:eastAsia="Times New Roman" w:hAnsi="Times New Roman"/>
          <w:sz w:val="13"/>
          <w:szCs w:val="13"/>
          <w:color w:val="008000"/>
        </w:rPr>
      </w:pPr>
    </w:p>
    <w:p>
      <w:pPr>
        <w:ind w:left="40" w:right="2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a three-year period, on March 31, June 30, September 30 and December 15 of each year, subject to the Reporting Person's continuous service on the applicable vesting date. The first vesting date occurred on March 31, 2025.</w:t>
      </w:r>
    </w:p>
    <w:p>
      <w:pPr>
        <w:spacing w:after="0" w:line="21" w:lineRule="exact"/>
        <w:rPr>
          <w:rFonts w:ascii="Times New Roman" w:cs="Times New Roman" w:eastAsia="Times New Roman" w:hAnsi="Times New Roman"/>
          <w:sz w:val="13"/>
          <w:szCs w:val="13"/>
          <w:color w:val="008000"/>
        </w:rPr>
      </w:pPr>
    </w:p>
    <w:p>
      <w:pPr>
        <w:ind w:left="40" w:right="2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a three-year period, on March 31, June 30, September 30 and December 15 of each year, subject to the Reporting Person's continuous service on the applicable vesting date. The first vesting date occurred on March 31, 2026.</w:t>
      </w:r>
    </w:p>
    <w:p>
      <w:pPr>
        <w:spacing w:after="0" w:line="21" w:lineRule="exact"/>
        <w:rPr>
          <w:rFonts w:ascii="Times New Roman" w:cs="Times New Roman" w:eastAsia="Times New Roman" w:hAnsi="Times New Roman"/>
          <w:sz w:val="13"/>
          <w:szCs w:val="13"/>
          <w:color w:val="008000"/>
        </w:rPr>
      </w:pPr>
    </w:p>
    <w:p>
      <w:pPr>
        <w:ind w:left="40" w:right="3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1,019,022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9" w:lineRule="auto"/>
        <w:rPr>
          <w:sz w:val="20"/>
          <w:szCs w:val="20"/>
          <w:color w:val="auto"/>
        </w:rPr>
      </w:pPr>
      <w:r>
        <w:rPr>
          <w:rFonts w:ascii="Times New Roman" w:cs="Times New Roman" w:eastAsia="Times New Roman" w:hAnsi="Times New Roman"/>
          <w:sz w:val="16"/>
          <w:szCs w:val="16"/>
          <w:color w:val="0000FF"/>
        </w:rPr>
        <w:t xml:space="preserve">/s/ William Iwaschuk, Attorney- </w:t>
      </w:r>
      <w:r>
        <w:rPr>
          <w:rFonts w:ascii="Times New Roman" w:cs="Times New Roman" w:eastAsia="Times New Roman" w:hAnsi="Times New Roman"/>
          <w:sz w:val="32"/>
          <w:szCs w:val="32"/>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Tyler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915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50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4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4" w:orient="portrait"/>
          <w:cols w:equalWidth="0" w:num="1">
            <w:col w:w="11080"/>
          </w:cols>
          <w:pgMar w:left="460" w:top="21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7623" TargetMode="External"/><Relationship Id="rId14" Type="http://schemas.openxmlformats.org/officeDocument/2006/relationships/hyperlink" Target="http://www.sec.gov/cgi-bin/browse-edgar?action=getcompany&amp;CIK=0001819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2026-07-02T15:44:32Z</dcterms:created>
  <dcterms:modified xsi:type="dcterms:W3CDTF">2026-07-02T15:44:32Z</dcterms:modified>
</cp:coreProperties>
</file>