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20" w:right="1620" w:hanging="3799"/>
        <w:spacing w:after="0" w:line="373" w:lineRule="auto"/>
        <w:tabs>
          <w:tab w:leader="none" w:pos="48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580"/>
        <w:spacing w:after="0"/>
        <w:tabs>
          <w:tab w:leader="none" w:pos="6740" w:val="left"/>
          <w:tab w:leader="none" w:pos="76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3804920</wp:posOffset>
            </wp:positionH>
            <wp:positionV relativeFrom="paragraph">
              <wp:posOffset>-5080</wp:posOffset>
            </wp:positionV>
            <wp:extent cx="1037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CIPHER MINING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8" w:lineRule="exact"/>
        <w:rPr>
          <w:sz w:val="24"/>
          <w:szCs w:val="24"/>
          <w:color w:val="auto"/>
        </w:rPr>
      </w:pPr>
    </w:p>
    <w:tbl>
      <w:tblPr>
        <w:tblLayout w:type="fixed"/>
        <w:tblInd w:w="1340" w:type="dxa"/>
        <w:tblCellMar>
          <w:top w:w="0" w:type="dxa"/>
          <w:left w:w="0" w:type="dxa"/>
          <w:bottom w:w="0" w:type="dxa"/>
          <w:right w:w="0" w:type="dxa"/>
        </w:tblCellMar>
      </w:tblPr>
      <w:tr>
        <w:trPr>
          <w:trHeight w:val="238"/>
        </w:trPr>
        <w:tc>
          <w:tcPr>
            <w:tcW w:w="4780" w:type="dxa"/>
            <w:vAlign w:val="bottom"/>
          </w:tcPr>
          <w:p>
            <w:pPr>
              <w:jc w:val="center"/>
              <w:ind w:right="174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85-1614529</w:t>
            </w:r>
          </w:p>
        </w:tc>
      </w:tr>
      <w:tr>
        <w:trPr>
          <w:trHeight w:val="142"/>
        </w:trPr>
        <w:tc>
          <w:tcPr>
            <w:tcW w:w="4780" w:type="dxa"/>
            <w:vAlign w:val="bottom"/>
          </w:tcPr>
          <w:p>
            <w:pPr>
              <w:jc w:val="center"/>
              <w:ind w:right="1764"/>
              <w:spacing w:after="0" w:line="142"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800" w:type="dxa"/>
            <w:vAlign w:val="bottom"/>
          </w:tcPr>
          <w:p>
            <w:pPr>
              <w:jc w:val="center"/>
              <w:ind w:left="1746"/>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780" w:type="dxa"/>
            <w:vAlign w:val="bottom"/>
          </w:tcPr>
          <w:p>
            <w:pPr>
              <w:jc w:val="center"/>
              <w:ind w:right="174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800" w:type="dxa"/>
            <w:vAlign w:val="bottom"/>
          </w:tcPr>
          <w:p>
            <w:pPr>
              <w:jc w:val="center"/>
              <w:ind w:left="174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18"/>
        </w:trPr>
        <w:tc>
          <w:tcPr>
            <w:tcW w:w="4780" w:type="dxa"/>
            <w:vAlign w:val="bottom"/>
          </w:tcPr>
          <w:p>
            <w:pPr>
              <w:jc w:val="center"/>
              <w:ind w:right="1744"/>
              <w:spacing w:after="0"/>
              <w:rPr>
                <w:sz w:val="20"/>
                <w:szCs w:val="20"/>
                <w:color w:val="auto"/>
              </w:rPr>
            </w:pPr>
            <w:r>
              <w:rPr>
                <w:rFonts w:ascii="Times New Roman" w:cs="Times New Roman" w:eastAsia="Times New Roman" w:hAnsi="Times New Roman"/>
                <w:sz w:val="18"/>
                <w:szCs w:val="18"/>
                <w:b w:val="1"/>
                <w:bCs w:val="1"/>
                <w:color w:val="auto"/>
                <w:w w:val="98"/>
              </w:rPr>
              <w:t>1 Vanderbilt Avenue, Floor 54, Suite C</w:t>
            </w:r>
          </w:p>
        </w:tc>
        <w:tc>
          <w:tcPr>
            <w:tcW w:w="2800" w:type="dxa"/>
            <w:vAlign w:val="bottom"/>
          </w:tcPr>
          <w:p>
            <w:pPr>
              <w:spacing w:after="0"/>
              <w:rPr>
                <w:sz w:val="24"/>
                <w:szCs w:val="24"/>
                <w:color w:val="auto"/>
              </w:rPr>
            </w:pPr>
          </w:p>
        </w:tc>
      </w:tr>
      <w:tr>
        <w:trPr>
          <w:trHeight w:val="238"/>
        </w:trPr>
        <w:tc>
          <w:tcPr>
            <w:tcW w:w="4780" w:type="dxa"/>
            <w:vAlign w:val="bottom"/>
          </w:tcPr>
          <w:p>
            <w:pPr>
              <w:jc w:val="center"/>
              <w:ind w:right="1764"/>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80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173"/>
        </w:trPr>
        <w:tc>
          <w:tcPr>
            <w:tcW w:w="4780" w:type="dxa"/>
            <w:vAlign w:val="bottom"/>
          </w:tcPr>
          <w:p>
            <w:pPr>
              <w:jc w:val="center"/>
              <w:ind w:right="174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800" w:type="dxa"/>
            <w:vAlign w:val="bottom"/>
          </w:tcPr>
          <w:p>
            <w:pPr>
              <w:jc w:val="center"/>
              <w:ind w:left="17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6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(332) 262-2300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CIFR</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7"/>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each whole warrant exercisable for one share of</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at an exercise price of $11.50 per whole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CIFRW</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114" w:lineRule="exact"/>
        <w:rPr>
          <w:sz w:val="24"/>
          <w:szCs w:val="24"/>
          <w:color w:val="auto"/>
        </w:rPr>
      </w:pPr>
    </w:p>
    <w:p>
      <w:pPr>
        <w:jc w:val="both"/>
        <w:ind w:firstLine="599"/>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ind w:right="100" w:firstLine="599"/>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2"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9" w:lineRule="exact"/>
        <w:rPr>
          <w:sz w:val="24"/>
          <w:szCs w:val="24"/>
          <w:color w:val="auto"/>
        </w:rPr>
      </w:pPr>
    </w:p>
    <w:p>
      <w:pPr>
        <w:ind w:right="500" w:firstLine="599"/>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9" w:lineRule="exact"/>
        <w:rPr>
          <w:sz w:val="24"/>
          <w:szCs w:val="24"/>
          <w:color w:val="auto"/>
        </w:rPr>
      </w:pPr>
    </w:p>
    <w:p>
      <w:pPr>
        <w:ind w:left="600" w:right="2020"/>
        <w:spacing w:after="0" w:line="25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4, 2023, the registrant had 248,937,506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05"/>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9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1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Changes in Stockholder’s Equity</w:t>
            </w:r>
          </w:p>
        </w:tc>
        <w:tc>
          <w:tcPr>
            <w:tcW w:w="41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4"/>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other than statements of historical fact, including, without limitation, statements regarding our future results of operations and financial position, business strategy, timing and likelihood of success, potential expansion of bitcoin mining data centers, and management plans and objectives are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although not all forward-looking statements use these words or expressions. The forward-looking statements in this Quarterly Report are only predictions and are largely based on our current expectations and projections about future events and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w:t>
      </w:r>
    </w:p>
    <w:p>
      <w:pPr>
        <w:spacing w:after="0" w:line="82" w:lineRule="exact"/>
        <w:rPr>
          <w:sz w:val="20"/>
          <w:szCs w:val="20"/>
          <w:color w:val="auto"/>
        </w:rPr>
      </w:pPr>
    </w:p>
    <w:p>
      <w:pPr>
        <w:ind w:left="1020" w:right="1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further 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several risks due to disruptions in the crypto asset markets, including but not limited to, the risk from depreciation in our stock price, financing risk, risk of increased losses or impairments in our investments or other assets, risks of legal proceedings and government investigations, and risks from price declines or price volatility of crypto assets.</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the markets in which we operate are new and rapidly evolving, which makes it difficult to evaluate our future prospects and the risks and challenges we may encounter.</w:t>
      </w:r>
    </w:p>
    <w:p>
      <w:pPr>
        <w:spacing w:after="0" w:line="53" w:lineRule="exact"/>
        <w:rPr>
          <w:rFonts w:ascii="Times New Roman" w:cs="Times New Roman" w:eastAsia="Times New Roman" w:hAnsi="Times New Roman"/>
          <w:sz w:val="18"/>
          <w:szCs w:val="18"/>
          <w:color w:val="auto"/>
        </w:rPr>
      </w:pPr>
    </w:p>
    <w:p>
      <w:pPr>
        <w:ind w:left="1020" w:right="40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may be materially adversely affected by any negative impact on the global economy and capital markets resulting from the conflict in Ukraine or any other geopolitical tensions.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grow our hashrate, we may be unable to compete, and our results of operations could suffer.</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mining activities are energy-intensive, which may restrict the geographic locations of miners and have a negative environmental impact. Government regulators may potentially restrict the ability of electricity suppliers to provide electricity to mining operations, such as ours, increase taxes on the purchase of electricity used to mine bitcoin, or even fully or partially ban mining operations.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concentrated our operations in Texas and, thus, are particularly exposed to changes in the regulatory environment, market conditions and natural disasters in this state.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due to the highly volatile nature of cryptocurrencies in general and, specifically, bitcoin.</w:t>
      </w:r>
    </w:p>
    <w:p>
      <w:pPr>
        <w:spacing w:after="0" w:line="117" w:lineRule="exact"/>
        <w:rPr>
          <w:rFonts w:ascii="Times New Roman" w:cs="Times New Roman" w:eastAsia="Times New Roman" w:hAnsi="Times New Roman"/>
          <w:sz w:val="18"/>
          <w:szCs w:val="18"/>
          <w:color w:val="auto"/>
        </w:rPr>
      </w:pPr>
    </w:p>
    <w:p>
      <w:pPr>
        <w:ind w:left="1020" w:right="160" w:hanging="503"/>
        <w:spacing w:after="0" w:line="312"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third parties to provide us with certain critical equipment and may rely on components and raw materials that may be subject to price fluctuations or shortages, including ASIC chips that have been subject to periods of significant shortage and high innovation pace.</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by price fluctuations in the wholesale and retail power markets.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vulnerable to severe weather conditions and natural disasters, including severe heat, winter weather events, earthquakes, fires, floods, hurricanes, as well as power outages and other industrial incidents, which could severely disrupt the normal operation of our business and adversely affect our results of operations.</w:t>
      </w:r>
    </w:p>
    <w:p>
      <w:pPr>
        <w:spacing w:after="0" w:line="6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related to disruptions or other failures in the supply chain for bitcoin mining hardware and related data center hardware, and difficulties in obtaining new hardware.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miners and other necessary hardware are subject to malfunction, technological obsolescence and physical degradation.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automated processes with respect to curtailment may adversely affect our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both"/>
        <w:ind w:left="1020" w:right="2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important factors discussed in Part I, Item 1A, “Risk Factors” in our Annual Report on Form 10-K for the year ended December 31, 2022 filed with the Securities and Exchange Commission (the “SEC”) on March 14, 2023 (the “2022 Form 10-K”) and our future reports filed with the SEC.</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02"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Our corporate website address is https://www.ciphermining.com (“Corporate Website”). The contents of, or information accessible through, our Corporate Website are not part of this Quarterly Report.</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Company maintains a dedicated investor website at https://investors.ciphermining.com/investors (“Investors’ Website”) which is similarly not part of this Quarterly Report. We make our filings with the SEC, including our Annual Reports on Form 10-K, Quarterly Reports on Form 10-Q, Current Reports on Form 8-K, and all amendments to those reports, available free of charge on our Investors’ Website as soon as reasonably practicable after we file such reports with, or furnish such reports to, the SEC.</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use our Investors’ Website as a distribution channel of material information about the Company including through press releases, investor presentations, sustainability reports, and notices of upcoming events. We intend to utilize our Investors’ Website as a channel of distribution to reach public investors and as a means of disclosing material non-public information for complying with disclosure obligations under Regulation FD.</w:t>
      </w:r>
    </w:p>
    <w:p>
      <w:pPr>
        <w:spacing w:after="0" w:line="14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Any reference to our Corporate Website or Investors’ Website addresses do not constitute incorporation by reference of the information contained on or available through those websites, and you should not consider such information to be a part of this Quarterly Report or any other filings we make with the SEC.</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9"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2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20"/>
        </w:trPr>
        <w:tc>
          <w:tcPr>
            <w:tcW w:w="7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(unaudited)</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CFF"/>
          </w:tcPr>
          <w:p>
            <w:pPr>
              <w:spacing w:after="0"/>
              <w:rPr>
                <w:sz w:val="20"/>
                <w:szCs w:val="20"/>
                <w:color w:val="auto"/>
              </w:rPr>
            </w:pPr>
          </w:p>
        </w:tc>
        <w:tc>
          <w:tcPr>
            <w:tcW w:w="1420" w:type="dxa"/>
            <w:vAlign w:val="bottom"/>
            <w:shd w:val="clear" w:color="auto" w:fill="CCECFF"/>
          </w:tcPr>
          <w:p>
            <w:pPr>
              <w:spacing w:after="0"/>
              <w:rPr>
                <w:sz w:val="20"/>
                <w:szCs w:val="20"/>
                <w:color w:val="auto"/>
              </w:rPr>
            </w:pPr>
          </w:p>
        </w:tc>
        <w:tc>
          <w:tcPr>
            <w:tcW w:w="4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48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20"/>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440" w:type="dxa"/>
            <w:vAlign w:val="bottom"/>
            <w:shd w:val="clear" w:color="auto" w:fill="CCECFF"/>
          </w:tcPr>
          <w:p>
            <w:pPr>
              <w:spacing w:after="0"/>
              <w:rPr>
                <w:sz w:val="20"/>
                <w:szCs w:val="20"/>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11,927</w:t>
            </w:r>
          </w:p>
        </w:tc>
        <w:tc>
          <w:tcPr>
            <w:tcW w:w="100" w:type="dxa"/>
            <w:vAlign w:val="bottom"/>
            <w:shd w:val="clear" w:color="auto" w:fill="CCECFF"/>
          </w:tcPr>
          <w:p>
            <w:pPr>
              <w:spacing w:after="0"/>
              <w:rPr>
                <w:sz w:val="20"/>
                <w:szCs w:val="20"/>
                <w:color w:val="auto"/>
              </w:rPr>
            </w:pPr>
          </w:p>
        </w:tc>
      </w:tr>
      <w:tr>
        <w:trPr>
          <w:trHeight w:val="220"/>
        </w:trPr>
        <w:tc>
          <w:tcPr>
            <w:tcW w:w="7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9"/>
                <w:szCs w:val="19"/>
                <w:color w:val="auto"/>
              </w:rPr>
            </w:pPr>
          </w:p>
        </w:tc>
      </w:tr>
      <w:tr>
        <w:trPr>
          <w:trHeight w:val="239"/>
        </w:trPr>
        <w:tc>
          <w:tcPr>
            <w:tcW w:w="7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200" w:type="dxa"/>
            <w:vAlign w:val="bottom"/>
            <w:shd w:val="clear" w:color="auto" w:fill="CCECFF"/>
          </w:tcPr>
          <w:p>
            <w:pPr>
              <w:spacing w:after="0"/>
              <w:rPr>
                <w:sz w:val="20"/>
                <w:szCs w:val="20"/>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4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00" w:type="dxa"/>
            <w:vAlign w:val="bottom"/>
            <w:shd w:val="clear" w:color="auto" w:fill="CCECFF"/>
          </w:tcPr>
          <w:p>
            <w:pPr>
              <w:spacing w:after="0"/>
              <w:rPr>
                <w:sz w:val="20"/>
                <w:szCs w:val="20"/>
                <w:color w:val="auto"/>
              </w:rPr>
            </w:pPr>
          </w:p>
        </w:tc>
      </w:tr>
      <w:tr>
        <w:trPr>
          <w:trHeight w:val="220"/>
        </w:trPr>
        <w:tc>
          <w:tcPr>
            <w:tcW w:w="7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4,279</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7,254</w:t>
            </w:r>
          </w:p>
        </w:tc>
        <w:tc>
          <w:tcPr>
            <w:tcW w:w="100" w:type="dxa"/>
            <w:vAlign w:val="bottom"/>
          </w:tcPr>
          <w:p>
            <w:pPr>
              <w:spacing w:after="0"/>
              <w:rPr>
                <w:sz w:val="19"/>
                <w:szCs w:val="19"/>
                <w:color w:val="auto"/>
              </w:rPr>
            </w:pPr>
          </w:p>
        </w:tc>
      </w:tr>
      <w:tr>
        <w:trPr>
          <w:trHeight w:val="239"/>
        </w:trPr>
        <w:tc>
          <w:tcPr>
            <w:tcW w:w="7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Bitcoin</w:t>
            </w:r>
          </w:p>
        </w:tc>
        <w:tc>
          <w:tcPr>
            <w:tcW w:w="200" w:type="dxa"/>
            <w:vAlign w:val="bottom"/>
            <w:shd w:val="clear" w:color="auto" w:fill="CCECFF"/>
          </w:tcPr>
          <w:p>
            <w:pPr>
              <w:spacing w:after="0"/>
              <w:rPr>
                <w:sz w:val="20"/>
                <w:szCs w:val="20"/>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9,576</w:t>
            </w:r>
          </w:p>
        </w:tc>
        <w:tc>
          <w:tcPr>
            <w:tcW w:w="4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6,283</w:t>
            </w:r>
          </w:p>
        </w:tc>
        <w:tc>
          <w:tcPr>
            <w:tcW w:w="100" w:type="dxa"/>
            <w:vAlign w:val="bottom"/>
            <w:shd w:val="clear" w:color="auto" w:fill="CCECFF"/>
          </w:tcPr>
          <w:p>
            <w:pPr>
              <w:spacing w:after="0"/>
              <w:rPr>
                <w:sz w:val="20"/>
                <w:szCs w:val="20"/>
                <w:color w:val="auto"/>
              </w:rPr>
            </w:pPr>
          </w:p>
        </w:tc>
      </w:tr>
      <w:tr>
        <w:trPr>
          <w:trHeight w:val="227"/>
        </w:trPr>
        <w:tc>
          <w:tcPr>
            <w:tcW w:w="7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Derivative asset</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17,129</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21,071</w:t>
            </w:r>
          </w:p>
        </w:tc>
        <w:tc>
          <w:tcPr>
            <w:tcW w:w="100" w:type="dxa"/>
            <w:vAlign w:val="bottom"/>
          </w:tcPr>
          <w:p>
            <w:pPr>
              <w:spacing w:after="0"/>
              <w:rPr>
                <w:sz w:val="19"/>
                <w:szCs w:val="19"/>
                <w:color w:val="auto"/>
              </w:rPr>
            </w:pPr>
          </w:p>
        </w:tc>
      </w:tr>
      <w:tr>
        <w:trPr>
          <w:trHeight w:val="226"/>
        </w:trPr>
        <w:tc>
          <w:tcPr>
            <w:tcW w:w="74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CFF"/>
          </w:tcPr>
          <w:p>
            <w:pPr>
              <w:spacing w:after="0"/>
              <w:rPr>
                <w:sz w:val="19"/>
                <w:szCs w:val="19"/>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36,478</w:t>
            </w:r>
          </w:p>
        </w:tc>
        <w:tc>
          <w:tcPr>
            <w:tcW w:w="4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47,735</w:t>
            </w:r>
          </w:p>
        </w:tc>
        <w:tc>
          <w:tcPr>
            <w:tcW w:w="100" w:type="dxa"/>
            <w:vAlign w:val="bottom"/>
            <w:shd w:val="clear" w:color="auto" w:fill="CCECFF"/>
          </w:tcPr>
          <w:p>
            <w:pPr>
              <w:spacing w:after="0"/>
              <w:rPr>
                <w:sz w:val="19"/>
                <w:szCs w:val="19"/>
                <w:color w:val="auto"/>
              </w:rPr>
            </w:pPr>
          </w:p>
        </w:tc>
      </w:tr>
      <w:tr>
        <w:trPr>
          <w:trHeight w:val="220"/>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263,027</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191,784</w:t>
            </w:r>
          </w:p>
        </w:tc>
        <w:tc>
          <w:tcPr>
            <w:tcW w:w="100" w:type="dxa"/>
            <w:vAlign w:val="bottom"/>
          </w:tcPr>
          <w:p>
            <w:pPr>
              <w:spacing w:after="0"/>
              <w:rPr>
                <w:sz w:val="19"/>
                <w:szCs w:val="19"/>
                <w:color w:val="auto"/>
              </w:rPr>
            </w:pPr>
          </w:p>
        </w:tc>
      </w:tr>
      <w:tr>
        <w:trPr>
          <w:trHeight w:val="239"/>
        </w:trPr>
        <w:tc>
          <w:tcPr>
            <w:tcW w:w="7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Deposits on equipment</w:t>
            </w:r>
          </w:p>
        </w:tc>
        <w:tc>
          <w:tcPr>
            <w:tcW w:w="200" w:type="dxa"/>
            <w:vAlign w:val="bottom"/>
            <w:shd w:val="clear" w:color="auto" w:fill="CCECFF"/>
          </w:tcPr>
          <w:p>
            <w:pPr>
              <w:spacing w:after="0"/>
              <w:rPr>
                <w:sz w:val="20"/>
                <w:szCs w:val="20"/>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4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73,018</w:t>
            </w:r>
          </w:p>
        </w:tc>
        <w:tc>
          <w:tcPr>
            <w:tcW w:w="100" w:type="dxa"/>
            <w:vAlign w:val="bottom"/>
            <w:shd w:val="clear" w:color="auto" w:fill="CCECFF"/>
          </w:tcPr>
          <w:p>
            <w:pPr>
              <w:spacing w:after="0"/>
              <w:rPr>
                <w:sz w:val="20"/>
                <w:szCs w:val="20"/>
                <w:color w:val="auto"/>
              </w:rPr>
            </w:pPr>
          </w:p>
        </w:tc>
      </w:tr>
      <w:tr>
        <w:trPr>
          <w:trHeight w:val="220"/>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34,529</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37,478</w:t>
            </w:r>
          </w:p>
        </w:tc>
        <w:tc>
          <w:tcPr>
            <w:tcW w:w="100" w:type="dxa"/>
            <w:vAlign w:val="bottom"/>
          </w:tcPr>
          <w:p>
            <w:pPr>
              <w:spacing w:after="0"/>
              <w:rPr>
                <w:sz w:val="19"/>
                <w:szCs w:val="19"/>
                <w:color w:val="auto"/>
              </w:rPr>
            </w:pPr>
          </w:p>
        </w:tc>
      </w:tr>
      <w:tr>
        <w:trPr>
          <w:trHeight w:val="239"/>
        </w:trPr>
        <w:tc>
          <w:tcPr>
            <w:tcW w:w="7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Derivative asset</w:t>
            </w:r>
          </w:p>
        </w:tc>
        <w:tc>
          <w:tcPr>
            <w:tcW w:w="200" w:type="dxa"/>
            <w:vAlign w:val="bottom"/>
            <w:shd w:val="clear" w:color="auto" w:fill="CCECFF"/>
          </w:tcPr>
          <w:p>
            <w:pPr>
              <w:spacing w:after="0"/>
              <w:rPr>
                <w:sz w:val="20"/>
                <w:szCs w:val="20"/>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54,901</w:t>
            </w:r>
          </w:p>
        </w:tc>
        <w:tc>
          <w:tcPr>
            <w:tcW w:w="4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45,631</w:t>
            </w:r>
          </w:p>
        </w:tc>
        <w:tc>
          <w:tcPr>
            <w:tcW w:w="100" w:type="dxa"/>
            <w:vAlign w:val="bottom"/>
            <w:shd w:val="clear" w:color="auto" w:fill="CCECFF"/>
          </w:tcPr>
          <w:p>
            <w:pPr>
              <w:spacing w:after="0"/>
              <w:rPr>
                <w:sz w:val="20"/>
                <w:szCs w:val="20"/>
                <w:color w:val="auto"/>
              </w:rPr>
            </w:pPr>
          </w:p>
        </w:tc>
      </w:tr>
      <w:tr>
        <w:trPr>
          <w:trHeight w:val="220"/>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5,087</w:t>
            </w:r>
          </w:p>
        </w:tc>
        <w:tc>
          <w:tcPr>
            <w:tcW w:w="100" w:type="dxa"/>
            <w:vAlign w:val="bottom"/>
          </w:tcPr>
          <w:p>
            <w:pPr>
              <w:spacing w:after="0"/>
              <w:rPr>
                <w:sz w:val="19"/>
                <w:szCs w:val="19"/>
                <w:color w:val="auto"/>
              </w:rPr>
            </w:pPr>
          </w:p>
        </w:tc>
      </w:tr>
      <w:tr>
        <w:trPr>
          <w:trHeight w:val="236"/>
        </w:trPr>
        <w:tc>
          <w:tcPr>
            <w:tcW w:w="74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200" w:type="dxa"/>
            <w:vAlign w:val="bottom"/>
            <w:tcBorders>
              <w:bottom w:val="single" w:sz="8" w:color="auto"/>
            </w:tcBorders>
            <w:shd w:val="clear" w:color="auto" w:fill="CCECFF"/>
          </w:tcPr>
          <w:p>
            <w:pPr>
              <w:spacing w:after="0"/>
              <w:rPr>
                <w:sz w:val="20"/>
                <w:szCs w:val="20"/>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17,742</w:t>
            </w:r>
          </w:p>
        </w:tc>
        <w:tc>
          <w:tcPr>
            <w:tcW w:w="44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auto"/>
            </w:tcBorders>
            <w:shd w:val="clear" w:color="auto" w:fill="CCECFF"/>
          </w:tcPr>
          <w:p>
            <w:pPr>
              <w:spacing w:after="0"/>
              <w:rPr>
                <w:sz w:val="20"/>
                <w:szCs w:val="20"/>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17,730</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26"/>
        </w:trPr>
        <w:tc>
          <w:tcPr>
            <w:tcW w:w="74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412,685</w:t>
            </w:r>
          </w:p>
        </w:tc>
        <w:tc>
          <w:tcPr>
            <w:tcW w:w="4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418,463</w:t>
            </w:r>
          </w:p>
        </w:tc>
        <w:tc>
          <w:tcPr>
            <w:tcW w:w="10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shd w:val="clear" w:color="auto" w:fill="CCECFF"/>
          </w:tcPr>
          <w:p>
            <w:pPr>
              <w:spacing w:after="0"/>
              <w:rPr>
                <w:sz w:val="18"/>
                <w:szCs w:val="18"/>
                <w:color w:val="auto"/>
              </w:rPr>
            </w:pPr>
          </w:p>
        </w:tc>
        <w:tc>
          <w:tcPr>
            <w:tcW w:w="142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4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20"/>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10,667</w:t>
            </w:r>
          </w:p>
        </w:tc>
        <w:tc>
          <w:tcPr>
            <w:tcW w:w="440" w:type="dxa"/>
            <w:vAlign w:val="bottom"/>
            <w:shd w:val="clear" w:color="auto" w:fill="CCECFF"/>
          </w:tcPr>
          <w:p>
            <w:pPr>
              <w:spacing w:after="0"/>
              <w:rPr>
                <w:sz w:val="20"/>
                <w:szCs w:val="20"/>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14,286</w:t>
            </w:r>
          </w:p>
        </w:tc>
        <w:tc>
          <w:tcPr>
            <w:tcW w:w="100" w:type="dxa"/>
            <w:vAlign w:val="bottom"/>
            <w:shd w:val="clear" w:color="auto" w:fill="CCECFF"/>
          </w:tcPr>
          <w:p>
            <w:pPr>
              <w:spacing w:after="0"/>
              <w:rPr>
                <w:sz w:val="20"/>
                <w:szCs w:val="20"/>
                <w:color w:val="auto"/>
              </w:rPr>
            </w:pPr>
          </w:p>
        </w:tc>
      </w:tr>
      <w:tr>
        <w:trPr>
          <w:trHeight w:val="220"/>
        </w:trPr>
        <w:tc>
          <w:tcPr>
            <w:tcW w:w="7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100" w:type="dxa"/>
            <w:vAlign w:val="bottom"/>
          </w:tcPr>
          <w:p>
            <w:pPr>
              <w:spacing w:after="0"/>
              <w:rPr>
                <w:sz w:val="19"/>
                <w:szCs w:val="19"/>
                <w:color w:val="auto"/>
              </w:rPr>
            </w:pPr>
          </w:p>
        </w:tc>
      </w:tr>
      <w:tr>
        <w:trPr>
          <w:trHeight w:val="239"/>
        </w:trPr>
        <w:tc>
          <w:tcPr>
            <w:tcW w:w="7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shd w:val="clear" w:color="auto" w:fill="CCECFF"/>
          </w:tcPr>
          <w:p>
            <w:pPr>
              <w:spacing w:after="0"/>
              <w:rPr>
                <w:sz w:val="20"/>
                <w:szCs w:val="20"/>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17,341</w:t>
            </w:r>
          </w:p>
        </w:tc>
        <w:tc>
          <w:tcPr>
            <w:tcW w:w="4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19,353</w:t>
            </w:r>
          </w:p>
        </w:tc>
        <w:tc>
          <w:tcPr>
            <w:tcW w:w="100" w:type="dxa"/>
            <w:vAlign w:val="bottom"/>
            <w:shd w:val="clear" w:color="auto" w:fill="CCECFF"/>
          </w:tcPr>
          <w:p>
            <w:pPr>
              <w:spacing w:after="0"/>
              <w:rPr>
                <w:sz w:val="20"/>
                <w:szCs w:val="20"/>
                <w:color w:val="auto"/>
              </w:rPr>
            </w:pPr>
          </w:p>
        </w:tc>
      </w:tr>
      <w:tr>
        <w:trPr>
          <w:trHeight w:val="220"/>
        </w:trPr>
        <w:tc>
          <w:tcPr>
            <w:tcW w:w="7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Finance lease liability, current portion</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00" w:type="dxa"/>
            <w:vAlign w:val="bottom"/>
          </w:tcPr>
          <w:p>
            <w:pPr>
              <w:spacing w:after="0"/>
              <w:rPr>
                <w:sz w:val="19"/>
                <w:szCs w:val="19"/>
                <w:color w:val="auto"/>
              </w:rPr>
            </w:pPr>
          </w:p>
        </w:tc>
      </w:tr>
      <w:tr>
        <w:trPr>
          <w:trHeight w:val="239"/>
        </w:trPr>
        <w:tc>
          <w:tcPr>
            <w:tcW w:w="7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200" w:type="dxa"/>
            <w:vAlign w:val="bottom"/>
            <w:shd w:val="clear" w:color="auto" w:fill="CCECFF"/>
          </w:tcPr>
          <w:p>
            <w:pPr>
              <w:spacing w:after="0"/>
              <w:rPr>
                <w:sz w:val="20"/>
                <w:szCs w:val="20"/>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4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shd w:val="clear" w:color="auto" w:fill="CCECFF"/>
          </w:tcPr>
          <w:p>
            <w:pPr>
              <w:spacing w:after="0"/>
              <w:rPr>
                <w:sz w:val="20"/>
                <w:szCs w:val="20"/>
                <w:color w:val="auto"/>
              </w:rPr>
            </w:pPr>
          </w:p>
        </w:tc>
      </w:tr>
      <w:tr>
        <w:trPr>
          <w:trHeight w:val="226"/>
        </w:trPr>
        <w:tc>
          <w:tcPr>
            <w:tcW w:w="7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 liability</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r>
      <w:tr>
        <w:trPr>
          <w:trHeight w:val="226"/>
        </w:trPr>
        <w:tc>
          <w:tcPr>
            <w:tcW w:w="74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CFF"/>
          </w:tcPr>
          <w:p>
            <w:pPr>
              <w:spacing w:after="0"/>
              <w:rPr>
                <w:sz w:val="19"/>
                <w:szCs w:val="19"/>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33,302</w:t>
            </w:r>
          </w:p>
        </w:tc>
        <w:tc>
          <w:tcPr>
            <w:tcW w:w="4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40,326</w:t>
            </w:r>
          </w:p>
        </w:tc>
        <w:tc>
          <w:tcPr>
            <w:tcW w:w="100" w:type="dxa"/>
            <w:vAlign w:val="bottom"/>
            <w:shd w:val="clear" w:color="auto" w:fill="CCECFF"/>
          </w:tcPr>
          <w:p>
            <w:pPr>
              <w:spacing w:after="0"/>
              <w:rPr>
                <w:sz w:val="19"/>
                <w:szCs w:val="19"/>
                <w:color w:val="auto"/>
              </w:rPr>
            </w:pPr>
          </w:p>
        </w:tc>
      </w:tr>
      <w:tr>
        <w:trPr>
          <w:trHeight w:val="220"/>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16,682</w:t>
            </w:r>
          </w:p>
        </w:tc>
        <w:tc>
          <w:tcPr>
            <w:tcW w:w="100" w:type="dxa"/>
            <w:vAlign w:val="bottom"/>
          </w:tcPr>
          <w:p>
            <w:pPr>
              <w:spacing w:after="0"/>
              <w:rPr>
                <w:sz w:val="19"/>
                <w:szCs w:val="19"/>
                <w:color w:val="auto"/>
              </w:rPr>
            </w:pPr>
          </w:p>
        </w:tc>
      </w:tr>
      <w:tr>
        <w:trPr>
          <w:trHeight w:val="239"/>
        </w:trPr>
        <w:tc>
          <w:tcPr>
            <w:tcW w:w="7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Finance lease liability</w:t>
            </w:r>
          </w:p>
        </w:tc>
        <w:tc>
          <w:tcPr>
            <w:tcW w:w="200" w:type="dxa"/>
            <w:vAlign w:val="bottom"/>
            <w:shd w:val="clear" w:color="auto" w:fill="CCECFF"/>
          </w:tcPr>
          <w:p>
            <w:pPr>
              <w:spacing w:after="0"/>
              <w:rPr>
                <w:sz w:val="20"/>
                <w:szCs w:val="20"/>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11,542</w:t>
            </w:r>
          </w:p>
        </w:tc>
        <w:tc>
          <w:tcPr>
            <w:tcW w:w="4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12,229</w:t>
            </w:r>
          </w:p>
        </w:tc>
        <w:tc>
          <w:tcPr>
            <w:tcW w:w="100" w:type="dxa"/>
            <w:vAlign w:val="bottom"/>
            <w:shd w:val="clear" w:color="auto" w:fill="CCECFF"/>
          </w:tcPr>
          <w:p>
            <w:pPr>
              <w:spacing w:after="0"/>
              <w:rPr>
                <w:sz w:val="20"/>
                <w:szCs w:val="20"/>
                <w:color w:val="auto"/>
              </w:rPr>
            </w:pPr>
          </w:p>
        </w:tc>
      </w:tr>
      <w:tr>
        <w:trPr>
          <w:trHeight w:val="220"/>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4,494</w:t>
            </w:r>
          </w:p>
        </w:tc>
        <w:tc>
          <w:tcPr>
            <w:tcW w:w="100" w:type="dxa"/>
            <w:vAlign w:val="bottom"/>
          </w:tcPr>
          <w:p>
            <w:pPr>
              <w:spacing w:after="0"/>
              <w:rPr>
                <w:sz w:val="19"/>
                <w:szCs w:val="19"/>
                <w:color w:val="auto"/>
              </w:rPr>
            </w:pPr>
          </w:p>
        </w:tc>
      </w:tr>
      <w:tr>
        <w:trPr>
          <w:trHeight w:val="236"/>
        </w:trPr>
        <w:tc>
          <w:tcPr>
            <w:tcW w:w="74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200" w:type="dxa"/>
            <w:vAlign w:val="bottom"/>
            <w:tcBorders>
              <w:bottom w:val="single" w:sz="8" w:color="auto"/>
            </w:tcBorders>
            <w:shd w:val="clear" w:color="auto" w:fill="CCECFF"/>
          </w:tcPr>
          <w:p>
            <w:pPr>
              <w:spacing w:after="0"/>
              <w:rPr>
                <w:sz w:val="20"/>
                <w:szCs w:val="20"/>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44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auto"/>
            </w:tcBorders>
            <w:shd w:val="clear" w:color="auto" w:fill="CCECFF"/>
          </w:tcPr>
          <w:p>
            <w:pPr>
              <w:spacing w:after="0"/>
              <w:rPr>
                <w:sz w:val="20"/>
                <w:szCs w:val="20"/>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23"/>
        </w:trPr>
        <w:tc>
          <w:tcPr>
            <w:tcW w:w="7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68,065</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75,571</w:t>
            </w:r>
          </w:p>
        </w:tc>
        <w:tc>
          <w:tcPr>
            <w:tcW w:w="100" w:type="dxa"/>
            <w:vAlign w:val="bottom"/>
          </w:tcPr>
          <w:p>
            <w:pPr>
              <w:spacing w:after="0"/>
              <w:rPr>
                <w:sz w:val="19"/>
                <w:szCs w:val="19"/>
                <w:color w:val="auto"/>
              </w:rPr>
            </w:pPr>
          </w:p>
        </w:tc>
      </w:tr>
      <w:tr>
        <w:trPr>
          <w:trHeight w:val="226"/>
        </w:trPr>
        <w:tc>
          <w:tcPr>
            <w:tcW w:w="7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6"/>
                <w:szCs w:val="16"/>
                <w:i w:val="1"/>
                <w:iCs w:val="1"/>
                <w:color w:val="auto"/>
              </w:rPr>
              <w:t>Note 12</w:t>
            </w:r>
            <w:r>
              <w:rPr>
                <w:rFonts w:ascii="Times New Roman" w:cs="Times New Roman" w:eastAsia="Times New Roman" w:hAnsi="Times New Roman"/>
                <w:sz w:val="16"/>
                <w:szCs w:val="16"/>
                <w:color w:val="auto"/>
              </w:rPr>
              <w:t>)</w:t>
            </w:r>
          </w:p>
        </w:tc>
        <w:tc>
          <w:tcPr>
            <w:tcW w:w="200" w:type="dxa"/>
            <w:vAlign w:val="bottom"/>
            <w:shd w:val="clear" w:color="auto" w:fill="CCECFF"/>
          </w:tcPr>
          <w:p>
            <w:pPr>
              <w:spacing w:after="0"/>
              <w:rPr>
                <w:sz w:val="19"/>
                <w:szCs w:val="19"/>
                <w:color w:val="auto"/>
              </w:rPr>
            </w:pPr>
          </w:p>
        </w:tc>
        <w:tc>
          <w:tcPr>
            <w:tcW w:w="1420" w:type="dxa"/>
            <w:vAlign w:val="bottom"/>
            <w:shd w:val="clear" w:color="auto" w:fill="CCECFF"/>
          </w:tcPr>
          <w:p>
            <w:pPr>
              <w:spacing w:after="0"/>
              <w:rPr>
                <w:sz w:val="19"/>
                <w:szCs w:val="19"/>
                <w:color w:val="auto"/>
              </w:rPr>
            </w:pPr>
          </w:p>
        </w:tc>
        <w:tc>
          <w:tcPr>
            <w:tcW w:w="4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4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0"/>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7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none issued and outstanding as of March 31,</w:t>
            </w:r>
          </w:p>
        </w:tc>
        <w:tc>
          <w:tcPr>
            <w:tcW w:w="200" w:type="dxa"/>
            <w:vAlign w:val="bottom"/>
            <w:shd w:val="clear" w:color="auto" w:fill="CCECFF"/>
          </w:tcPr>
          <w:p>
            <w:pPr>
              <w:spacing w:after="0"/>
              <w:rPr>
                <w:sz w:val="18"/>
                <w:szCs w:val="18"/>
                <w:color w:val="auto"/>
              </w:rPr>
            </w:pPr>
          </w:p>
        </w:tc>
        <w:tc>
          <w:tcPr>
            <w:tcW w:w="142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4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30"/>
        </w:trPr>
        <w:tc>
          <w:tcPr>
            <w:tcW w:w="7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2023 and December 31, 2022</w:t>
            </w:r>
          </w:p>
        </w:tc>
        <w:tc>
          <w:tcPr>
            <w:tcW w:w="200" w:type="dxa"/>
            <w:vAlign w:val="bottom"/>
            <w:shd w:val="clear" w:color="auto" w:fill="CCECFF"/>
          </w:tcPr>
          <w:p>
            <w:pPr>
              <w:spacing w:after="0"/>
              <w:rPr>
                <w:sz w:val="19"/>
                <w:szCs w:val="19"/>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9"/>
                <w:szCs w:val="19"/>
                <w:color w:val="auto"/>
              </w:rPr>
            </w:pPr>
          </w:p>
        </w:tc>
      </w:tr>
      <w:tr>
        <w:trPr>
          <w:trHeight w:val="202"/>
        </w:trPr>
        <w:tc>
          <w:tcPr>
            <w:tcW w:w="7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$0.001 par value, 500,000,000 shares authorized, 253,050,088 and 251,095,305 shares issued</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 of March 31, 2023 and December 31, 2022, respectively, and 248,906,007 and 247,551,958 shares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outstanding as of March 31, 2023 and December 31, 2022, respectively</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9"/>
                <w:szCs w:val="19"/>
                <w:color w:val="auto"/>
              </w:rPr>
            </w:pPr>
          </w:p>
        </w:tc>
      </w:tr>
      <w:tr>
        <w:trPr>
          <w:trHeight w:val="239"/>
        </w:trPr>
        <w:tc>
          <w:tcPr>
            <w:tcW w:w="7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CFF"/>
          </w:tcPr>
          <w:p>
            <w:pPr>
              <w:spacing w:after="0"/>
              <w:rPr>
                <w:sz w:val="20"/>
                <w:szCs w:val="20"/>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462,181</w:t>
            </w:r>
          </w:p>
        </w:tc>
        <w:tc>
          <w:tcPr>
            <w:tcW w:w="4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453,854</w:t>
            </w:r>
          </w:p>
        </w:tc>
        <w:tc>
          <w:tcPr>
            <w:tcW w:w="100" w:type="dxa"/>
            <w:vAlign w:val="bottom"/>
            <w:shd w:val="clear" w:color="auto" w:fill="CCECFF"/>
          </w:tcPr>
          <w:p>
            <w:pPr>
              <w:spacing w:after="0"/>
              <w:rPr>
                <w:sz w:val="20"/>
                <w:szCs w:val="20"/>
                <w:color w:val="auto"/>
              </w:rPr>
            </w:pPr>
          </w:p>
        </w:tc>
      </w:tr>
      <w:tr>
        <w:trPr>
          <w:trHeight w:val="220"/>
        </w:trPr>
        <w:tc>
          <w:tcPr>
            <w:tcW w:w="7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9"/>
                <w:szCs w:val="19"/>
                <w:color w:val="auto"/>
              </w:rPr>
            </w:pP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(117,810 )</w:t>
            </w:r>
          </w:p>
        </w:tc>
        <w:tc>
          <w:tcPr>
            <w:tcW w:w="12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(111,209 )</w:t>
            </w:r>
          </w:p>
        </w:tc>
      </w:tr>
      <w:tr>
        <w:trPr>
          <w:trHeight w:val="236"/>
        </w:trPr>
        <w:tc>
          <w:tcPr>
            <w:tcW w:w="7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Treasury stock, at par, 4,144,081 and 3,543,347 shares at March 31, 2023 and December 31, 2022, respectively</w:t>
            </w:r>
          </w:p>
        </w:tc>
        <w:tc>
          <w:tcPr>
            <w:tcW w:w="200" w:type="dxa"/>
            <w:vAlign w:val="bottom"/>
            <w:shd w:val="clear" w:color="auto" w:fill="CCECFF"/>
          </w:tcPr>
          <w:p>
            <w:pPr>
              <w:spacing w:after="0"/>
              <w:rPr>
                <w:sz w:val="20"/>
                <w:szCs w:val="20"/>
                <w:color w:val="auto"/>
              </w:rPr>
            </w:pPr>
          </w:p>
        </w:tc>
        <w:tc>
          <w:tcPr>
            <w:tcW w:w="1860" w:type="dxa"/>
            <w:vAlign w:val="bottom"/>
            <w:gridSpan w:val="2"/>
            <w:shd w:val="clear" w:color="auto" w:fill="CCECFF"/>
          </w:tcPr>
          <w:p>
            <w:pPr>
              <w:jc w:val="right"/>
              <w:ind w:right="360"/>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shd w:val="clear" w:color="auto" w:fill="CCECFF"/>
          </w:tcPr>
          <w:p>
            <w:pPr>
              <w:spacing w:after="0"/>
              <w:rPr>
                <w:sz w:val="20"/>
                <w:szCs w:val="20"/>
                <w:color w:val="auto"/>
              </w:rPr>
            </w:pPr>
          </w:p>
        </w:tc>
        <w:tc>
          <w:tcPr>
            <w:tcW w:w="15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r>
      <w:tr>
        <w:trPr>
          <w:trHeight w:val="223"/>
        </w:trPr>
        <w:tc>
          <w:tcPr>
            <w:tcW w:w="7480" w:type="dxa"/>
            <w:vAlign w:val="bottom"/>
            <w:tcBorders>
              <w:top w:val="single" w:sz="8" w:color="CCECFF"/>
            </w:tcBorders>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344,620</w:t>
            </w:r>
          </w:p>
        </w:tc>
        <w:tc>
          <w:tcPr>
            <w:tcW w:w="440" w:type="dxa"/>
            <w:vAlign w:val="bottom"/>
            <w:tcBorders>
              <w:top w:val="single" w:sz="8" w:color="CCEC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342,892</w:t>
            </w:r>
          </w:p>
        </w:tc>
        <w:tc>
          <w:tcPr>
            <w:tcW w:w="100" w:type="dxa"/>
            <w:vAlign w:val="bottom"/>
            <w:tcBorders>
              <w:top w:val="single" w:sz="8" w:color="CCECFF"/>
            </w:tcBorders>
          </w:tcPr>
          <w:p>
            <w:pPr>
              <w:spacing w:after="0"/>
              <w:rPr>
                <w:sz w:val="19"/>
                <w:szCs w:val="19"/>
                <w:color w:val="auto"/>
              </w:rPr>
            </w:pPr>
          </w:p>
        </w:tc>
      </w:tr>
      <w:tr>
        <w:trPr>
          <w:trHeight w:val="266"/>
        </w:trPr>
        <w:tc>
          <w:tcPr>
            <w:tcW w:w="74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00" w:type="dxa"/>
            <w:vAlign w:val="bottom"/>
            <w:tcBorders>
              <w:bottom w:val="single" w:sz="8" w:color="auto"/>
            </w:tcBorders>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412,685</w:t>
            </w:r>
          </w:p>
        </w:tc>
        <w:tc>
          <w:tcPr>
            <w:tcW w:w="440" w:type="dxa"/>
            <w:vAlign w:val="bottom"/>
            <w:tcBorders>
              <w:bottom w:val="single" w:sz="8" w:color="CCECFF"/>
            </w:tcBorders>
            <w:shd w:val="clear" w:color="auto" w:fill="CCECFF"/>
          </w:tcPr>
          <w:p>
            <w:pPr>
              <w:spacing w:after="0"/>
              <w:rPr>
                <w:sz w:val="23"/>
                <w:szCs w:val="23"/>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418,463</w:t>
            </w:r>
          </w:p>
        </w:tc>
        <w:tc>
          <w:tcPr>
            <w:tcW w:w="100" w:type="dxa"/>
            <w:vAlign w:val="bottom"/>
            <w:tcBorders>
              <w:bottom w:val="single" w:sz="8" w:color="CCECFF"/>
            </w:tcBorders>
            <w:shd w:val="clear" w:color="auto" w:fill="CCEC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-3985260</wp:posOffset>
            </wp:positionV>
            <wp:extent cx="7747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-3985260</wp:posOffset>
            </wp:positionV>
            <wp:extent cx="6858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-1902460</wp:posOffset>
            </wp:positionV>
            <wp:extent cx="7747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-333375</wp:posOffset>
            </wp:positionV>
            <wp:extent cx="7747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77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0" w:type="dxa"/>
            <w:vAlign w:val="bottom"/>
            <w:gridSpan w:val="5"/>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23"/>
        </w:trPr>
        <w:tc>
          <w:tcPr>
            <w:tcW w:w="74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r>
      <w:tr>
        <w:trPr>
          <w:trHeight w:val="229"/>
        </w:trPr>
        <w:tc>
          <w:tcPr>
            <w:tcW w:w="74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Revenue - bitcoin mining</w:t>
            </w:r>
          </w:p>
        </w:tc>
        <w:tc>
          <w:tcPr>
            <w:tcW w:w="380" w:type="dxa"/>
            <w:vAlign w:val="bottom"/>
            <w:shd w:val="clear" w:color="auto" w:fill="CCEC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21,895</w:t>
            </w:r>
          </w:p>
        </w:tc>
        <w:tc>
          <w:tcPr>
            <w:tcW w:w="420" w:type="dxa"/>
            <w:vAlign w:val="bottom"/>
            <w:shd w:val="clear" w:color="auto" w:fill="CCECFF"/>
          </w:tcPr>
          <w:p>
            <w:pPr>
              <w:spacing w:after="0"/>
              <w:rPr>
                <w:sz w:val="19"/>
                <w:szCs w:val="19"/>
                <w:color w:val="auto"/>
              </w:rPr>
            </w:pPr>
          </w:p>
        </w:tc>
        <w:tc>
          <w:tcPr>
            <w:tcW w:w="380" w:type="dxa"/>
            <w:vAlign w:val="bottom"/>
            <w:shd w:val="clear" w:color="auto" w:fill="CCEC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9"/>
                <w:szCs w:val="19"/>
                <w:color w:val="auto"/>
              </w:rPr>
            </w:pPr>
          </w:p>
        </w:tc>
      </w:tr>
      <w:tr>
        <w:trPr>
          <w:trHeight w:val="229"/>
        </w:trPr>
        <w:tc>
          <w:tcPr>
            <w:tcW w:w="7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380" w:type="dxa"/>
            <w:vAlign w:val="bottom"/>
            <w:shd w:val="clear" w:color="auto" w:fill="CCECFF"/>
          </w:tcPr>
          <w:p>
            <w:pPr>
              <w:spacing w:after="0"/>
              <w:rPr>
                <w:sz w:val="19"/>
                <w:szCs w:val="19"/>
                <w:color w:val="auto"/>
              </w:rPr>
            </w:pPr>
          </w:p>
        </w:tc>
        <w:tc>
          <w:tcPr>
            <w:tcW w:w="126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380" w:type="dxa"/>
            <w:vAlign w:val="bottom"/>
            <w:shd w:val="clear" w:color="auto" w:fill="CCECFF"/>
          </w:tcPr>
          <w:p>
            <w:pPr>
              <w:spacing w:after="0"/>
              <w:rPr>
                <w:sz w:val="19"/>
                <w:szCs w:val="19"/>
                <w:color w:val="auto"/>
              </w:rPr>
            </w:pPr>
          </w:p>
        </w:tc>
        <w:tc>
          <w:tcPr>
            <w:tcW w:w="12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0"/>
        </w:trPr>
        <w:tc>
          <w:tcPr>
            <w:tcW w:w="7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8,141</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4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shd w:val="clear" w:color="auto" w:fill="CCECFF"/>
          </w:tcPr>
          <w:p>
            <w:pPr>
              <w:spacing w:after="0"/>
              <w:rPr>
                <w:sz w:val="20"/>
                <w:szCs w:val="20"/>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17,420</w:t>
            </w:r>
          </w:p>
        </w:tc>
        <w:tc>
          <w:tcPr>
            <w:tcW w:w="420" w:type="dxa"/>
            <w:vAlign w:val="bottom"/>
            <w:shd w:val="clear" w:color="auto" w:fill="CCECFF"/>
          </w:tcPr>
          <w:p>
            <w:pPr>
              <w:spacing w:after="0"/>
              <w:rPr>
                <w:sz w:val="20"/>
                <w:szCs w:val="20"/>
                <w:color w:val="auto"/>
              </w:rPr>
            </w:pPr>
          </w:p>
        </w:tc>
        <w:tc>
          <w:tcPr>
            <w:tcW w:w="380" w:type="dxa"/>
            <w:vAlign w:val="bottom"/>
            <w:shd w:val="clear" w:color="auto" w:fill="CCECFF"/>
          </w:tcPr>
          <w:p>
            <w:pPr>
              <w:spacing w:after="0"/>
              <w:rPr>
                <w:sz w:val="20"/>
                <w:szCs w:val="20"/>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17,390</w:t>
            </w:r>
          </w:p>
        </w:tc>
        <w:tc>
          <w:tcPr>
            <w:tcW w:w="100" w:type="dxa"/>
            <w:vAlign w:val="bottom"/>
            <w:shd w:val="clear" w:color="auto" w:fill="CCECFF"/>
          </w:tcPr>
          <w:p>
            <w:pPr>
              <w:spacing w:after="0"/>
              <w:rPr>
                <w:sz w:val="20"/>
                <w:szCs w:val="20"/>
                <w:color w:val="auto"/>
              </w:rPr>
            </w:pPr>
          </w:p>
        </w:tc>
      </w:tr>
      <w:tr>
        <w:trPr>
          <w:trHeight w:val="220"/>
        </w:trPr>
        <w:tc>
          <w:tcPr>
            <w:tcW w:w="7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11,655</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r>
      <w:tr>
        <w:trPr>
          <w:trHeight w:val="239"/>
        </w:trPr>
        <w:tc>
          <w:tcPr>
            <w:tcW w:w="74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380" w:type="dxa"/>
            <w:vAlign w:val="bottom"/>
            <w:shd w:val="clear" w:color="auto" w:fill="CCECFF"/>
          </w:tcPr>
          <w:p>
            <w:pPr>
              <w:spacing w:after="0"/>
              <w:rPr>
                <w:sz w:val="20"/>
                <w:szCs w:val="20"/>
                <w:color w:val="auto"/>
              </w:rPr>
            </w:pPr>
          </w:p>
        </w:tc>
        <w:tc>
          <w:tcPr>
            <w:tcW w:w="1680" w:type="dxa"/>
            <w:vAlign w:val="bottom"/>
            <w:gridSpan w:val="2"/>
            <w:shd w:val="clear" w:color="auto" w:fill="CCECFF"/>
          </w:tcPr>
          <w:p>
            <w:pPr>
              <w:jc w:val="right"/>
              <w:ind w:right="360"/>
              <w:spacing w:after="0"/>
              <w:rPr>
                <w:sz w:val="20"/>
                <w:szCs w:val="20"/>
                <w:color w:val="auto"/>
              </w:rPr>
            </w:pPr>
            <w:r>
              <w:rPr>
                <w:rFonts w:ascii="Times New Roman" w:cs="Times New Roman" w:eastAsia="Times New Roman" w:hAnsi="Times New Roman"/>
                <w:sz w:val="16"/>
                <w:szCs w:val="16"/>
                <w:color w:val="auto"/>
              </w:rPr>
              <w:t>(5,328 )</w:t>
            </w:r>
          </w:p>
        </w:tc>
        <w:tc>
          <w:tcPr>
            <w:tcW w:w="380" w:type="dxa"/>
            <w:vAlign w:val="bottom"/>
            <w:shd w:val="clear" w:color="auto" w:fill="CCECFF"/>
          </w:tcPr>
          <w:p>
            <w:pPr>
              <w:spacing w:after="0"/>
              <w:rPr>
                <w:sz w:val="20"/>
                <w:szCs w:val="20"/>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 sales</w:t>
            </w:r>
          </w:p>
        </w:tc>
        <w:tc>
          <w:tcPr>
            <w:tcW w:w="3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(98 )</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4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Equity in losses of equity investees</w:t>
            </w:r>
          </w:p>
        </w:tc>
        <w:tc>
          <w:tcPr>
            <w:tcW w:w="380" w:type="dxa"/>
            <w:vAlign w:val="bottom"/>
            <w:shd w:val="clear" w:color="auto" w:fill="CCECFF"/>
          </w:tcPr>
          <w:p>
            <w:pPr>
              <w:spacing w:after="0"/>
              <w:rPr>
                <w:sz w:val="20"/>
                <w:szCs w:val="20"/>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420" w:type="dxa"/>
            <w:vAlign w:val="bottom"/>
            <w:shd w:val="clear" w:color="auto" w:fill="CCECFF"/>
          </w:tcPr>
          <w:p>
            <w:pPr>
              <w:spacing w:after="0"/>
              <w:rPr>
                <w:sz w:val="20"/>
                <w:szCs w:val="20"/>
                <w:color w:val="auto"/>
              </w:rPr>
            </w:pPr>
          </w:p>
        </w:tc>
        <w:tc>
          <w:tcPr>
            <w:tcW w:w="380" w:type="dxa"/>
            <w:vAlign w:val="bottom"/>
            <w:shd w:val="clear" w:color="auto" w:fill="CCECFF"/>
          </w:tcPr>
          <w:p>
            <w:pPr>
              <w:spacing w:after="0"/>
              <w:rPr>
                <w:sz w:val="20"/>
                <w:szCs w:val="20"/>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CFF"/>
          </w:tcPr>
          <w:p>
            <w:pPr>
              <w:spacing w:after="0"/>
              <w:rPr>
                <w:sz w:val="20"/>
                <w:szCs w:val="20"/>
                <w:color w:val="auto"/>
              </w:rPr>
            </w:pPr>
          </w:p>
        </w:tc>
      </w:tr>
      <w:tr>
        <w:trPr>
          <w:trHeight w:val="220"/>
        </w:trPr>
        <w:tc>
          <w:tcPr>
            <w:tcW w:w="7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Realized gain on sale of bitcoin</w:t>
            </w:r>
          </w:p>
        </w:tc>
        <w:tc>
          <w:tcPr>
            <w:tcW w:w="3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(4,021 )</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4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Impairment of bitcoin</w:t>
            </w:r>
          </w:p>
        </w:tc>
        <w:tc>
          <w:tcPr>
            <w:tcW w:w="380" w:type="dxa"/>
            <w:vAlign w:val="bottom"/>
            <w:shd w:val="clear" w:color="auto" w:fill="CCECFF"/>
          </w:tcPr>
          <w:p>
            <w:pPr>
              <w:spacing w:after="0"/>
              <w:rPr>
                <w:sz w:val="20"/>
                <w:szCs w:val="20"/>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420" w:type="dxa"/>
            <w:vAlign w:val="bottom"/>
            <w:shd w:val="clear" w:color="auto" w:fill="CCECFF"/>
          </w:tcPr>
          <w:p>
            <w:pPr>
              <w:spacing w:after="0"/>
              <w:rPr>
                <w:sz w:val="20"/>
                <w:szCs w:val="20"/>
                <w:color w:val="auto"/>
              </w:rPr>
            </w:pPr>
          </w:p>
        </w:tc>
        <w:tc>
          <w:tcPr>
            <w:tcW w:w="380" w:type="dxa"/>
            <w:vAlign w:val="bottom"/>
            <w:shd w:val="clear" w:color="auto" w:fill="CCECFF"/>
          </w:tcPr>
          <w:p>
            <w:pPr>
              <w:spacing w:after="0"/>
              <w:rPr>
                <w:sz w:val="20"/>
                <w:szCs w:val="20"/>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CFF"/>
          </w:tcPr>
          <w:p>
            <w:pPr>
              <w:spacing w:after="0"/>
              <w:rPr>
                <w:sz w:val="20"/>
                <w:szCs w:val="20"/>
                <w:color w:val="auto"/>
              </w:rPr>
            </w:pPr>
          </w:p>
        </w:tc>
      </w:tr>
      <w:tr>
        <w:trPr>
          <w:trHeight w:val="227"/>
        </w:trPr>
        <w:tc>
          <w:tcPr>
            <w:tcW w:w="7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gains</w:t>
            </w:r>
          </w:p>
        </w:tc>
        <w:tc>
          <w:tcPr>
            <w:tcW w:w="3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(2,260 )</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23"/>
        </w:trPr>
        <w:tc>
          <w:tcPr>
            <w:tcW w:w="7460" w:type="dxa"/>
            <w:vAlign w:val="bottom"/>
            <w:tcBorders>
              <w:bottom w:val="single" w:sz="8" w:color="CCECFF"/>
            </w:tcBorders>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380" w:type="dxa"/>
            <w:vAlign w:val="bottom"/>
            <w:tcBorders>
              <w:top w:val="single" w:sz="8" w:color="auto"/>
              <w:bottom w:val="single" w:sz="8" w:color="auto"/>
            </w:tcBorders>
            <w:shd w:val="clear" w:color="auto" w:fill="CCECFF"/>
          </w:tcPr>
          <w:p>
            <w:pPr>
              <w:spacing w:after="0"/>
              <w:rPr>
                <w:sz w:val="19"/>
                <w:szCs w:val="19"/>
                <w:color w:val="auto"/>
              </w:rPr>
            </w:pPr>
          </w:p>
        </w:tc>
        <w:tc>
          <w:tcPr>
            <w:tcW w:w="12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28,064</w:t>
            </w:r>
          </w:p>
        </w:tc>
        <w:tc>
          <w:tcPr>
            <w:tcW w:w="420" w:type="dxa"/>
            <w:vAlign w:val="bottom"/>
            <w:tcBorders>
              <w:bottom w:val="single" w:sz="8" w:color="CCECFF"/>
            </w:tcBorders>
            <w:shd w:val="clear" w:color="auto" w:fill="CCECFF"/>
          </w:tcPr>
          <w:p>
            <w:pPr>
              <w:spacing w:after="0"/>
              <w:rPr>
                <w:sz w:val="19"/>
                <w:szCs w:val="19"/>
                <w:color w:val="auto"/>
              </w:rPr>
            </w:pPr>
          </w:p>
        </w:tc>
        <w:tc>
          <w:tcPr>
            <w:tcW w:w="380" w:type="dxa"/>
            <w:vAlign w:val="bottom"/>
            <w:tcBorders>
              <w:top w:val="single" w:sz="8" w:color="auto"/>
              <w:bottom w:val="single" w:sz="8" w:color="auto"/>
            </w:tcBorders>
            <w:shd w:val="clear" w:color="auto" w:fill="CCECFF"/>
          </w:tcPr>
          <w:p>
            <w:pPr>
              <w:spacing w:after="0"/>
              <w:rPr>
                <w:sz w:val="19"/>
                <w:szCs w:val="19"/>
                <w:color w:val="auto"/>
              </w:rPr>
            </w:pPr>
          </w:p>
        </w:tc>
        <w:tc>
          <w:tcPr>
            <w:tcW w:w="12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17,554</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23"/>
        </w:trPr>
        <w:tc>
          <w:tcPr>
            <w:tcW w:w="7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Operating loss</w:t>
            </w:r>
          </w:p>
        </w:tc>
        <w:tc>
          <w:tcPr>
            <w:tcW w:w="3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(6,169 )</w:t>
            </w:r>
          </w:p>
        </w:tc>
        <w:tc>
          <w:tcPr>
            <w:tcW w:w="3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(17,554 )</w:t>
            </w:r>
          </w:p>
        </w:tc>
      </w:tr>
      <w:tr>
        <w:trPr>
          <w:trHeight w:val="226"/>
        </w:trPr>
        <w:tc>
          <w:tcPr>
            <w:tcW w:w="7460" w:type="dxa"/>
            <w:vAlign w:val="bottom"/>
            <w:shd w:val="clear" w:color="auto" w:fill="CCECFF"/>
          </w:tcPr>
          <w:p>
            <w:pPr>
              <w:spacing w:after="0"/>
              <w:rPr>
                <w:sz w:val="19"/>
                <w:szCs w:val="19"/>
                <w:color w:val="auto"/>
              </w:rPr>
            </w:pPr>
          </w:p>
        </w:tc>
        <w:tc>
          <w:tcPr>
            <w:tcW w:w="380" w:type="dxa"/>
            <w:vAlign w:val="bottom"/>
            <w:tcBorders>
              <w:top w:val="single" w:sz="8" w:color="auto"/>
            </w:tcBorders>
            <w:shd w:val="clear" w:color="auto" w:fill="CCECFF"/>
          </w:tcPr>
          <w:p>
            <w:pPr>
              <w:spacing w:after="0"/>
              <w:rPr>
                <w:sz w:val="19"/>
                <w:szCs w:val="19"/>
                <w:color w:val="auto"/>
              </w:rPr>
            </w:pPr>
          </w:p>
        </w:tc>
        <w:tc>
          <w:tcPr>
            <w:tcW w:w="1260" w:type="dxa"/>
            <w:vAlign w:val="bottom"/>
            <w:tcBorders>
              <w:top w:val="single" w:sz="8" w:color="auto"/>
            </w:tcBorders>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380" w:type="dxa"/>
            <w:vAlign w:val="bottom"/>
            <w:tcBorders>
              <w:top w:val="single" w:sz="8" w:color="auto"/>
            </w:tcBorders>
            <w:shd w:val="clear" w:color="auto" w:fill="CCECFF"/>
          </w:tcPr>
          <w:p>
            <w:pPr>
              <w:spacing w:after="0"/>
              <w:rPr>
                <w:sz w:val="19"/>
                <w:szCs w:val="19"/>
                <w:color w:val="auto"/>
              </w:rPr>
            </w:pPr>
          </w:p>
        </w:tc>
        <w:tc>
          <w:tcPr>
            <w:tcW w:w="1240" w:type="dxa"/>
            <w:vAlign w:val="bottom"/>
            <w:tcBorders>
              <w:top w:val="single" w:sz="8" w:color="auto"/>
            </w:tcBorders>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0"/>
        </w:trPr>
        <w:tc>
          <w:tcPr>
            <w:tcW w:w="7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income (expense)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4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shd w:val="clear" w:color="auto" w:fill="CCECFF"/>
          </w:tcPr>
          <w:p>
            <w:pPr>
              <w:spacing w:after="0"/>
              <w:rPr>
                <w:sz w:val="20"/>
                <w:szCs w:val="20"/>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20" w:type="dxa"/>
            <w:vAlign w:val="bottom"/>
            <w:shd w:val="clear" w:color="auto" w:fill="CCECFF"/>
          </w:tcPr>
          <w:p>
            <w:pPr>
              <w:spacing w:after="0"/>
              <w:rPr>
                <w:sz w:val="20"/>
                <w:szCs w:val="20"/>
                <w:color w:val="auto"/>
              </w:rPr>
            </w:pPr>
          </w:p>
        </w:tc>
        <w:tc>
          <w:tcPr>
            <w:tcW w:w="380" w:type="dxa"/>
            <w:vAlign w:val="bottom"/>
            <w:shd w:val="clear" w:color="auto" w:fill="CCECFF"/>
          </w:tcPr>
          <w:p>
            <w:pPr>
              <w:spacing w:after="0"/>
              <w:rPr>
                <w:sz w:val="20"/>
                <w:szCs w:val="20"/>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CFF"/>
          </w:tcPr>
          <w:p>
            <w:pPr>
              <w:spacing w:after="0"/>
              <w:rPr>
                <w:sz w:val="20"/>
                <w:szCs w:val="20"/>
                <w:color w:val="auto"/>
              </w:rPr>
            </w:pPr>
          </w:p>
        </w:tc>
      </w:tr>
      <w:tr>
        <w:trPr>
          <w:trHeight w:val="220"/>
        </w:trPr>
        <w:tc>
          <w:tcPr>
            <w:tcW w:w="7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(401 )</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6"/>
        </w:trPr>
        <w:tc>
          <w:tcPr>
            <w:tcW w:w="74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380" w:type="dxa"/>
            <w:vAlign w:val="bottom"/>
            <w:shd w:val="clear" w:color="auto" w:fill="CCECFF"/>
          </w:tcPr>
          <w:p>
            <w:pPr>
              <w:spacing w:after="0"/>
              <w:rPr>
                <w:sz w:val="20"/>
                <w:szCs w:val="20"/>
                <w:color w:val="auto"/>
              </w:rPr>
            </w:pPr>
          </w:p>
        </w:tc>
        <w:tc>
          <w:tcPr>
            <w:tcW w:w="1680" w:type="dxa"/>
            <w:vAlign w:val="bottom"/>
            <w:gridSpan w:val="2"/>
            <w:shd w:val="clear" w:color="auto" w:fill="CCECFF"/>
          </w:tcPr>
          <w:p>
            <w:pPr>
              <w:jc w:val="right"/>
              <w:ind w:right="360"/>
              <w:spacing w:after="0"/>
              <w:rPr>
                <w:sz w:val="20"/>
                <w:szCs w:val="20"/>
                <w:color w:val="auto"/>
              </w:rPr>
            </w:pPr>
            <w:r>
              <w:rPr>
                <w:rFonts w:ascii="Times New Roman" w:cs="Times New Roman" w:eastAsia="Times New Roman" w:hAnsi="Times New Roman"/>
                <w:sz w:val="16"/>
                <w:szCs w:val="16"/>
                <w:color w:val="auto"/>
              </w:rPr>
              <w:t>(37 )</w:t>
            </w:r>
          </w:p>
        </w:tc>
        <w:tc>
          <w:tcPr>
            <w:tcW w:w="380" w:type="dxa"/>
            <w:vAlign w:val="bottom"/>
            <w:shd w:val="clear" w:color="auto" w:fill="CCECFF"/>
          </w:tcPr>
          <w:p>
            <w:pPr>
              <w:spacing w:after="0"/>
              <w:rPr>
                <w:sz w:val="20"/>
                <w:szCs w:val="20"/>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CFF"/>
          </w:tcPr>
          <w:p>
            <w:pPr>
              <w:spacing w:after="0"/>
              <w:rPr>
                <w:sz w:val="20"/>
                <w:szCs w:val="20"/>
                <w:color w:val="auto"/>
              </w:rPr>
            </w:pPr>
          </w:p>
        </w:tc>
      </w:tr>
      <w:tr>
        <w:trPr>
          <w:trHeight w:val="20"/>
        </w:trPr>
        <w:tc>
          <w:tcPr>
            <w:tcW w:w="7460" w:type="dxa"/>
            <w:vAlign w:val="bottom"/>
            <w:shd w:val="clear" w:color="auto" w:fill="CCEC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shd w:val="clear" w:color="auto" w:fill="CCEC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23"/>
        </w:trPr>
        <w:tc>
          <w:tcPr>
            <w:tcW w:w="74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(362 )</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9"/>
                <w:szCs w:val="19"/>
                <w:color w:val="auto"/>
              </w:rPr>
            </w:pPr>
          </w:p>
        </w:tc>
      </w:tr>
      <w:tr>
        <w:trPr>
          <w:trHeight w:val="226"/>
        </w:trPr>
        <w:tc>
          <w:tcPr>
            <w:tcW w:w="7460" w:type="dxa"/>
            <w:vAlign w:val="bottom"/>
            <w:shd w:val="clear" w:color="auto" w:fill="CCECFF"/>
          </w:tcPr>
          <w:p>
            <w:pPr>
              <w:spacing w:after="0"/>
              <w:rPr>
                <w:sz w:val="19"/>
                <w:szCs w:val="19"/>
                <w:color w:val="auto"/>
              </w:rPr>
            </w:pPr>
          </w:p>
        </w:tc>
        <w:tc>
          <w:tcPr>
            <w:tcW w:w="380" w:type="dxa"/>
            <w:vAlign w:val="bottom"/>
            <w:tcBorders>
              <w:top w:val="single" w:sz="8" w:color="auto"/>
            </w:tcBorders>
            <w:shd w:val="clear" w:color="auto" w:fill="CCECFF"/>
          </w:tcPr>
          <w:p>
            <w:pPr>
              <w:spacing w:after="0"/>
              <w:rPr>
                <w:sz w:val="19"/>
                <w:szCs w:val="19"/>
                <w:color w:val="auto"/>
              </w:rPr>
            </w:pPr>
          </w:p>
        </w:tc>
        <w:tc>
          <w:tcPr>
            <w:tcW w:w="1260" w:type="dxa"/>
            <w:vAlign w:val="bottom"/>
            <w:tcBorders>
              <w:top w:val="single" w:sz="8" w:color="auto"/>
            </w:tcBorders>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380" w:type="dxa"/>
            <w:vAlign w:val="bottom"/>
            <w:tcBorders>
              <w:top w:val="single" w:sz="8" w:color="auto"/>
            </w:tcBorders>
            <w:shd w:val="clear" w:color="auto" w:fill="CCECFF"/>
          </w:tcPr>
          <w:p>
            <w:pPr>
              <w:spacing w:after="0"/>
              <w:rPr>
                <w:sz w:val="19"/>
                <w:szCs w:val="19"/>
                <w:color w:val="auto"/>
              </w:rPr>
            </w:pPr>
          </w:p>
        </w:tc>
        <w:tc>
          <w:tcPr>
            <w:tcW w:w="1240" w:type="dxa"/>
            <w:vAlign w:val="bottom"/>
            <w:tcBorders>
              <w:top w:val="single" w:sz="8" w:color="auto"/>
            </w:tcBorders>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0"/>
        </w:trPr>
        <w:tc>
          <w:tcPr>
            <w:tcW w:w="7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Loss before taxes</w:t>
            </w:r>
          </w:p>
        </w:tc>
        <w:tc>
          <w:tcPr>
            <w:tcW w:w="3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(6,531 )</w:t>
            </w:r>
          </w:p>
        </w:tc>
        <w:tc>
          <w:tcPr>
            <w:tcW w:w="3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(17,499 )</w:t>
            </w:r>
          </w:p>
        </w:tc>
      </w:tr>
      <w:tr>
        <w:trPr>
          <w:trHeight w:val="239"/>
        </w:trPr>
        <w:tc>
          <w:tcPr>
            <w:tcW w:w="7460" w:type="dxa"/>
            <w:vAlign w:val="bottom"/>
            <w:shd w:val="clear" w:color="auto" w:fill="CCECFF"/>
          </w:tcPr>
          <w:p>
            <w:pPr>
              <w:spacing w:after="0"/>
              <w:rPr>
                <w:sz w:val="20"/>
                <w:szCs w:val="20"/>
                <w:color w:val="auto"/>
              </w:rPr>
            </w:pPr>
          </w:p>
        </w:tc>
        <w:tc>
          <w:tcPr>
            <w:tcW w:w="380" w:type="dxa"/>
            <w:vAlign w:val="bottom"/>
            <w:shd w:val="clear" w:color="auto" w:fill="CCECFF"/>
          </w:tcPr>
          <w:p>
            <w:pPr>
              <w:spacing w:after="0"/>
              <w:rPr>
                <w:sz w:val="20"/>
                <w:szCs w:val="20"/>
                <w:color w:val="auto"/>
              </w:rPr>
            </w:pPr>
          </w:p>
        </w:tc>
        <w:tc>
          <w:tcPr>
            <w:tcW w:w="1680" w:type="dxa"/>
            <w:vAlign w:val="bottom"/>
            <w:gridSpan w:val="2"/>
            <w:shd w:val="clear" w:color="auto" w:fill="CCECFF"/>
          </w:tcPr>
          <w:p>
            <w:pPr>
              <w:spacing w:after="0"/>
              <w:rPr>
                <w:sz w:val="20"/>
                <w:szCs w:val="20"/>
                <w:color w:val="auto"/>
              </w:rPr>
            </w:pPr>
          </w:p>
        </w:tc>
        <w:tc>
          <w:tcPr>
            <w:tcW w:w="380" w:type="dxa"/>
            <w:vAlign w:val="bottom"/>
            <w:shd w:val="clear" w:color="auto" w:fill="CCECFF"/>
          </w:tcPr>
          <w:p>
            <w:pPr>
              <w:spacing w:after="0"/>
              <w:rPr>
                <w:sz w:val="20"/>
                <w:szCs w:val="20"/>
                <w:color w:val="auto"/>
              </w:rPr>
            </w:pPr>
          </w:p>
        </w:tc>
        <w:tc>
          <w:tcPr>
            <w:tcW w:w="124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20"/>
        </w:trPr>
        <w:tc>
          <w:tcPr>
            <w:tcW w:w="7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3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(17 )</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6"/>
        </w:trPr>
        <w:tc>
          <w:tcPr>
            <w:tcW w:w="74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380" w:type="dxa"/>
            <w:vAlign w:val="bottom"/>
            <w:shd w:val="clear" w:color="auto" w:fill="CCECFF"/>
          </w:tcPr>
          <w:p>
            <w:pPr>
              <w:spacing w:after="0"/>
              <w:rPr>
                <w:sz w:val="20"/>
                <w:szCs w:val="20"/>
                <w:color w:val="auto"/>
              </w:rPr>
            </w:pPr>
          </w:p>
        </w:tc>
        <w:tc>
          <w:tcPr>
            <w:tcW w:w="1680" w:type="dxa"/>
            <w:vAlign w:val="bottom"/>
            <w:gridSpan w:val="2"/>
            <w:shd w:val="clear" w:color="auto" w:fill="CCECFF"/>
          </w:tcPr>
          <w:p>
            <w:pPr>
              <w:jc w:val="right"/>
              <w:ind w:right="360"/>
              <w:spacing w:after="0"/>
              <w:rPr>
                <w:sz w:val="20"/>
                <w:szCs w:val="20"/>
                <w:color w:val="auto"/>
              </w:rPr>
            </w:pPr>
            <w:r>
              <w:rPr>
                <w:rFonts w:ascii="Times New Roman" w:cs="Times New Roman" w:eastAsia="Times New Roman" w:hAnsi="Times New Roman"/>
                <w:sz w:val="16"/>
                <w:szCs w:val="16"/>
                <w:color w:val="auto"/>
              </w:rPr>
              <w:t>(53 )</w:t>
            </w:r>
          </w:p>
        </w:tc>
        <w:tc>
          <w:tcPr>
            <w:tcW w:w="380" w:type="dxa"/>
            <w:vAlign w:val="bottom"/>
            <w:shd w:val="clear" w:color="auto" w:fill="CCECFF"/>
          </w:tcPr>
          <w:p>
            <w:pPr>
              <w:spacing w:after="0"/>
              <w:rPr>
                <w:sz w:val="20"/>
                <w:szCs w:val="20"/>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0"/>
        </w:trPr>
        <w:tc>
          <w:tcPr>
            <w:tcW w:w="7460" w:type="dxa"/>
            <w:vAlign w:val="bottom"/>
            <w:shd w:val="clear" w:color="auto" w:fill="CCEC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shd w:val="clear" w:color="auto" w:fill="CCEC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23"/>
        </w:trPr>
        <w:tc>
          <w:tcPr>
            <w:tcW w:w="7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income tax expense</w:t>
            </w:r>
          </w:p>
        </w:tc>
        <w:tc>
          <w:tcPr>
            <w:tcW w:w="3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(70 )</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26"/>
        </w:trPr>
        <w:tc>
          <w:tcPr>
            <w:tcW w:w="7460" w:type="dxa"/>
            <w:vAlign w:val="bottom"/>
            <w:shd w:val="clear" w:color="auto" w:fill="CCECFF"/>
          </w:tcPr>
          <w:p>
            <w:pPr>
              <w:spacing w:after="0"/>
              <w:rPr>
                <w:sz w:val="19"/>
                <w:szCs w:val="19"/>
                <w:color w:val="auto"/>
              </w:rPr>
            </w:pPr>
          </w:p>
        </w:tc>
        <w:tc>
          <w:tcPr>
            <w:tcW w:w="380" w:type="dxa"/>
            <w:vAlign w:val="bottom"/>
            <w:tcBorders>
              <w:top w:val="single" w:sz="8" w:color="auto"/>
            </w:tcBorders>
            <w:shd w:val="clear" w:color="auto" w:fill="CCECFF"/>
          </w:tcPr>
          <w:p>
            <w:pPr>
              <w:spacing w:after="0"/>
              <w:rPr>
                <w:sz w:val="19"/>
                <w:szCs w:val="19"/>
                <w:color w:val="auto"/>
              </w:rPr>
            </w:pPr>
          </w:p>
        </w:tc>
        <w:tc>
          <w:tcPr>
            <w:tcW w:w="1260" w:type="dxa"/>
            <w:vAlign w:val="bottom"/>
            <w:tcBorders>
              <w:top w:val="single" w:sz="8" w:color="auto"/>
            </w:tcBorders>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380" w:type="dxa"/>
            <w:vAlign w:val="bottom"/>
            <w:tcBorders>
              <w:top w:val="single" w:sz="8" w:color="auto"/>
            </w:tcBorders>
            <w:shd w:val="clear" w:color="auto" w:fill="CCECFF"/>
          </w:tcPr>
          <w:p>
            <w:pPr>
              <w:spacing w:after="0"/>
              <w:rPr>
                <w:sz w:val="19"/>
                <w:szCs w:val="19"/>
                <w:color w:val="auto"/>
              </w:rPr>
            </w:pPr>
          </w:p>
        </w:tc>
        <w:tc>
          <w:tcPr>
            <w:tcW w:w="1240" w:type="dxa"/>
            <w:vAlign w:val="bottom"/>
            <w:tcBorders>
              <w:top w:val="single" w:sz="8" w:color="auto"/>
            </w:tcBorders>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9"/>
        </w:trPr>
        <w:tc>
          <w:tcPr>
            <w:tcW w:w="7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(6,601 )</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(17,499 )</w:t>
            </w:r>
          </w:p>
        </w:tc>
      </w:tr>
      <w:tr>
        <w:trPr>
          <w:trHeight w:val="20"/>
        </w:trPr>
        <w:tc>
          <w:tcPr>
            <w:tcW w:w="7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6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680" w:type="dxa"/>
            <w:vAlign w:val="bottom"/>
            <w:gridSpan w:val="2"/>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340" w:type="dxa"/>
            <w:vAlign w:val="bottom"/>
            <w:gridSpan w:val="2"/>
            <w:shd w:val="clear" w:color="auto" w:fill="CCECFF"/>
          </w:tcPr>
          <w:p>
            <w:pPr>
              <w:spacing w:after="0"/>
              <w:rPr>
                <w:sz w:val="18"/>
                <w:szCs w:val="18"/>
                <w:color w:val="auto"/>
              </w:rPr>
            </w:pPr>
          </w:p>
        </w:tc>
      </w:tr>
      <w:tr>
        <w:trPr>
          <w:trHeight w:val="230"/>
        </w:trPr>
        <w:tc>
          <w:tcPr>
            <w:tcW w:w="7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(0.03 )</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(0.07 )</w:t>
            </w:r>
          </w:p>
        </w:tc>
      </w:tr>
      <w:tr>
        <w:trPr>
          <w:trHeight w:val="20"/>
        </w:trPr>
        <w:tc>
          <w:tcPr>
            <w:tcW w:w="7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46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Weighted average shares outstanding - basic and diluted</w:t>
            </w:r>
          </w:p>
        </w:tc>
        <w:tc>
          <w:tcPr>
            <w:tcW w:w="380" w:type="dxa"/>
            <w:vAlign w:val="bottom"/>
            <w:tcBorders>
              <w:bottom w:val="single" w:sz="8" w:color="auto"/>
            </w:tcBorders>
            <w:shd w:val="clear" w:color="auto" w:fill="CCECFF"/>
          </w:tcPr>
          <w:p>
            <w:pPr>
              <w:spacing w:after="0"/>
              <w:rPr>
                <w:sz w:val="21"/>
                <w:szCs w:val="21"/>
                <w:color w:val="auto"/>
              </w:rPr>
            </w:pPr>
          </w:p>
        </w:tc>
        <w:tc>
          <w:tcPr>
            <w:tcW w:w="12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248,654,082</w:t>
            </w:r>
          </w:p>
        </w:tc>
        <w:tc>
          <w:tcPr>
            <w:tcW w:w="42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bottom w:val="single" w:sz="8" w:color="auto"/>
            </w:tcBorders>
            <w:shd w:val="clear" w:color="auto" w:fill="CCECFF"/>
          </w:tcPr>
          <w:p>
            <w:pPr>
              <w:spacing w:after="0"/>
              <w:rPr>
                <w:sz w:val="21"/>
                <w:szCs w:val="21"/>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250,174,255</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-2750820</wp:posOffset>
            </wp:positionV>
            <wp:extent cx="7683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-1859280</wp:posOffset>
            </wp:positionV>
            <wp:extent cx="7683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-967740</wp:posOffset>
            </wp:positionV>
            <wp:extent cx="7683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76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p>
      <w:pPr>
        <w:spacing w:after="0" w:line="241" w:lineRule="exact"/>
        <w:rPr>
          <w:sz w:val="20"/>
          <w:szCs w:val="20"/>
          <w:color w:val="auto"/>
        </w:rPr>
      </w:pPr>
    </w:p>
    <w:tbl>
      <w:tblPr>
        <w:tblLayout w:type="fixed"/>
        <w:tblInd w:w="2860" w:type="dxa"/>
        <w:tblCellMar>
          <w:top w:w="0" w:type="dxa"/>
          <w:left w:w="0" w:type="dxa"/>
          <w:bottom w:w="0" w:type="dxa"/>
          <w:right w:w="0" w:type="dxa"/>
        </w:tblCellMar>
      </w:tblPr>
      <w:tr>
        <w:trPr>
          <w:trHeight w:val="169"/>
        </w:trPr>
        <w:tc>
          <w:tcPr>
            <w:tcW w:w="19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60" w:type="dxa"/>
            <w:vAlign w:val="bottom"/>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96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540" w:type="dxa"/>
            <w:vAlign w:val="bottom"/>
          </w:tcPr>
          <w:p>
            <w:pPr>
              <w:jc w:val="center"/>
              <w:ind w:left="357"/>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56"/>
        </w:trPr>
        <w:tc>
          <w:tcPr>
            <w:tcW w:w="100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60" w:type="dxa"/>
            <w:vAlign w:val="bottom"/>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2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98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8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540" w:type="dxa"/>
            <w:vAlign w:val="bottom"/>
          </w:tcPr>
          <w:p>
            <w:pPr>
              <w:jc w:val="center"/>
              <w:ind w:left="337"/>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r>
    </w:tbl>
    <w:p>
      <w:pPr>
        <w:spacing w:after="0" w:line="2" w:lineRule="exact"/>
        <w:rPr>
          <w:sz w:val="20"/>
          <w:szCs w:val="20"/>
          <w:color w:val="auto"/>
        </w:rPr>
      </w:pPr>
    </w:p>
    <w:p>
      <w:pPr>
        <w:sectPr>
          <w:pgSz w:w="11900" w:h="16838" w:orient="portrait"/>
          <w:cols w:equalWidth="0" w:num="1">
            <w:col w:w="11240"/>
          </w:cols>
          <w:pgMar w:left="320" w:top="333" w:right="339" w:bottom="1440" w:gutter="0" w:footer="0" w:header="0"/>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2023</w:t>
      </w:r>
    </w:p>
    <w:p>
      <w:pPr>
        <w:spacing w:after="0" w:line="29" w:lineRule="exact"/>
        <w:rPr>
          <w:sz w:val="20"/>
          <w:szCs w:val="20"/>
          <w:color w:val="auto"/>
        </w:rPr>
      </w:pPr>
    </w:p>
    <w:p>
      <w:pPr>
        <w:ind w:left="120"/>
        <w:spacing w:after="0" w:line="234" w:lineRule="auto"/>
        <w:rPr>
          <w:sz w:val="20"/>
          <w:szCs w:val="20"/>
          <w:color w:val="auto"/>
        </w:rPr>
      </w:pPr>
      <w:r>
        <w:rPr>
          <w:rFonts w:ascii="Times New Roman" w:cs="Times New Roman" w:eastAsia="Times New Roman" w:hAnsi="Times New Roman"/>
          <w:sz w:val="14"/>
          <w:szCs w:val="14"/>
          <w:color w:val="auto"/>
        </w:rPr>
        <w:t>Delivery of common stock underlying restricted stock units, net of shares settled for tax withholding settlement</w:t>
      </w:r>
    </w:p>
    <w:p>
      <w:pPr>
        <w:spacing w:after="0" w:line="2" w:lineRule="exact"/>
        <w:rPr>
          <w:sz w:val="20"/>
          <w:szCs w:val="20"/>
          <w:color w:val="auto"/>
        </w:rPr>
      </w:pPr>
    </w:p>
    <w:p>
      <w:pPr>
        <w:ind w:left="120" w:right="1080"/>
        <w:spacing w:after="0" w:line="290" w:lineRule="auto"/>
        <w:rPr>
          <w:sz w:val="20"/>
          <w:szCs w:val="20"/>
          <w:color w:val="auto"/>
        </w:rPr>
      </w:pPr>
      <w:r>
        <w:rPr>
          <w:rFonts w:ascii="Times New Roman" w:cs="Times New Roman" w:eastAsia="Times New Roman" w:hAnsi="Times New Roman"/>
          <w:sz w:val="14"/>
          <w:szCs w:val="14"/>
          <w:color w:val="auto"/>
        </w:rPr>
        <w:t>Share-based compensation Net loss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0"/>
        </w:trPr>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251,095,305</w:t>
            </w:r>
          </w:p>
        </w:tc>
        <w:tc>
          <w:tcPr>
            <w:tcW w:w="36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251</w:t>
            </w:r>
          </w:p>
        </w:tc>
        <w:tc>
          <w:tcPr>
            <w:tcW w:w="340" w:type="dxa"/>
            <w:vAlign w:val="bottom"/>
          </w:tcPr>
          <w:p>
            <w:pPr>
              <w:spacing w:after="0"/>
              <w:rPr>
                <w:sz w:val="14"/>
                <w:szCs w:val="14"/>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453,854</w:t>
            </w:r>
          </w:p>
        </w:tc>
        <w:tc>
          <w:tcPr>
            <w:tcW w:w="32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(111,209 )</w:t>
            </w:r>
          </w:p>
        </w:tc>
        <w:tc>
          <w:tcPr>
            <w:tcW w:w="11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(3,543,347 )</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(4 )</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342,892</w:t>
            </w:r>
          </w:p>
        </w:tc>
        <w:tc>
          <w:tcPr>
            <w:tcW w:w="60" w:type="dxa"/>
            <w:vAlign w:val="bottom"/>
          </w:tcPr>
          <w:p>
            <w:pPr>
              <w:spacing w:after="0"/>
              <w:rPr>
                <w:sz w:val="14"/>
                <w:szCs w:val="14"/>
                <w:color w:val="auto"/>
              </w:rPr>
            </w:pPr>
          </w:p>
        </w:tc>
      </w:tr>
      <w:tr>
        <w:trPr>
          <w:trHeight w:val="440"/>
        </w:trPr>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1,954,783</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(483 )</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4"/>
                <w:szCs w:val="24"/>
                <w:color w:val="auto"/>
              </w:rPr>
            </w:pPr>
          </w:p>
        </w:tc>
        <w:tc>
          <w:tcPr>
            <w:tcW w:w="11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(600,734 )</w:t>
            </w:r>
          </w:p>
        </w:tc>
        <w:tc>
          <w:tcPr>
            <w:tcW w:w="3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(481 )</w:t>
            </w:r>
          </w:p>
        </w:tc>
      </w:tr>
      <w:tr>
        <w:trPr>
          <w:trHeight w:val="175"/>
        </w:trPr>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8,810</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8,810</w:t>
            </w:r>
          </w:p>
        </w:tc>
        <w:tc>
          <w:tcPr>
            <w:tcW w:w="60" w:type="dxa"/>
            <w:vAlign w:val="bottom"/>
          </w:tcPr>
          <w:p>
            <w:pPr>
              <w:spacing w:after="0"/>
              <w:rPr>
                <w:sz w:val="15"/>
                <w:szCs w:val="15"/>
                <w:color w:val="auto"/>
              </w:rPr>
            </w:pPr>
          </w:p>
        </w:tc>
      </w:tr>
      <w:tr>
        <w:trPr>
          <w:trHeight w:val="187"/>
        </w:trPr>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(6,601 )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(6,601 )</w:t>
            </w:r>
          </w:p>
        </w:tc>
      </w:tr>
      <w:tr>
        <w:trPr>
          <w:trHeight w:val="169"/>
        </w:trPr>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253,050,088</w:t>
            </w:r>
          </w:p>
        </w:tc>
        <w:tc>
          <w:tcPr>
            <w:tcW w:w="36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253</w:t>
            </w:r>
          </w:p>
        </w:tc>
        <w:tc>
          <w:tcPr>
            <w:tcW w:w="34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462,181</w:t>
            </w:r>
          </w:p>
        </w:tc>
        <w:tc>
          <w:tcPr>
            <w:tcW w:w="3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(117,810</w:t>
            </w:r>
          </w:p>
        </w:tc>
        <w:tc>
          <w:tcPr>
            <w:tcW w:w="2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(4,144,081</w:t>
            </w:r>
          </w:p>
        </w:tc>
        <w:tc>
          <w:tcPr>
            <w:tcW w:w="3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3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344,620</w:t>
            </w:r>
          </w:p>
        </w:tc>
        <w:tc>
          <w:tcPr>
            <w:tcW w:w="60" w:type="dxa"/>
            <w:vAlign w:val="bottom"/>
          </w:tcPr>
          <w:p>
            <w:pPr>
              <w:spacing w:after="0"/>
              <w:rPr>
                <w:sz w:val="14"/>
                <w:szCs w:val="14"/>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-779145</wp:posOffset>
            </wp:positionV>
            <wp:extent cx="7132320" cy="111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-367665</wp:posOffset>
            </wp:positionV>
            <wp:extent cx="7132320" cy="1111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-136525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Three Months Ended March 31,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9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60" w:type="dxa"/>
            <w:vAlign w:val="bottom"/>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96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540" w:type="dxa"/>
            <w:vAlign w:val="bottom"/>
          </w:tcPr>
          <w:p>
            <w:pPr>
              <w:jc w:val="center"/>
              <w:ind w:left="357"/>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56"/>
        </w:trPr>
        <w:tc>
          <w:tcPr>
            <w:tcW w:w="100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60" w:type="dxa"/>
            <w:vAlign w:val="bottom"/>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2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98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8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540" w:type="dxa"/>
            <w:vAlign w:val="bottom"/>
          </w:tcPr>
          <w:p>
            <w:pPr>
              <w:jc w:val="center"/>
              <w:ind w:left="337"/>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r>
    </w:tbl>
    <w:p>
      <w:pPr>
        <w:spacing w:after="0" w:line="20" w:lineRule="exact"/>
        <w:rPr>
          <w:sz w:val="20"/>
          <w:szCs w:val="20"/>
          <w:color w:val="auto"/>
        </w:rPr>
      </w:pPr>
    </w:p>
    <w:p>
      <w:pPr>
        <w:sectPr>
          <w:pgSz w:w="11900" w:h="16838" w:orient="portrait"/>
          <w:cols w:equalWidth="0" w:num="2">
            <w:col w:w="2720" w:space="140"/>
            <w:col w:w="838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8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January 1, 2022</w:t>
            </w:r>
          </w:p>
        </w:tc>
        <w:tc>
          <w:tcPr>
            <w:tcW w:w="8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252,131,679</w:t>
            </w:r>
          </w:p>
        </w:tc>
        <w:tc>
          <w:tcPr>
            <w:tcW w:w="36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252</w:t>
            </w:r>
          </w:p>
        </w:tc>
        <w:tc>
          <w:tcPr>
            <w:tcW w:w="34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425,438</w:t>
            </w:r>
          </w:p>
        </w:tc>
        <w:tc>
          <w:tcPr>
            <w:tcW w:w="320" w:type="dxa"/>
            <w:vAlign w:val="bottom"/>
            <w:shd w:val="clear" w:color="auto" w:fill="CCECFF"/>
          </w:tcPr>
          <w:p>
            <w:pPr>
              <w:spacing w:after="0"/>
              <w:rPr>
                <w:sz w:val="12"/>
                <w:szCs w:val="12"/>
                <w:color w:val="auto"/>
              </w:rPr>
            </w:pPr>
          </w:p>
        </w:tc>
        <w:tc>
          <w:tcPr>
            <w:tcW w:w="240" w:type="dxa"/>
            <w:vAlign w:val="bottom"/>
            <w:shd w:val="clear" w:color="auto" w:fill="CCECFF"/>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C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(72,156 )</w:t>
            </w:r>
          </w:p>
        </w:tc>
        <w:tc>
          <w:tcPr>
            <w:tcW w:w="1160" w:type="dxa"/>
            <w:vAlign w:val="bottom"/>
            <w:gridSpan w:val="2"/>
            <w:shd w:val="clear" w:color="auto" w:fill="CCEC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(2,852,259 )</w:t>
            </w:r>
          </w:p>
        </w:tc>
        <w:tc>
          <w:tcPr>
            <w:tcW w:w="380" w:type="dxa"/>
            <w:vAlign w:val="bottom"/>
            <w:shd w:val="clear" w:color="auto" w:fill="CCECFF"/>
          </w:tcPr>
          <w:p>
            <w:pPr>
              <w:jc w:val="right"/>
              <w:ind w:right="22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gridSpan w:val="2"/>
            <w:shd w:val="clear" w:color="auto" w:fill="CCEC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(3 )</w:t>
            </w:r>
          </w:p>
        </w:tc>
        <w:tc>
          <w:tcPr>
            <w:tcW w:w="460" w:type="dxa"/>
            <w:vAlign w:val="bottom"/>
            <w:shd w:val="clear" w:color="auto" w:fill="CCECFF"/>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353,531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Delivery of common stock underlying</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restricted stock units, net of shares settled for</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1,554,064</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(3,053 )</w:t>
            </w:r>
          </w:p>
        </w:tc>
        <w:tc>
          <w:tcPr>
            <w:tcW w:w="2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(659,231 )</w:t>
            </w:r>
          </w:p>
        </w:tc>
        <w:tc>
          <w:tcPr>
            <w:tcW w:w="380" w:type="dxa"/>
            <w:vAlign w:val="bottom"/>
          </w:tcPr>
          <w:p>
            <w:pPr>
              <w:spacing w:after="0"/>
              <w:rPr>
                <w:sz w:val="12"/>
                <w:szCs w:val="12"/>
                <w:color w:val="auto"/>
              </w:rPr>
            </w:pP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(1 )</w:t>
            </w:r>
          </w:p>
        </w:tc>
        <w:tc>
          <w:tcPr>
            <w:tcW w:w="460" w:type="dxa"/>
            <w:vAlign w:val="bottom"/>
          </w:tcPr>
          <w:p>
            <w:pPr>
              <w:spacing w:after="0"/>
              <w:rPr>
                <w:sz w:val="12"/>
                <w:szCs w:val="12"/>
                <w:color w:val="auto"/>
              </w:rPr>
            </w:pP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(3,052 )</w:t>
            </w:r>
          </w:p>
        </w:tc>
        <w:tc>
          <w:tcPr>
            <w:tcW w:w="0" w:type="dxa"/>
            <w:vAlign w:val="bottom"/>
          </w:tcPr>
          <w:p>
            <w:pPr>
              <w:spacing w:after="0"/>
              <w:rPr>
                <w:sz w:val="1"/>
                <w:szCs w:val="1"/>
                <w:color w:val="auto"/>
              </w:rPr>
            </w:pPr>
          </w:p>
        </w:tc>
      </w:tr>
      <w:tr>
        <w:trPr>
          <w:trHeight w:val="185"/>
        </w:trPr>
        <w:tc>
          <w:tcPr>
            <w:tcW w:w="2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withholding settlement</w:t>
            </w:r>
          </w:p>
        </w:tc>
        <w:tc>
          <w:tcPr>
            <w:tcW w:w="8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Warrants exercised</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CFF"/>
          </w:tcPr>
          <w:p>
            <w:pPr>
              <w:spacing w:after="0"/>
              <w:rPr>
                <w:sz w:val="15"/>
                <w:szCs w:val="15"/>
                <w:color w:val="auto"/>
              </w:rPr>
            </w:pPr>
          </w:p>
        </w:tc>
        <w:tc>
          <w:tcPr>
            <w:tcW w:w="46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9,514</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(17,499 )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CFF"/>
          </w:tcPr>
          <w:p>
            <w:pPr>
              <w:spacing w:after="0"/>
              <w:rPr>
                <w:sz w:val="15"/>
                <w:szCs w:val="15"/>
                <w:color w:val="auto"/>
              </w:rPr>
            </w:pPr>
          </w:p>
        </w:tc>
        <w:tc>
          <w:tcPr>
            <w:tcW w:w="460" w:type="dxa"/>
            <w:vAlign w:val="bottom"/>
            <w:shd w:val="clear" w:color="auto" w:fill="CCECFF"/>
          </w:tcPr>
          <w:p>
            <w:pPr>
              <w:spacing w:after="0"/>
              <w:rPr>
                <w:sz w:val="15"/>
                <w:szCs w:val="15"/>
                <w:color w:val="auto"/>
              </w:rPr>
            </w:pPr>
          </w:p>
        </w:tc>
        <w:tc>
          <w:tcPr>
            <w:tcW w:w="9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(17,499 )</w:t>
            </w:r>
          </w:p>
        </w:tc>
        <w:tc>
          <w:tcPr>
            <w:tcW w:w="0" w:type="dxa"/>
            <w:vAlign w:val="bottom"/>
          </w:tcPr>
          <w:p>
            <w:pPr>
              <w:spacing w:after="0"/>
              <w:rPr>
                <w:sz w:val="1"/>
                <w:szCs w:val="1"/>
                <w:color w:val="auto"/>
              </w:rPr>
            </w:pPr>
          </w:p>
        </w:tc>
      </w:tr>
      <w:tr>
        <w:trPr>
          <w:trHeight w:val="20"/>
        </w:trPr>
        <w:tc>
          <w:tcPr>
            <w:tcW w:w="2860" w:type="dxa"/>
            <w:vAlign w:val="bottom"/>
            <w:shd w:val="clear" w:color="auto" w:fill="CCEC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March 31, 2022</w:t>
            </w: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253,685,763</w:t>
            </w:r>
          </w:p>
        </w:tc>
        <w:tc>
          <w:tcPr>
            <w:tcW w:w="360" w:type="dxa"/>
            <w:vAlign w:val="bottom"/>
          </w:tcPr>
          <w:p>
            <w:pPr>
              <w:spacing w:after="0"/>
              <w:rPr>
                <w:sz w:val="14"/>
                <w:szCs w:val="14"/>
                <w:color w:val="auto"/>
              </w:rPr>
            </w:pPr>
          </w:p>
        </w:tc>
        <w:tc>
          <w:tcPr>
            <w:tcW w:w="28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254</w:t>
            </w:r>
          </w:p>
        </w:tc>
        <w:tc>
          <w:tcPr>
            <w:tcW w:w="340" w:type="dxa"/>
            <w:vAlign w:val="bottom"/>
          </w:tcPr>
          <w:p>
            <w:pPr>
              <w:spacing w:after="0"/>
              <w:rPr>
                <w:sz w:val="14"/>
                <w:szCs w:val="14"/>
                <w:color w:val="auto"/>
              </w:rPr>
            </w:pPr>
          </w:p>
        </w:tc>
        <w:tc>
          <w:tcPr>
            <w:tcW w:w="28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431,899</w:t>
            </w:r>
          </w:p>
        </w:tc>
        <w:tc>
          <w:tcPr>
            <w:tcW w:w="320" w:type="dxa"/>
            <w:vAlign w:val="bottom"/>
          </w:tcPr>
          <w:p>
            <w:pPr>
              <w:spacing w:after="0"/>
              <w:rPr>
                <w:sz w:val="14"/>
                <w:szCs w:val="14"/>
                <w:color w:val="auto"/>
              </w:rPr>
            </w:pPr>
          </w:p>
        </w:tc>
        <w:tc>
          <w:tcPr>
            <w:tcW w:w="24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(89,655 )</w:t>
            </w:r>
          </w:p>
        </w:tc>
        <w:tc>
          <w:tcPr>
            <w:tcW w:w="116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(3,511,490 )</w:t>
            </w:r>
          </w:p>
        </w:tc>
        <w:tc>
          <w:tcPr>
            <w:tcW w:w="380" w:type="dxa"/>
            <w:vAlign w:val="bottom"/>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(4 )</w:t>
            </w:r>
          </w:p>
        </w:tc>
        <w:tc>
          <w:tcPr>
            <w:tcW w:w="460" w:type="dxa"/>
            <w:vAlign w:val="bottom"/>
          </w:tcPr>
          <w:p>
            <w:pPr>
              <w:jc w:val="right"/>
              <w:ind w:right="30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342,494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-145415</wp:posOffset>
            </wp:positionV>
            <wp:extent cx="7683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-145415</wp:posOffset>
            </wp:positionV>
            <wp:extent cx="7683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-145415</wp:posOffset>
            </wp:positionV>
            <wp:extent cx="6858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-145415</wp:posOffset>
            </wp:positionV>
            <wp:extent cx="6858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-145415</wp:posOffset>
            </wp:positionV>
            <wp:extent cx="6858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-145415</wp:posOffset>
            </wp:positionV>
            <wp:extent cx="6858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00" w:type="dxa"/>
            <w:vAlign w:val="bottom"/>
          </w:tcPr>
          <w:p>
            <w:pPr>
              <w:spacing w:after="0"/>
              <w:rPr>
                <w:sz w:val="19"/>
                <w:szCs w:val="19"/>
                <w:color w:val="auto"/>
              </w:rPr>
            </w:pPr>
          </w:p>
        </w:tc>
        <w:tc>
          <w:tcPr>
            <w:tcW w:w="310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4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74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4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shd w:val="clear" w:color="auto" w:fill="CCEC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CFF"/>
          </w:tcPr>
          <w:p>
            <w:pPr>
              <w:jc w:val="right"/>
              <w:ind w:right="239"/>
              <w:spacing w:after="0"/>
              <w:rPr>
                <w:sz w:val="20"/>
                <w:szCs w:val="20"/>
                <w:color w:val="auto"/>
              </w:rPr>
            </w:pPr>
            <w:r>
              <w:rPr>
                <w:rFonts w:ascii="Times New Roman" w:cs="Times New Roman" w:eastAsia="Times New Roman" w:hAnsi="Times New Roman"/>
                <w:sz w:val="16"/>
                <w:szCs w:val="16"/>
                <w:color w:val="auto"/>
              </w:rPr>
              <w:t>(6,601 )</w:t>
            </w:r>
          </w:p>
        </w:tc>
        <w:tc>
          <w:tcPr>
            <w:tcW w:w="1020" w:type="dxa"/>
            <w:vAlign w:val="bottom"/>
            <w:shd w:val="clear" w:color="auto" w:fill="CCECFF"/>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(17,499 )</w:t>
            </w:r>
          </w:p>
        </w:tc>
      </w:tr>
      <w:tr>
        <w:trPr>
          <w:trHeight w:val="220"/>
        </w:trPr>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4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110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11,655</w:t>
            </w:r>
          </w:p>
        </w:tc>
        <w:tc>
          <w:tcPr>
            <w:tcW w:w="380" w:type="dxa"/>
            <w:vAlign w:val="bottom"/>
            <w:shd w:val="clear" w:color="auto" w:fill="CCECFF"/>
          </w:tcPr>
          <w:p>
            <w:pPr>
              <w:spacing w:after="0"/>
              <w:rPr>
                <w:sz w:val="20"/>
                <w:szCs w:val="20"/>
                <w:color w:val="auto"/>
              </w:rPr>
            </w:pPr>
          </w:p>
        </w:tc>
        <w:tc>
          <w:tcPr>
            <w:tcW w:w="102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CFF"/>
          </w:tcPr>
          <w:p>
            <w:pPr>
              <w:spacing w:after="0"/>
              <w:rPr>
                <w:sz w:val="20"/>
                <w:szCs w:val="20"/>
                <w:color w:val="auto"/>
              </w:rPr>
            </w:pPr>
          </w:p>
        </w:tc>
      </w:tr>
      <w:tr>
        <w:trPr>
          <w:trHeight w:val="22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operating right-of-use asset</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9"/>
                <w:szCs w:val="19"/>
                <w:color w:val="auto"/>
              </w:rPr>
            </w:pPr>
          </w:p>
        </w:tc>
      </w:tr>
      <w:tr>
        <w:trPr>
          <w:trHeight w:val="239"/>
        </w:trPr>
        <w:tc>
          <w:tcPr>
            <w:tcW w:w="74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0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8,810</w:t>
            </w:r>
          </w:p>
        </w:tc>
        <w:tc>
          <w:tcPr>
            <w:tcW w:w="380" w:type="dxa"/>
            <w:vAlign w:val="bottom"/>
            <w:shd w:val="clear" w:color="auto" w:fill="CCECFF"/>
          </w:tcPr>
          <w:p>
            <w:pPr>
              <w:spacing w:after="0"/>
              <w:rPr>
                <w:sz w:val="20"/>
                <w:szCs w:val="20"/>
                <w:color w:val="auto"/>
              </w:rPr>
            </w:pPr>
          </w:p>
        </w:tc>
        <w:tc>
          <w:tcPr>
            <w:tcW w:w="102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9,514</w:t>
            </w:r>
          </w:p>
        </w:tc>
        <w:tc>
          <w:tcPr>
            <w:tcW w:w="100" w:type="dxa"/>
            <w:vAlign w:val="bottom"/>
            <w:shd w:val="clear" w:color="auto" w:fill="CCECFF"/>
          </w:tcPr>
          <w:p>
            <w:pPr>
              <w:spacing w:after="0"/>
              <w:rPr>
                <w:sz w:val="20"/>
                <w:szCs w:val="20"/>
                <w:color w:val="auto"/>
              </w:rPr>
            </w:pPr>
          </w:p>
        </w:tc>
      </w:tr>
      <w:tr>
        <w:trPr>
          <w:trHeight w:val="22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in losses of equity investees</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9"/>
                <w:szCs w:val="19"/>
                <w:color w:val="auto"/>
              </w:rPr>
            </w:pPr>
          </w:p>
        </w:tc>
      </w:tr>
      <w:tr>
        <w:trPr>
          <w:trHeight w:val="239"/>
        </w:trPr>
        <w:tc>
          <w:tcPr>
            <w:tcW w:w="74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Impairment of bitcoin</w:t>
            </w:r>
          </w:p>
        </w:tc>
        <w:tc>
          <w:tcPr>
            <w:tcW w:w="110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380" w:type="dxa"/>
            <w:vAlign w:val="bottom"/>
            <w:shd w:val="clear" w:color="auto" w:fill="CCECFF"/>
          </w:tcPr>
          <w:p>
            <w:pPr>
              <w:spacing w:after="0"/>
              <w:rPr>
                <w:sz w:val="20"/>
                <w:szCs w:val="20"/>
                <w:color w:val="auto"/>
              </w:rPr>
            </w:pPr>
          </w:p>
        </w:tc>
        <w:tc>
          <w:tcPr>
            <w:tcW w:w="102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CFF"/>
          </w:tcPr>
          <w:p>
            <w:pPr>
              <w:spacing w:after="0"/>
              <w:rPr>
                <w:sz w:val="20"/>
                <w:szCs w:val="20"/>
                <w:color w:val="auto"/>
              </w:rPr>
            </w:pPr>
          </w:p>
        </w:tc>
      </w:tr>
      <w:tr>
        <w:trPr>
          <w:trHeight w:val="22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lease expense</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4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110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80" w:type="dxa"/>
            <w:vAlign w:val="bottom"/>
            <w:shd w:val="clear" w:color="auto" w:fill="CCECFF"/>
          </w:tcPr>
          <w:p>
            <w:pPr>
              <w:spacing w:after="0"/>
              <w:rPr>
                <w:sz w:val="20"/>
                <w:szCs w:val="20"/>
                <w:color w:val="auto"/>
              </w:rPr>
            </w:pPr>
          </w:p>
        </w:tc>
        <w:tc>
          <w:tcPr>
            <w:tcW w:w="102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Bitcoin received as payment for services</w:t>
            </w:r>
          </w:p>
        </w:tc>
        <w:tc>
          <w:tcPr>
            <w:tcW w:w="1100" w:type="dxa"/>
            <w:vAlign w:val="bottom"/>
          </w:tcPr>
          <w:p>
            <w:pPr>
              <w:spacing w:after="0"/>
              <w:rPr>
                <w:sz w:val="19"/>
                <w:szCs w:val="19"/>
                <w:color w:val="auto"/>
              </w:rPr>
            </w:pPr>
          </w:p>
        </w:tc>
        <w:tc>
          <w:tcPr>
            <w:tcW w:w="9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(21,717 )</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4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110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239"/>
              <w:spacing w:after="0"/>
              <w:rPr>
                <w:sz w:val="20"/>
                <w:szCs w:val="20"/>
                <w:color w:val="auto"/>
              </w:rPr>
            </w:pPr>
            <w:r>
              <w:rPr>
                <w:rFonts w:ascii="Times New Roman" w:cs="Times New Roman" w:eastAsia="Times New Roman" w:hAnsi="Times New Roman"/>
                <w:sz w:val="16"/>
                <w:szCs w:val="16"/>
                <w:color w:val="auto"/>
              </w:rPr>
              <w:t>(5,328 )</w:t>
            </w:r>
          </w:p>
        </w:tc>
        <w:tc>
          <w:tcPr>
            <w:tcW w:w="102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39"/>
        </w:trPr>
        <w:tc>
          <w:tcPr>
            <w:tcW w:w="74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Realized gain on sale of bitcoin</w:t>
            </w:r>
          </w:p>
        </w:tc>
        <w:tc>
          <w:tcPr>
            <w:tcW w:w="110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239"/>
              <w:spacing w:after="0"/>
              <w:rPr>
                <w:sz w:val="20"/>
                <w:szCs w:val="20"/>
                <w:color w:val="auto"/>
              </w:rPr>
            </w:pPr>
            <w:r>
              <w:rPr>
                <w:rFonts w:ascii="Times New Roman" w:cs="Times New Roman" w:eastAsia="Times New Roman" w:hAnsi="Times New Roman"/>
                <w:sz w:val="16"/>
                <w:szCs w:val="16"/>
                <w:color w:val="auto"/>
              </w:rPr>
              <w:t>(4,021 )</w:t>
            </w:r>
          </w:p>
        </w:tc>
        <w:tc>
          <w:tcPr>
            <w:tcW w:w="102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4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Proceeds from sale of bitcoin</w:t>
            </w:r>
          </w:p>
        </w:tc>
        <w:tc>
          <w:tcPr>
            <w:tcW w:w="110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20,958</w:t>
            </w:r>
          </w:p>
        </w:tc>
        <w:tc>
          <w:tcPr>
            <w:tcW w:w="380" w:type="dxa"/>
            <w:vAlign w:val="bottom"/>
            <w:shd w:val="clear" w:color="auto" w:fill="CCECFF"/>
          </w:tcPr>
          <w:p>
            <w:pPr>
              <w:spacing w:after="0"/>
              <w:rPr>
                <w:sz w:val="20"/>
                <w:szCs w:val="20"/>
                <w:color w:val="auto"/>
              </w:rPr>
            </w:pPr>
          </w:p>
        </w:tc>
        <w:tc>
          <w:tcPr>
            <w:tcW w:w="102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4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receivable</w:t>
            </w:r>
          </w:p>
        </w:tc>
        <w:tc>
          <w:tcPr>
            <w:tcW w:w="1100" w:type="dxa"/>
            <w:vAlign w:val="bottom"/>
          </w:tcPr>
          <w:p>
            <w:pPr>
              <w:spacing w:after="0"/>
              <w:rPr>
                <w:sz w:val="19"/>
                <w:szCs w:val="19"/>
                <w:color w:val="auto"/>
              </w:rPr>
            </w:pPr>
          </w:p>
        </w:tc>
        <w:tc>
          <w:tcPr>
            <w:tcW w:w="9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(183 )</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4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110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239"/>
              <w:spacing w:after="0"/>
              <w:rPr>
                <w:sz w:val="20"/>
                <w:szCs w:val="20"/>
                <w:color w:val="auto"/>
              </w:rPr>
            </w:pPr>
            <w:r>
              <w:rPr>
                <w:rFonts w:ascii="Times New Roman" w:cs="Times New Roman" w:eastAsia="Times New Roman" w:hAnsi="Times New Roman"/>
                <w:sz w:val="16"/>
                <w:szCs w:val="16"/>
                <w:color w:val="auto"/>
              </w:rPr>
              <w:t>(189 )</w:t>
            </w:r>
          </w:p>
        </w:tc>
        <w:tc>
          <w:tcPr>
            <w:tcW w:w="102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4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100" w:type="dxa"/>
            <w:vAlign w:val="bottom"/>
          </w:tcPr>
          <w:p>
            <w:pPr>
              <w:spacing w:after="0"/>
              <w:rPr>
                <w:sz w:val="19"/>
                <w:szCs w:val="19"/>
                <w:color w:val="auto"/>
              </w:rPr>
            </w:pPr>
          </w:p>
        </w:tc>
      </w:tr>
      <w:tr>
        <w:trPr>
          <w:trHeight w:val="239"/>
        </w:trPr>
        <w:tc>
          <w:tcPr>
            <w:tcW w:w="74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Security deposits</w:t>
            </w:r>
          </w:p>
        </w:tc>
        <w:tc>
          <w:tcPr>
            <w:tcW w:w="110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239"/>
              <w:spacing w:after="0"/>
              <w:rPr>
                <w:sz w:val="20"/>
                <w:szCs w:val="20"/>
                <w:color w:val="auto"/>
              </w:rPr>
            </w:pPr>
            <w:r>
              <w:rPr>
                <w:rFonts w:ascii="Times New Roman" w:cs="Times New Roman" w:eastAsia="Times New Roman" w:hAnsi="Times New Roman"/>
                <w:sz w:val="16"/>
                <w:szCs w:val="16"/>
                <w:color w:val="auto"/>
              </w:rPr>
              <w:t>(12 )</w:t>
            </w:r>
          </w:p>
        </w:tc>
        <w:tc>
          <w:tcPr>
            <w:tcW w:w="1020" w:type="dxa"/>
            <w:vAlign w:val="bottom"/>
            <w:shd w:val="clear" w:color="auto" w:fill="CCECFF"/>
          </w:tcPr>
          <w:p>
            <w:pPr>
              <w:spacing w:after="0"/>
              <w:rPr>
                <w:sz w:val="20"/>
                <w:szCs w:val="20"/>
                <w:color w:val="auto"/>
              </w:rPr>
            </w:pP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(1,010 )</w:t>
            </w:r>
          </w:p>
        </w:tc>
      </w:tr>
      <w:tr>
        <w:trPr>
          <w:trHeight w:val="220"/>
        </w:trPr>
        <w:tc>
          <w:tcPr>
            <w:tcW w:w="74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payable</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9"/>
                <w:szCs w:val="19"/>
                <w:color w:val="auto"/>
              </w:rPr>
            </w:pPr>
          </w:p>
        </w:tc>
      </w:tr>
      <w:tr>
        <w:trPr>
          <w:trHeight w:val="239"/>
        </w:trPr>
        <w:tc>
          <w:tcPr>
            <w:tcW w:w="74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110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239"/>
              <w:spacing w:after="0"/>
              <w:rPr>
                <w:sz w:val="20"/>
                <w:szCs w:val="20"/>
                <w:color w:val="auto"/>
              </w:rPr>
            </w:pPr>
            <w:r>
              <w:rPr>
                <w:rFonts w:ascii="Times New Roman" w:cs="Times New Roman" w:eastAsia="Times New Roman" w:hAnsi="Times New Roman"/>
                <w:sz w:val="16"/>
                <w:szCs w:val="16"/>
                <w:color w:val="auto"/>
              </w:rPr>
              <w:t>(1,529 )</w:t>
            </w:r>
          </w:p>
        </w:tc>
        <w:tc>
          <w:tcPr>
            <w:tcW w:w="102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4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100" w:type="dxa"/>
            <w:vAlign w:val="bottom"/>
          </w:tcPr>
          <w:p>
            <w:pPr>
              <w:spacing w:after="0"/>
              <w:rPr>
                <w:sz w:val="19"/>
                <w:szCs w:val="19"/>
                <w:color w:val="auto"/>
              </w:rPr>
            </w:pPr>
          </w:p>
        </w:tc>
      </w:tr>
      <w:tr>
        <w:trPr>
          <w:trHeight w:val="236"/>
        </w:trPr>
        <w:tc>
          <w:tcPr>
            <w:tcW w:w="740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Lease liabilities</w:t>
            </w:r>
          </w:p>
        </w:tc>
        <w:tc>
          <w:tcPr>
            <w:tcW w:w="110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239"/>
              <w:spacing w:after="0"/>
              <w:rPr>
                <w:sz w:val="20"/>
                <w:szCs w:val="20"/>
                <w:color w:val="auto"/>
              </w:rPr>
            </w:pPr>
            <w:r>
              <w:rPr>
                <w:rFonts w:ascii="Times New Roman" w:cs="Times New Roman" w:eastAsia="Times New Roman" w:hAnsi="Times New Roman"/>
                <w:sz w:val="16"/>
                <w:szCs w:val="16"/>
                <w:color w:val="auto"/>
              </w:rPr>
              <w:t>(248 )</w:t>
            </w:r>
          </w:p>
        </w:tc>
        <w:tc>
          <w:tcPr>
            <w:tcW w:w="102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CFF"/>
          </w:tcPr>
          <w:p>
            <w:pPr>
              <w:spacing w:after="0"/>
              <w:rPr>
                <w:sz w:val="20"/>
                <w:szCs w:val="20"/>
                <w:color w:val="auto"/>
              </w:rPr>
            </w:pPr>
          </w:p>
        </w:tc>
      </w:tr>
      <w:tr>
        <w:trPr>
          <w:trHeight w:val="20"/>
        </w:trPr>
        <w:tc>
          <w:tcPr>
            <w:tcW w:w="7400" w:type="dxa"/>
            <w:vAlign w:val="bottom"/>
            <w:shd w:val="clear" w:color="auto" w:fill="CCEC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23"/>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10,816</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(3,321 )</w:t>
            </w:r>
          </w:p>
        </w:tc>
      </w:tr>
      <w:tr>
        <w:trPr>
          <w:trHeight w:val="226"/>
        </w:trPr>
        <w:tc>
          <w:tcPr>
            <w:tcW w:w="74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00" w:type="dxa"/>
            <w:vAlign w:val="bottom"/>
            <w:tcBorders>
              <w:top w:val="single" w:sz="8" w:color="auto"/>
            </w:tcBorders>
            <w:shd w:val="clear" w:color="auto" w:fill="CCECFF"/>
          </w:tcPr>
          <w:p>
            <w:pPr>
              <w:spacing w:after="0"/>
              <w:rPr>
                <w:sz w:val="19"/>
                <w:szCs w:val="19"/>
                <w:color w:val="auto"/>
              </w:rPr>
            </w:pPr>
          </w:p>
        </w:tc>
        <w:tc>
          <w:tcPr>
            <w:tcW w:w="600" w:type="dxa"/>
            <w:vAlign w:val="bottom"/>
            <w:tcBorders>
              <w:top w:val="single" w:sz="8" w:color="auto"/>
            </w:tcBorders>
            <w:shd w:val="clear" w:color="auto" w:fill="CCECFF"/>
          </w:tcPr>
          <w:p>
            <w:pPr>
              <w:spacing w:after="0"/>
              <w:rPr>
                <w:sz w:val="19"/>
                <w:szCs w:val="19"/>
                <w:color w:val="auto"/>
              </w:rPr>
            </w:pPr>
          </w:p>
        </w:tc>
        <w:tc>
          <w:tcPr>
            <w:tcW w:w="380" w:type="dxa"/>
            <w:vAlign w:val="bottom"/>
            <w:shd w:val="clear" w:color="auto" w:fill="CCECFF"/>
          </w:tcPr>
          <w:p>
            <w:pPr>
              <w:spacing w:after="0"/>
              <w:rPr>
                <w:sz w:val="19"/>
                <w:szCs w:val="19"/>
                <w:color w:val="auto"/>
              </w:rPr>
            </w:pPr>
          </w:p>
        </w:tc>
        <w:tc>
          <w:tcPr>
            <w:tcW w:w="1020" w:type="dxa"/>
            <w:vAlign w:val="bottom"/>
            <w:tcBorders>
              <w:top w:val="single" w:sz="8" w:color="auto"/>
            </w:tcBorders>
            <w:shd w:val="clear" w:color="auto" w:fill="CCECFF"/>
          </w:tcPr>
          <w:p>
            <w:pPr>
              <w:spacing w:after="0"/>
              <w:rPr>
                <w:sz w:val="19"/>
                <w:szCs w:val="19"/>
                <w:color w:val="auto"/>
              </w:rPr>
            </w:pPr>
          </w:p>
        </w:tc>
        <w:tc>
          <w:tcPr>
            <w:tcW w:w="640" w:type="dxa"/>
            <w:vAlign w:val="bottom"/>
            <w:tcBorders>
              <w:top w:val="single" w:sz="8" w:color="auto"/>
            </w:tcBorders>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0"/>
        </w:trPr>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Deposits on equipment</w:t>
            </w:r>
          </w:p>
        </w:tc>
        <w:tc>
          <w:tcPr>
            <w:tcW w:w="1100" w:type="dxa"/>
            <w:vAlign w:val="bottom"/>
          </w:tcPr>
          <w:p>
            <w:pPr>
              <w:spacing w:after="0"/>
              <w:rPr>
                <w:sz w:val="19"/>
                <w:szCs w:val="19"/>
                <w:color w:val="auto"/>
              </w:rPr>
            </w:pPr>
          </w:p>
        </w:tc>
        <w:tc>
          <w:tcPr>
            <w:tcW w:w="9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(1,106 )</w:t>
            </w:r>
          </w:p>
        </w:tc>
        <w:tc>
          <w:tcPr>
            <w:tcW w:w="10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(96,914 )</w:t>
            </w:r>
          </w:p>
        </w:tc>
      </w:tr>
      <w:tr>
        <w:trPr>
          <w:trHeight w:val="239"/>
        </w:trPr>
        <w:tc>
          <w:tcPr>
            <w:tcW w:w="74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10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239"/>
              <w:spacing w:after="0"/>
              <w:rPr>
                <w:sz w:val="20"/>
                <w:szCs w:val="20"/>
                <w:color w:val="auto"/>
              </w:rPr>
            </w:pPr>
            <w:r>
              <w:rPr>
                <w:rFonts w:ascii="Times New Roman" w:cs="Times New Roman" w:eastAsia="Times New Roman" w:hAnsi="Times New Roman"/>
                <w:sz w:val="16"/>
                <w:szCs w:val="16"/>
                <w:color w:val="auto"/>
              </w:rPr>
              <w:t>(17,947 )</w:t>
            </w:r>
          </w:p>
        </w:tc>
        <w:tc>
          <w:tcPr>
            <w:tcW w:w="1020" w:type="dxa"/>
            <w:vAlign w:val="bottom"/>
            <w:shd w:val="clear" w:color="auto" w:fill="CCECFF"/>
          </w:tcPr>
          <w:p>
            <w:pPr>
              <w:spacing w:after="0"/>
              <w:rPr>
                <w:sz w:val="20"/>
                <w:szCs w:val="20"/>
                <w:color w:val="auto"/>
              </w:rPr>
            </w:pP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(7,059 )</w:t>
            </w:r>
          </w:p>
        </w:tc>
      </w:tr>
      <w:tr>
        <w:trPr>
          <w:trHeight w:val="220"/>
        </w:trPr>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Capital distributions from equity investees</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6"/>
        </w:trPr>
        <w:tc>
          <w:tcPr>
            <w:tcW w:w="74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110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239"/>
              <w:spacing w:after="0"/>
              <w:rPr>
                <w:sz w:val="20"/>
                <w:szCs w:val="20"/>
                <w:color w:val="auto"/>
              </w:rPr>
            </w:pPr>
            <w:r>
              <w:rPr>
                <w:rFonts w:ascii="Times New Roman" w:cs="Times New Roman" w:eastAsia="Times New Roman" w:hAnsi="Times New Roman"/>
                <w:sz w:val="16"/>
                <w:szCs w:val="16"/>
                <w:color w:val="auto"/>
              </w:rPr>
              <w:t>(3,094 )</w:t>
            </w:r>
          </w:p>
        </w:tc>
        <w:tc>
          <w:tcPr>
            <w:tcW w:w="102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0"/>
        </w:trPr>
        <w:tc>
          <w:tcPr>
            <w:tcW w:w="7400" w:type="dxa"/>
            <w:vAlign w:val="bottom"/>
            <w:shd w:val="clear" w:color="auto" w:fill="CCEC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23"/>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100" w:type="dxa"/>
            <w:vAlign w:val="bottom"/>
          </w:tcPr>
          <w:p>
            <w:pPr>
              <w:spacing w:after="0"/>
              <w:rPr>
                <w:sz w:val="19"/>
                <w:szCs w:val="19"/>
                <w:color w:val="auto"/>
              </w:rPr>
            </w:pPr>
          </w:p>
        </w:tc>
        <w:tc>
          <w:tcPr>
            <w:tcW w:w="9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(18,340 )</w:t>
            </w:r>
          </w:p>
        </w:tc>
        <w:tc>
          <w:tcPr>
            <w:tcW w:w="10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(103,973 )</w:t>
            </w:r>
          </w:p>
        </w:tc>
      </w:tr>
      <w:tr>
        <w:trPr>
          <w:trHeight w:val="226"/>
        </w:trPr>
        <w:tc>
          <w:tcPr>
            <w:tcW w:w="74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00" w:type="dxa"/>
            <w:vAlign w:val="bottom"/>
            <w:tcBorders>
              <w:top w:val="single" w:sz="8" w:color="auto"/>
            </w:tcBorders>
            <w:shd w:val="clear" w:color="auto" w:fill="CCECFF"/>
          </w:tcPr>
          <w:p>
            <w:pPr>
              <w:spacing w:after="0"/>
              <w:rPr>
                <w:sz w:val="19"/>
                <w:szCs w:val="19"/>
                <w:color w:val="auto"/>
              </w:rPr>
            </w:pPr>
          </w:p>
        </w:tc>
        <w:tc>
          <w:tcPr>
            <w:tcW w:w="600" w:type="dxa"/>
            <w:vAlign w:val="bottom"/>
            <w:tcBorders>
              <w:top w:val="single" w:sz="8" w:color="auto"/>
            </w:tcBorders>
            <w:shd w:val="clear" w:color="auto" w:fill="CCECFF"/>
          </w:tcPr>
          <w:p>
            <w:pPr>
              <w:spacing w:after="0"/>
              <w:rPr>
                <w:sz w:val="19"/>
                <w:szCs w:val="19"/>
                <w:color w:val="auto"/>
              </w:rPr>
            </w:pPr>
          </w:p>
        </w:tc>
        <w:tc>
          <w:tcPr>
            <w:tcW w:w="380" w:type="dxa"/>
            <w:vAlign w:val="bottom"/>
            <w:shd w:val="clear" w:color="auto" w:fill="CCECFF"/>
          </w:tcPr>
          <w:p>
            <w:pPr>
              <w:spacing w:after="0"/>
              <w:rPr>
                <w:sz w:val="19"/>
                <w:szCs w:val="19"/>
                <w:color w:val="auto"/>
              </w:rPr>
            </w:pPr>
          </w:p>
        </w:tc>
        <w:tc>
          <w:tcPr>
            <w:tcW w:w="1020" w:type="dxa"/>
            <w:vAlign w:val="bottom"/>
            <w:tcBorders>
              <w:top w:val="single" w:sz="8" w:color="auto"/>
            </w:tcBorders>
            <w:shd w:val="clear" w:color="auto" w:fill="CCECFF"/>
          </w:tcPr>
          <w:p>
            <w:pPr>
              <w:spacing w:after="0"/>
              <w:rPr>
                <w:sz w:val="19"/>
                <w:szCs w:val="19"/>
                <w:color w:val="auto"/>
              </w:rPr>
            </w:pPr>
          </w:p>
        </w:tc>
        <w:tc>
          <w:tcPr>
            <w:tcW w:w="640" w:type="dxa"/>
            <w:vAlign w:val="bottom"/>
            <w:tcBorders>
              <w:top w:val="single" w:sz="8" w:color="auto"/>
            </w:tcBorders>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7"/>
        </w:trPr>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Repurchase of common shares to pay employee withholding taxes</w:t>
            </w:r>
          </w:p>
        </w:tc>
        <w:tc>
          <w:tcPr>
            <w:tcW w:w="1100" w:type="dxa"/>
            <w:vAlign w:val="bottom"/>
          </w:tcPr>
          <w:p>
            <w:pPr>
              <w:spacing w:after="0"/>
              <w:rPr>
                <w:sz w:val="19"/>
                <w:szCs w:val="19"/>
                <w:color w:val="auto"/>
              </w:rPr>
            </w:pPr>
          </w:p>
        </w:tc>
        <w:tc>
          <w:tcPr>
            <w:tcW w:w="9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(481 )</w:t>
            </w:r>
          </w:p>
        </w:tc>
        <w:tc>
          <w:tcPr>
            <w:tcW w:w="10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(3,052 )</w:t>
            </w:r>
          </w:p>
        </w:tc>
      </w:tr>
      <w:tr>
        <w:trPr>
          <w:trHeight w:val="223"/>
        </w:trPr>
        <w:tc>
          <w:tcPr>
            <w:tcW w:w="7400" w:type="dxa"/>
            <w:vAlign w:val="bottom"/>
            <w:tcBorders>
              <w:bottom w:val="single" w:sz="8" w:color="CCECFF"/>
            </w:tcBorders>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100" w:type="dxa"/>
            <w:vAlign w:val="bottom"/>
            <w:tcBorders>
              <w:top w:val="single" w:sz="8" w:color="auto"/>
              <w:bottom w:val="single" w:sz="8" w:color="auto"/>
            </w:tcBorders>
            <w:shd w:val="clear" w:color="auto" w:fill="CCECFF"/>
          </w:tcPr>
          <w:p>
            <w:pPr>
              <w:spacing w:after="0"/>
              <w:rPr>
                <w:sz w:val="19"/>
                <w:szCs w:val="19"/>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380" w:type="dxa"/>
            <w:vAlign w:val="bottom"/>
            <w:tcBorders>
              <w:bottom w:val="single" w:sz="8" w:color="CCECFF"/>
            </w:tcBorders>
            <w:shd w:val="clear" w:color="auto" w:fill="CCEC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CFF"/>
          </w:tcPr>
          <w:p>
            <w:pPr>
              <w:spacing w:after="0"/>
              <w:rPr>
                <w:sz w:val="19"/>
                <w:szCs w:val="19"/>
                <w:color w:val="auto"/>
              </w:rPr>
            </w:pP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(3,052</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100" w:type="dxa"/>
            <w:vAlign w:val="bottom"/>
          </w:tcPr>
          <w:p>
            <w:pPr>
              <w:spacing w:after="0"/>
              <w:rPr>
                <w:sz w:val="18"/>
                <w:szCs w:val="18"/>
                <w:color w:val="auto"/>
              </w:rPr>
            </w:pPr>
          </w:p>
        </w:tc>
        <w:tc>
          <w:tcPr>
            <w:tcW w:w="9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(8,005 )</w:t>
            </w:r>
          </w:p>
        </w:tc>
        <w:tc>
          <w:tcPr>
            <w:tcW w:w="10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(110,346 )</w:t>
            </w:r>
          </w:p>
        </w:tc>
      </w:tr>
      <w:tr>
        <w:trPr>
          <w:trHeight w:val="236"/>
        </w:trPr>
        <w:tc>
          <w:tcPr>
            <w:tcW w:w="740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Cash and cash equivalents, beginning of the period</w:t>
            </w:r>
          </w:p>
        </w:tc>
        <w:tc>
          <w:tcPr>
            <w:tcW w:w="1100" w:type="dxa"/>
            <w:vAlign w:val="bottom"/>
            <w:tcBorders>
              <w:bottom w:val="single" w:sz="8" w:color="auto"/>
            </w:tcBorders>
            <w:shd w:val="clear" w:color="auto" w:fill="CCECFF"/>
          </w:tcPr>
          <w:p>
            <w:pPr>
              <w:spacing w:after="0"/>
              <w:rPr>
                <w:sz w:val="20"/>
                <w:szCs w:val="20"/>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11,927</w:t>
            </w:r>
          </w:p>
        </w:tc>
        <w:tc>
          <w:tcPr>
            <w:tcW w:w="380" w:type="dxa"/>
            <w:vAlign w:val="bottom"/>
            <w:tcBorders>
              <w:bottom w:val="single" w:sz="8" w:color="CCECFF"/>
            </w:tcBorders>
            <w:shd w:val="clear" w:color="auto" w:fill="CCECFF"/>
          </w:tcPr>
          <w:p>
            <w:pPr>
              <w:spacing w:after="0"/>
              <w:rPr>
                <w:sz w:val="20"/>
                <w:szCs w:val="20"/>
                <w:color w:val="auto"/>
              </w:rPr>
            </w:pPr>
          </w:p>
        </w:tc>
        <w:tc>
          <w:tcPr>
            <w:tcW w:w="1020" w:type="dxa"/>
            <w:vAlign w:val="bottom"/>
            <w:tcBorders>
              <w:bottom w:val="single" w:sz="8" w:color="auto"/>
            </w:tcBorders>
            <w:shd w:val="clear" w:color="auto" w:fill="CCECFF"/>
          </w:tcPr>
          <w:p>
            <w:pPr>
              <w:spacing w:after="0"/>
              <w:rPr>
                <w:sz w:val="20"/>
                <w:szCs w:val="20"/>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209,841</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23"/>
        </w:trPr>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and cash equivalents, end of the period</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380" w:type="dxa"/>
            <w:vAlign w:val="bottom"/>
          </w:tcPr>
          <w:p>
            <w:pPr>
              <w:spacing w:after="0"/>
              <w:rPr>
                <w:sz w:val="19"/>
                <w:szCs w:val="19"/>
                <w:color w:val="auto"/>
              </w:rPr>
            </w:pPr>
          </w:p>
        </w:tc>
        <w:tc>
          <w:tcPr>
            <w:tcW w:w="102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99,495</w:t>
            </w:r>
          </w:p>
        </w:tc>
        <w:tc>
          <w:tcPr>
            <w:tcW w:w="10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74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10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020" w:type="dxa"/>
            <w:vAlign w:val="bottom"/>
            <w:shd w:val="clear" w:color="auto" w:fill="CCECFF"/>
          </w:tcPr>
          <w:p>
            <w:pPr>
              <w:spacing w:after="0"/>
              <w:rPr>
                <w:sz w:val="18"/>
                <w:szCs w:val="18"/>
                <w:color w:val="auto"/>
              </w:rPr>
            </w:pPr>
          </w:p>
        </w:tc>
        <w:tc>
          <w:tcPr>
            <w:tcW w:w="6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2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Reclassification of deposits on equipment to property and equipment</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71,533</w:t>
            </w:r>
          </w:p>
        </w:tc>
        <w:tc>
          <w:tcPr>
            <w:tcW w:w="380" w:type="dxa"/>
            <w:vAlign w:val="bottom"/>
          </w:tcPr>
          <w:p>
            <w:pPr>
              <w:spacing w:after="0"/>
              <w:rPr>
                <w:sz w:val="19"/>
                <w:szCs w:val="19"/>
                <w:color w:val="auto"/>
              </w:rPr>
            </w:pP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4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Property and equipment purchases in accounts payable, accounts payable, related party and accrued expenses</w:t>
            </w:r>
          </w:p>
        </w:tc>
        <w:tc>
          <w:tcPr>
            <w:tcW w:w="1100" w:type="dxa"/>
            <w:vAlign w:val="bottom"/>
            <w:shd w:val="clear" w:color="auto" w:fill="CCEC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5,940</w:t>
            </w:r>
          </w:p>
        </w:tc>
        <w:tc>
          <w:tcPr>
            <w:tcW w:w="380" w:type="dxa"/>
            <w:vAlign w:val="bottom"/>
            <w:shd w:val="clear" w:color="auto" w:fill="CCECFF"/>
          </w:tcPr>
          <w:p>
            <w:pPr>
              <w:spacing w:after="0"/>
              <w:rPr>
                <w:sz w:val="20"/>
                <w:szCs w:val="20"/>
                <w:color w:val="auto"/>
              </w:rPr>
            </w:pPr>
          </w:p>
        </w:tc>
        <w:tc>
          <w:tcPr>
            <w:tcW w:w="1020" w:type="dxa"/>
            <w:vAlign w:val="bottom"/>
            <w:shd w:val="clear" w:color="auto" w:fill="CCECFF"/>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3,003</w:t>
            </w:r>
          </w:p>
        </w:tc>
        <w:tc>
          <w:tcPr>
            <w:tcW w:w="100" w:type="dxa"/>
            <w:vAlign w:val="bottom"/>
            <w:shd w:val="clear" w:color="auto" w:fill="CCECFF"/>
          </w:tcPr>
          <w:p>
            <w:pPr>
              <w:spacing w:after="0"/>
              <w:rPr>
                <w:sz w:val="20"/>
                <w:szCs w:val="20"/>
                <w:color w:val="auto"/>
              </w:rPr>
            </w:pPr>
          </w:p>
        </w:tc>
      </w:tr>
      <w:tr>
        <w:trPr>
          <w:trHeight w:val="22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method investment acquired for non-cash consideration</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380" w:type="dxa"/>
            <w:vAlign w:val="bottom"/>
          </w:tcPr>
          <w:p>
            <w:pPr>
              <w:spacing w:after="0"/>
              <w:rPr>
                <w:sz w:val="19"/>
                <w:szCs w:val="19"/>
                <w:color w:val="auto"/>
              </w:rPr>
            </w:pP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7,118</w:t>
            </w:r>
          </w:p>
        </w:tc>
        <w:tc>
          <w:tcPr>
            <w:tcW w:w="100" w:type="dxa"/>
            <w:vAlign w:val="bottom"/>
          </w:tcPr>
          <w:p>
            <w:pPr>
              <w:spacing w:after="0"/>
              <w:rPr>
                <w:sz w:val="19"/>
                <w:szCs w:val="19"/>
                <w:color w:val="auto"/>
              </w:rPr>
            </w:pPr>
          </w:p>
        </w:tc>
      </w:tr>
      <w:tr>
        <w:trPr>
          <w:trHeight w:val="239"/>
        </w:trPr>
        <w:tc>
          <w:tcPr>
            <w:tcW w:w="74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Finance lease costs in accrued expenses</w:t>
            </w:r>
          </w:p>
        </w:tc>
        <w:tc>
          <w:tcPr>
            <w:tcW w:w="1100" w:type="dxa"/>
            <w:vAlign w:val="bottom"/>
            <w:shd w:val="clear" w:color="auto" w:fill="CCEC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380" w:type="dxa"/>
            <w:vAlign w:val="bottom"/>
            <w:shd w:val="clear" w:color="auto" w:fill="CCECFF"/>
          </w:tcPr>
          <w:p>
            <w:pPr>
              <w:spacing w:after="0"/>
              <w:rPr>
                <w:sz w:val="20"/>
                <w:szCs w:val="20"/>
                <w:color w:val="auto"/>
              </w:rPr>
            </w:pPr>
          </w:p>
        </w:tc>
        <w:tc>
          <w:tcPr>
            <w:tcW w:w="1020" w:type="dxa"/>
            <w:vAlign w:val="bottom"/>
            <w:shd w:val="clear" w:color="auto" w:fill="CCECFF"/>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Deposits on equipment in accounts payable and accounts payable, related party</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380" w:type="dxa"/>
            <w:vAlign w:val="bottom"/>
          </w:tcPr>
          <w:p>
            <w:pPr>
              <w:spacing w:after="0"/>
              <w:rPr>
                <w:sz w:val="19"/>
                <w:szCs w:val="19"/>
                <w:color w:val="auto"/>
              </w:rPr>
            </w:pP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w:t>
            </w:r>
          </w:p>
        </w:tc>
        <w:tc>
          <w:tcPr>
            <w:tcW w:w="100" w:type="dxa"/>
            <w:vAlign w:val="bottom"/>
          </w:tcPr>
          <w:p>
            <w:pPr>
              <w:spacing w:after="0"/>
              <w:rPr>
                <w:sz w:val="19"/>
                <w:szCs w:val="19"/>
                <w:color w:val="auto"/>
              </w:rPr>
            </w:pPr>
          </w:p>
        </w:tc>
      </w:tr>
      <w:tr>
        <w:trPr>
          <w:trHeight w:val="239"/>
        </w:trPr>
        <w:tc>
          <w:tcPr>
            <w:tcW w:w="74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Bitcoin received from equity investees</w:t>
            </w:r>
          </w:p>
        </w:tc>
        <w:tc>
          <w:tcPr>
            <w:tcW w:w="1100" w:type="dxa"/>
            <w:vAlign w:val="bottom"/>
            <w:shd w:val="clear" w:color="auto" w:fill="CCEC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380" w:type="dxa"/>
            <w:vAlign w:val="bottom"/>
            <w:shd w:val="clear" w:color="auto" w:fill="CCECFF"/>
          </w:tcPr>
          <w:p>
            <w:pPr>
              <w:spacing w:after="0"/>
              <w:rPr>
                <w:sz w:val="20"/>
                <w:szCs w:val="20"/>
                <w:color w:val="auto"/>
              </w:rPr>
            </w:pPr>
          </w:p>
        </w:tc>
        <w:tc>
          <w:tcPr>
            <w:tcW w:w="1020" w:type="dxa"/>
            <w:vAlign w:val="bottom"/>
            <w:shd w:val="clear" w:color="auto" w:fill="CCECFF"/>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CFF"/>
          </w:tcPr>
          <w:p>
            <w:pPr>
              <w:spacing w:after="0"/>
              <w:rPr>
                <w:sz w:val="20"/>
                <w:szCs w:val="20"/>
                <w:color w:val="auto"/>
              </w:rPr>
            </w:pPr>
          </w:p>
        </w:tc>
      </w:tr>
      <w:tr>
        <w:trPr>
          <w:trHeight w:val="22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Right-of-use asset obtained in exchange for operating lease liability</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100" w:type="dxa"/>
            <w:vAlign w:val="bottom"/>
          </w:tcPr>
          <w:p>
            <w:pPr>
              <w:spacing w:after="0"/>
              <w:rPr>
                <w:sz w:val="19"/>
                <w:szCs w:val="19"/>
                <w:color w:val="auto"/>
              </w:rPr>
            </w:pPr>
          </w:p>
        </w:tc>
      </w:tr>
      <w:tr>
        <w:trPr>
          <w:trHeight w:val="239"/>
        </w:trPr>
        <w:tc>
          <w:tcPr>
            <w:tcW w:w="74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Investment in equity investees in accrued expenses</w:t>
            </w:r>
          </w:p>
        </w:tc>
        <w:tc>
          <w:tcPr>
            <w:tcW w:w="1100" w:type="dxa"/>
            <w:vAlign w:val="bottom"/>
            <w:shd w:val="clear" w:color="auto" w:fill="CCEC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CFF"/>
          </w:tcPr>
          <w:p>
            <w:pPr>
              <w:spacing w:after="0"/>
              <w:rPr>
                <w:sz w:val="20"/>
                <w:szCs w:val="20"/>
                <w:color w:val="auto"/>
              </w:rPr>
            </w:pPr>
          </w:p>
        </w:tc>
        <w:tc>
          <w:tcPr>
            <w:tcW w:w="1020" w:type="dxa"/>
            <w:vAlign w:val="bottom"/>
            <w:shd w:val="clear" w:color="auto" w:fill="CCECFF"/>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CFF"/>
          </w:tcPr>
          <w:p>
            <w:pPr>
              <w:spacing w:after="0"/>
              <w:rPr>
                <w:sz w:val="20"/>
                <w:szCs w:val="20"/>
                <w:color w:val="auto"/>
              </w:rPr>
            </w:pPr>
          </w:p>
        </w:tc>
      </w:tr>
      <w:tr>
        <w:trPr>
          <w:trHeight w:val="210"/>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Reclassification of deferred investment costs to investment in equity investees</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-3424555</wp:posOffset>
            </wp:positionV>
            <wp:extent cx="76835"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-3424555</wp:posOffset>
            </wp:positionV>
            <wp:extent cx="6858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-2533015</wp:posOffset>
            </wp:positionV>
            <wp:extent cx="7683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-2533015</wp:posOffset>
            </wp:positionV>
            <wp:extent cx="6858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-1924685</wp:posOffset>
            </wp:positionV>
            <wp:extent cx="7683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-1924685</wp:posOffset>
            </wp:positionV>
            <wp:extent cx="6858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-1624330</wp:posOffset>
            </wp:positionV>
            <wp:extent cx="76835"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-1624330</wp:posOffset>
            </wp:positionV>
            <wp:extent cx="68580"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Cipher Mining Inc. (“Cipher” or the “Company”) is an emerging technology company that develops and operates industrial scale bitcoin mining data centers. The Company operates or jointly operates four bitcoin mining data centers in Texas including one wholly-owned data center and three partially-owned data centers that were acquired through investments in joint ventures. Bitcoin mining is the Company’s principal revenue generating business activity. The Company began deployment of capacity in the first quarter of 2022, with mining operations beginning at the partially-owned Alborz facility in February 2022 (the “Alborz Facility”). In August 2022, installation of the last mining rigs delivered to the Alborz Facility was completed. In October 2022, installation at the partially-owned Bear facility (the “Bear Facility”) and the partially-owned Chief facility (the “Chief Facility”) was also completed. In November 2022, the Company began bitcoin mining operations at the wholly-owned Odessa facility (the “Odessa Facility”) and is continuing to expand those operations.</w:t>
      </w:r>
    </w:p>
    <w:p>
      <w:pPr>
        <w:spacing w:after="0" w:line="1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Cipher Mining Technologies Inc. (“CMTI”) was established on January 7, 2021, in Delaware, by Bitfury Top HoldCo B.V. and its subsidiaries (“Bitfury Top HoldCo” and, with its subsidiaries, the “Bitfury Group”). Bitfury Top HoldCo (together with Bitfury Holding B.V., a subsidiary of Bitfury Top HoldCo, and referred to herein as “Bitfury Holding”) beneficially owned approximately 81.1% of the Company’s common stock, $0.001 par value per share (“Common Stock”), as of March 31, 2023, with sole voting and sole dispositive power over those shares and, as a result, Bitfury Top HoldCo has control of the Company as defined in Financial Accounting Standards Board (“FASB”)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As of May 4, 2023, pursuant to the Bitfury Lock-up Agreement (as defined below in </w:t>
      </w:r>
      <w:r>
        <w:rPr>
          <w:rFonts w:ascii="Times New Roman" w:cs="Times New Roman" w:eastAsia="Times New Roman" w:hAnsi="Times New Roman"/>
          <w:sz w:val="18"/>
          <w:szCs w:val="18"/>
          <w:i w:val="1"/>
          <w:iCs w:val="1"/>
          <w:color w:val="auto"/>
        </w:rPr>
        <w:t>Note 10, Related Party Transactions</w:t>
      </w:r>
      <w:r>
        <w:rPr>
          <w:rFonts w:ascii="Times New Roman" w:cs="Times New Roman" w:eastAsia="Times New Roman" w:hAnsi="Times New Roman"/>
          <w:sz w:val="18"/>
          <w:szCs w:val="18"/>
          <w:color w:val="auto"/>
        </w:rPr>
        <w:t>), 129,017,513 of Bitfury Top HoldCo’s shares of our Common Stock remain subject to lock-up which, subject to any potential modifications under the Waiver Agreement, is expected to expire on August 27,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Out-of-period-adjustments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and power sales for the three months ended March 31, 2023 included out-of-period adjustments of approximately $1.0 million and $0.6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respectively, that increased both cost of revenue and power sales on the unaudited condensed consolidated statements of operations for the three</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months ended March 31, 2023, and resulted in net increases to operating loss and loss before taxes of approximately $0.4 million during the same period. These out-of-period adjustments related to power costs and power sales for the year ended December 31, 2022 at the Company’s Odessa Facility, which are invoiced on a net basis by the Company’s power provider. We evaluated the impact of this error on our previously issued audited consolidated financial statements for the year ended December 31, 2022, as well as on our unaudited condensed consolidated financial statements for the three months ended March 31, 2023, assessing the error both quantitatively and qualitatively, and concluded that the error was not material to the financial statements for either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capital resources and limited business history</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experienced net losses and negative cash flows from operations. As of March 31, 2023, the Company had approximate balances of cash and cash equivalents of $3.9 million, working capital of $3.2 million, total stockholders’ equity of $344.6 million and an accumulated deficit of $117.8 million. For fiscal years ended December 31, 2022 and 2021, the Company, in large part, relied on proceeds from the consummation of its business combination with Good Works Acquisition Corp. (“GWAC”) to fund its operations; however, during the three months ended March 31, 2023, the Company utilized proceeds from sales of bitcoin earned by or received from its bitcoin mining data centers to support its operating expenses. During the three months ended March 31, 2023, the Company sold 939 bitcoin for proceeds of approximately $21.0 million. Additionally, in January 2023, the Company was approached by a third party that offered to purchase coupons that the Company had received from Bitmain Technologies Limited (“Bitmain”) during fiscal year 2022. These transferrable coupons provided the Company with potential discounts of approximately $10.9 million that could only be redeemed with the purchase of additional miners from Bitmain prior to the coupons’ April 2023 expiration date. As the Company did not intend to purchase additional Bitmain miners prior to the expiration date of the coupons, it sold the coupons to the interested third party for proceeds of approximately $2.3 million, which it recorded in costs and operating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(income) as other gains on its unaudited condensed consolidated statement of operations during the three months ended March 31, 2023.</w:t>
      </w:r>
    </w:p>
    <w:p>
      <w:pPr>
        <w:spacing w:after="0" w:line="19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monitors its balance sheet on an ongoing basis to determine the proper mix of bitcoin retention and bitcoin sales to support its cash requirements and ongoing operations. Bitcoin is classified as a current asset on the Company’s balance sheets due to its intent and ability to sell bitcoin to support operations when needed. Operating activities provided approximately $10.8 million of cash during the three months ended March 31, 2023.</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2023, the Company paid approximately $1.1 million of deposits for mining equipment and reclassified approximately $71.5 million to property and equipment in connection with the receipt of miners and other equipment at the Odessa Facility. As of March 31, 2023, the Company had 47,123 miners located at the Odessa Facility and had 12,953, 3,254 and 3,254 contributed miners at its partially-owned Alborz Facility, Bear Facility and Chief Facility, respectively.</w:t>
      </w:r>
    </w:p>
    <w:p>
      <w:pPr>
        <w:spacing w:after="0" w:line="13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March 31, 2023, the Company had approximately $1.1 million of deposits on equipment on its unaudited condensed consolidated balance sheet, primarily for BlockBox air-cooled containers (each a “BBAC”) and other mining equipment. The Company expects to incur ongoing capital expenditures in the first half of 2023 related to the Odessa Facility that will require resources beyond the Company’s existing financial resources as of March 31, 2023. On May 4, 2023, we entered into an agreement (the “Canaan Agreement”) with Canaan Creative Global Pte. Ltd. (“Canaan”) to purchase 11,000 new A1346 model miners to be delivered during the third quarter of 2023. The Company expects to fund its payment obligations for the purchase through its ongoing operations, including by selling bitcoin generated at its data centers. The Company plans to install the new miners at its Odessa Facility upon their arrival.</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Management intends to continue with the infrastructure buildout at the Odessa Facility to get the site to full capacity in support of the Company’s current business plans. Management believes that the Company’s existing financial resources, combined with projected cash and bitcoin inflows from its data centers and its intent and ability to sell bitcoin received or earned, will be sufficient to enable the Company to meet its operating and capital requirements for at least 12 months from the date these unaudited condensed consolidated financial statements are issued.</w:t>
      </w:r>
    </w:p>
    <w:p>
      <w:pPr>
        <w:spacing w:after="0" w:line="13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There is limited historical financial information about the Company upon which to base an evaluation of its performance. The business is subject to risks inherent in the establishment of a new business enterprise, including limited capital resources, possible delays in exploration and/or development, and possible cost overruns due to price and cost increases in services. The Company’s management has no current intention of entering into a merger or acquisition within the next 12 months. The Company may require additional capital to pursue certain business opportunities or respond to technological advancements, competitive dynamics or technologies, challenges, acquisitions or unforeseen circumstances. Additionally, the Company has incurred and expects to continue to incur significant costs related to operating as a public company. Accordingly, the Company may engage in equity or debt financings or enter into credit facilities for the above-mentioned or other reasons; however, the Company may not be able to timely secure additional debt or equity financings on favorable terms, if at all. If the Company raises additional funds through equity financing, its existing stockholders could experience significant dilution. Furthermore, any debt financing obtained by the Company in the future could involve restrictive covenants relating to the Company’s capital raising activities and other financial and operational matters, which may make it more difficult for the Company to obtain additional capital and to pursue business opportunities.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conditions: COVID-19 and other economic, business and political conditions</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results of operations could be adversely affected by general conditions in the global economy and in the global financial markets, including conditions that are outside of the Company’s control, such as any epidemics, pandemics or disease outbreaks or other public health conditions. For example, the COVID-19 pandemic (“COVID-19”) that was declared on March 11, 2020 has caused significant economic dislocation in the United States (“U.S.”) and globally as governments across the world, including the U.S., introduced measures aimed at preventing the spread of COVID-19. While most policies and regulations implemented by governments in response to COVID-19 have been lifted, they have had a significant impact, both directly and indirectly, on global business and commerce.</w:t>
      </w:r>
    </w:p>
    <w:p>
      <w:pPr>
        <w:spacing w:after="0" w:line="14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Company may experience disruptions to its business operations resulting from supply interruptions, quarantines, self-isolations, or other movement and restrictions on the ability of its employees or its counterparties to perform their jobs. The Company may also experience delays in construction and obtaining necessary equipment in a timely fashion. If the Company is unable to effectively set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up and service its miners, its ability to mine bitcoin will be adversely affected. There is no assurance that COVID-19 or any other pandemic, or other unfavorable global economic, business or political conditions, such as a rise in energy prices, a slowdown in the U.S. or international economy, high inflation rates or other factors, will not materially and adversely affect the Company’s business, prospects, financial condition and operating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prepares its unaudited condensed consolidated financial statements in accordance with accounting principles generally accepted in the U.S. (“GAAP”) as determined by the FASB and pursuant to the accounting and disclosure rules and regulations of the Securities and Exchange Commission (“SEC”).</w:t>
      </w:r>
    </w:p>
    <w:p>
      <w:pPr>
        <w:spacing w:after="0" w:line="13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controlled subsidiary, CMTI. All intercompany transactions and balances have been eliminated.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period presentation. Equity in losses of equity investees is presented as a separate line item within costs and operating expenses (income) on the Company’s unaudited condensed consolidated statements of operations, whereas this line item was previously included as a separate line item within other income (expense). This reclassification did not have a material impact on the Company’s reported results of operations and related disclosures. The impact on any prior period disclosures was immaterial.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inherent in the preparation of the Company’s financial statements include, but are not limited to, those related to equity instruments issued in share-based compensation arrangements, valuations of its derivative asset and warrant liability under Level 3 of the fair value hierarchy, useful lives of property and equipment, the asset retirement obligation and the valuation allowance associated with the Company’s deferred tax assets, among others.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condensed consolidated financial statements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for interim financial information and the instructions to Form 10-Q and Article 10 of Regulation S-X. Accordingly, they do not include all of the information and notes required by GAAP for complete financial statements. In the opinion of the Company’s management, these unaudited condensed consolidated financial statements reflect all adjustments, which consist of only normal recurring adjustments necessary for the fair presentation of the balances and results for the periods presented. These unaudited condensed consolidated financial statement results are not necessarily indicative of results to be expected for the full fiscal year or any future period.</w:t>
      </w:r>
    </w:p>
    <w:p>
      <w:pPr>
        <w:spacing w:after="0" w:line="1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description of the Company’s significant accounting policies in included in the Company’s 2022 Form 10-K. You should read the unaudited condensed consolidated financial statements in conjunction with the Company’s audited consolidated financial statements and accompanying notes in the Company’s 2022 Form 10-K. Except as disclosed herein, there has been no material change in the information disclosed in the notes to the Company’s audited consolidated financial statements included in the Company’s 2022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is comprised of several members of its executive management team. The Company views its operations and manages its business in one segment.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allocated to common shareholders by the weighted average number of common shares outstanding during the period. Diluted net loss per common share adjusts net loss and net loss per common share for the effect of all potentially dilutive shares of Common Stock. Potential common shares consist of the Company’s outstanding public and private placement warrants to purchase Common Stock, as well as unvested restricted stock units (“RSUs”). Basic net loss per common share is the same as dilutive net loss per common share for all periods presented as the inclusion of all potential common shares would have been antidilutive.</w:t>
      </w:r>
    </w:p>
    <w:p>
      <w:pPr>
        <w:spacing w:after="0" w:line="14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common shares that are excluded from the computation of diluted net loss per common share at March 31, 2023 and 2022, because including them would have been antidilutive.</w:t>
      </w:r>
    </w:p>
    <w:p>
      <w:pPr>
        <w:spacing w:after="0" w:line="178"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30480</wp:posOffset>
            </wp:positionV>
            <wp:extent cx="22802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16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98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6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8,499,980</w:t>
            </w:r>
          </w:p>
        </w:tc>
        <w:tc>
          <w:tcPr>
            <w:tcW w:w="380" w:type="dxa"/>
            <w:vAlign w:val="bottom"/>
            <w:shd w:val="clear" w:color="auto" w:fill="CCECFF"/>
          </w:tcPr>
          <w:p>
            <w:pPr>
              <w:spacing w:after="0"/>
              <w:rPr>
                <w:sz w:val="20"/>
                <w:szCs w:val="20"/>
                <w:color w:val="auto"/>
              </w:rPr>
            </w:pPr>
          </w:p>
        </w:tc>
        <w:tc>
          <w:tcPr>
            <w:tcW w:w="1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8,499,980</w:t>
            </w:r>
          </w:p>
        </w:tc>
        <w:tc>
          <w:tcPr>
            <w:tcW w:w="100" w:type="dxa"/>
            <w:vAlign w:val="bottom"/>
            <w:shd w:val="clear" w:color="auto" w:fill="CCECFF"/>
          </w:tcPr>
          <w:p>
            <w:pPr>
              <w:spacing w:after="0"/>
              <w:rPr>
                <w:sz w:val="20"/>
                <w:szCs w:val="20"/>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100" w:type="dxa"/>
            <w:vAlign w:val="bottom"/>
          </w:tcPr>
          <w:p>
            <w:pPr>
              <w:spacing w:after="0"/>
              <w:rPr>
                <w:sz w:val="20"/>
                <w:szCs w:val="20"/>
                <w:color w:val="auto"/>
              </w:rPr>
            </w:pPr>
          </w:p>
        </w:tc>
      </w:tr>
      <w:tr>
        <w:trPr>
          <w:trHeight w:val="247"/>
        </w:trPr>
        <w:tc>
          <w:tcPr>
            <w:tcW w:w="75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18,541,618</w:t>
            </w:r>
          </w:p>
        </w:tc>
        <w:tc>
          <w:tcPr>
            <w:tcW w:w="380" w:type="dxa"/>
            <w:vAlign w:val="bottom"/>
            <w:tcBorders>
              <w:bottom w:val="single" w:sz="8" w:color="CCECFF"/>
            </w:tcBorders>
            <w:shd w:val="clear" w:color="auto" w:fill="CCECFF"/>
          </w:tcPr>
          <w:p>
            <w:pPr>
              <w:spacing w:after="0"/>
              <w:rPr>
                <w:sz w:val="21"/>
                <w:szCs w:val="21"/>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10,440,942</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75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27,155,598</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19,054,922</w:t>
            </w:r>
          </w:p>
        </w:tc>
        <w:tc>
          <w:tcPr>
            <w:tcW w:w="10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-187960</wp:posOffset>
            </wp:positionV>
            <wp:extent cx="76835"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60" w:lineRule="exact"/>
        <w:rPr>
          <w:sz w:val="20"/>
          <w:szCs w:val="20"/>
          <w:color w:val="auto"/>
        </w:rPr>
      </w:pPr>
    </w:p>
    <w:p>
      <w:pPr>
        <w:ind w:right="60"/>
        <w:spacing w:after="0" w:line="223" w:lineRule="exact"/>
        <w:rPr>
          <w:sz w:val="20"/>
          <w:szCs w:val="20"/>
          <w:color w:val="auto"/>
        </w:rPr>
      </w:pPr>
      <w:r>
        <w:rPr>
          <w:rFonts w:ascii="Times New Roman" w:cs="Times New Roman" w:eastAsia="Times New Roman" w:hAnsi="Times New Roman"/>
          <w:sz w:val="18"/>
          <w:szCs w:val="18"/>
          <w:color w:val="auto"/>
        </w:rPr>
        <w:t>In June 2016, the FASB issued Accounting Standards Update ASU No.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i w:val="1"/>
          <w:iCs w:val="1"/>
          <w:color w:val="auto"/>
        </w:rPr>
        <w:t>Financial Instruments-Credit Losses (Topic 326):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on Financial Instruments</w:t>
      </w:r>
      <w:r>
        <w:rPr>
          <w:rFonts w:ascii="Times New Roman" w:cs="Times New Roman" w:eastAsia="Times New Roman" w:hAnsi="Times New Roman"/>
          <w:sz w:val="18"/>
          <w:szCs w:val="18"/>
          <w:color w:val="auto"/>
        </w:rPr>
        <w:t>, which was codified with its subsequent amendments as ASC Topic 326,</w:t>
      </w:r>
      <w:r>
        <w:rPr>
          <w:rFonts w:ascii="Times New Roman" w:cs="Times New Roman" w:eastAsia="Times New Roman" w:hAnsi="Times New Roman"/>
          <w:sz w:val="18"/>
          <w:szCs w:val="18"/>
          <w:i w:val="1"/>
          <w:iCs w:val="1"/>
          <w:color w:val="auto"/>
        </w:rPr>
        <w:t xml:space="preserve"> Financial Instruments – Credit Losses </w:t>
      </w:r>
      <w:r>
        <w:rPr>
          <w:rFonts w:ascii="Times New Roman" w:cs="Times New Roman" w:eastAsia="Times New Roman" w:hAnsi="Times New Roman"/>
          <w:sz w:val="18"/>
          <w:szCs w:val="18"/>
          <w:color w:val="auto"/>
        </w:rPr>
        <w:t>(“ASC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326”). ASC 326 seeks to provide financial statement users with more decision-useful information about the expected credit losses on financial instruments, including trade receivables, and other commitments to extend credit held by a reporting entity at each reporting date. The amendments require an entity to replace the incurred loss impairment methodology in other GAAP with a methodology that reflects current expected credit losses and requires consideration of a broader range of reasonable and supportable information to inform credit loss estimates. The adoption of this guidance on January 1, 2023 did not have a material impact on the Company’s unaudited condensed consolidated financial statements and disclosures.</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continually assesses any new accounting pronouncements to determine their applicability. When it is determined that a new accounting pronouncement affects the Company’s financial reporting, the Company undertakes to determine the consequences of the change to its financial statements and assures that there are proper controls in place to ascertain that the Company’s financial statements properly reflect the change. The Company reviewed all other recently issued accounting pronouncements and concluded that they were either not applicable or not expected to have a significant impact on its condensed consolidated financial statements.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BITCOIN</w:t>
            </w: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bitcoin (in thousands):</w:t>
            </w: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9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00" w:type="dxa"/>
            <w:vAlign w:val="bottom"/>
            <w:shd w:val="clear" w:color="auto" w:fill="CCEEFF"/>
          </w:tcPr>
          <w:p>
            <w:pPr>
              <w:spacing w:after="0"/>
              <w:rPr>
                <w:sz w:val="21"/>
                <w:szCs w:val="21"/>
                <w:color w:val="auto"/>
              </w:rPr>
            </w:pPr>
          </w:p>
        </w:tc>
      </w:tr>
      <w:tr>
        <w:trPr>
          <w:trHeight w:val="239"/>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7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0"/>
                <w:szCs w:val="20"/>
                <w:color w:val="auto"/>
              </w:rPr>
            </w:pPr>
          </w:p>
        </w:tc>
      </w:tr>
      <w:tr>
        <w:trPr>
          <w:trHeight w:val="247"/>
        </w:trPr>
        <w:tc>
          <w:tcPr>
            <w:tcW w:w="92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Revenue recognized from bitcoin mined, net of receivable</w:t>
            </w:r>
          </w:p>
        </w:tc>
        <w:tc>
          <w:tcPr>
            <w:tcW w:w="720" w:type="dxa"/>
            <w:vAlign w:val="bottom"/>
            <w:shd w:val="clear" w:color="auto" w:fill="CCECFF"/>
          </w:tcPr>
          <w:p>
            <w:pPr>
              <w:spacing w:after="0"/>
              <w:rPr>
                <w:sz w:val="21"/>
                <w:szCs w:val="21"/>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21,717</w:t>
            </w:r>
          </w:p>
        </w:tc>
        <w:tc>
          <w:tcPr>
            <w:tcW w:w="100" w:type="dxa"/>
            <w:vAlign w:val="bottom"/>
            <w:shd w:val="clear" w:color="auto" w:fill="CCECFF"/>
          </w:tcPr>
          <w:p>
            <w:pPr>
              <w:spacing w:after="0"/>
              <w:rPr>
                <w:sz w:val="21"/>
                <w:szCs w:val="21"/>
                <w:color w:val="auto"/>
              </w:rPr>
            </w:pPr>
          </w:p>
        </w:tc>
      </w:tr>
      <w:tr>
        <w:trPr>
          <w:trHeight w:val="239"/>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bitcoin, net of realized gain</w:t>
            </w:r>
          </w:p>
        </w:tc>
        <w:tc>
          <w:tcPr>
            <w:tcW w:w="72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(16,936 )</w:t>
            </w:r>
          </w:p>
        </w:tc>
      </w:tr>
      <w:tr>
        <w:trPr>
          <w:trHeight w:val="247"/>
        </w:trPr>
        <w:tc>
          <w:tcPr>
            <w:tcW w:w="92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Impairment of bitcoin</w:t>
            </w:r>
          </w:p>
        </w:tc>
        <w:tc>
          <w:tcPr>
            <w:tcW w:w="720" w:type="dxa"/>
            <w:vAlign w:val="bottom"/>
            <w:shd w:val="clear" w:color="auto" w:fill="CCECFF"/>
          </w:tcPr>
          <w:p>
            <w:pPr>
              <w:spacing w:after="0"/>
              <w:rPr>
                <w:sz w:val="21"/>
                <w:szCs w:val="21"/>
                <w:color w:val="auto"/>
              </w:rPr>
            </w:pPr>
          </w:p>
        </w:tc>
        <w:tc>
          <w:tcPr>
            <w:tcW w:w="13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(1,805 )</w:t>
            </w:r>
          </w:p>
        </w:tc>
      </w:tr>
      <w:tr>
        <w:trPr>
          <w:trHeight w:val="237"/>
        </w:trPr>
        <w:tc>
          <w:tcPr>
            <w:tcW w:w="922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100" w:type="dxa"/>
            <w:vAlign w:val="bottom"/>
            <w:tcBorders>
              <w:top w:val="single" w:sz="8" w:color="CCECFF"/>
            </w:tcBorders>
          </w:tcPr>
          <w:p>
            <w:pPr>
              <w:spacing w:after="0"/>
              <w:rPr>
                <w:sz w:val="20"/>
                <w:szCs w:val="20"/>
                <w:color w:val="auto"/>
              </w:rPr>
            </w:pPr>
          </w:p>
        </w:tc>
      </w:tr>
      <w:tr>
        <w:trPr>
          <w:trHeight w:val="20"/>
        </w:trPr>
        <w:tc>
          <w:tcPr>
            <w:tcW w:w="9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3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fair value of the Company’s bitcoin as of March 31, 2023 was approximately $11.8 million and was estimated using the closing price of bitcoin, which is a Level 1 input (i.e., an observable input such as a quoted price in an active market for an identical asset).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2023, the Company recorded impairment charges on its bitcoin holdings of approximately $1.8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charges were immaterial for the three months ended March 31, 2022.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DERIVATIVE ASSET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Luminant Power Agreement</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June 23, 2021, the Company entered into a power purchase agreement with Luminant ET Services Company LLC (“Luminant”), which was subsequently amended and restated on July 9, 2021, and further amended on February 28, 2022 and August 26, 2022 (as amended, the “Luminant Power Agreement”), for the supply of a fixed amount of electric power to the Odessa Facility at a fixed price for a term of five years, subject to certain early termination exemptions. The Luminant Power Agreement provides for a subsequent automatic annual renewal unless either party provides written notice to the other party of its intent to terminate the agreement at least six months prior to the expiration of the then current term. Starting from July 1, 2022, and prior to the receipt of interconnection approval from the Electric Reliability Council of Texas (“ERCOT”), under the take or pay framework of the Luminant Power Agreement and pursuant to the ramp-up schedule agreed to between Luminant and Cipher, Luminant began sales of the scheduled energy in the ERCOT market.</w:t>
      </w:r>
    </w:p>
    <w:p>
      <w:pPr>
        <w:spacing w:after="0" w:line="1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Because ERCOT allows for net settlement, the Company’s management determined that, as of July 1, 2022, the Luminant Power Agreement met the definition of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Because the Company has the ability to sell its electricity in the ERCOT market rather than take physical delivery, physical delivery is not probable through the entirety of the contract and therefore, the Company’s management does not believe the normal purchases and normal sales scope exception applies to the Luminant Power Agreement. Accordingly, the Luminant Power Agreement (the non-hedging derivative contract) is recorded at its estimated fair value each reporting period with the change in the fair value recorded in change in fair value of derivative asset in the consolidated statements of operations. See additional information regarding valuation of the Luminant Power Agreement derivative in </w:t>
      </w:r>
      <w:r>
        <w:rPr>
          <w:rFonts w:ascii="Times New Roman" w:cs="Times New Roman" w:eastAsia="Times New Roman" w:hAnsi="Times New Roman"/>
          <w:sz w:val="18"/>
          <w:szCs w:val="18"/>
          <w:i w:val="1"/>
          <w:iCs w:val="1"/>
          <w:color w:val="auto"/>
        </w:rPr>
        <w:t>Note 16, Fair Value Measurements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Depending on the spot market price of electricity, the Company may opportunistically sell electricity in the ERCOT market in exchange for cash payments, rather than utilizing the power to mine for bitcoin at the Odessa Facility during peak times in order to most efficiently manage the Company’s operating costs. The Company earned approximately $0.1 million from power sales for the three months ended March 31, 2023 and recorded this amount in costs and operating expenses (income) as power sales on the unaudited condensed consolidated statement of operations, with the corresponding cost of the power sold recorded in cost of revenue. See </w:t>
      </w:r>
      <w:r>
        <w:rPr>
          <w:rFonts w:ascii="Times New Roman" w:cs="Times New Roman" w:eastAsia="Times New Roman" w:hAnsi="Times New Roman"/>
          <w:sz w:val="18"/>
          <w:szCs w:val="18"/>
          <w:i w:val="1"/>
          <w:iCs w:val="1"/>
          <w:color w:val="auto"/>
        </w:rPr>
        <w:t>Note 1, Organization</w:t>
      </w:r>
      <w:r>
        <w:rPr>
          <w:rFonts w:ascii="Times New Roman" w:cs="Times New Roman" w:eastAsia="Times New Roman" w:hAnsi="Times New Roman"/>
          <w:sz w:val="18"/>
          <w:szCs w:val="18"/>
          <w:color w:val="auto"/>
        </w:rPr>
        <w:t xml:space="preserve"> for information regarding the out-of-period adjustments recorded during the three months ended March 31, 2023, which affected cost of power, power sales, net operating loss and net loss on the Company’s unaudited condensed consolidated statement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Miners and mining equipment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135,048</w:t>
            </w:r>
          </w:p>
        </w:tc>
        <w:tc>
          <w:tcPr>
            <w:tcW w:w="42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79,909</w:t>
            </w:r>
          </w:p>
        </w:tc>
        <w:tc>
          <w:tcPr>
            <w:tcW w:w="100" w:type="dxa"/>
            <w:vAlign w:val="bottom"/>
            <w:shd w:val="clear" w:color="auto" w:fill="CCEEFF"/>
          </w:tcPr>
          <w:p>
            <w:pPr>
              <w:spacing w:after="0"/>
              <w:rPr>
                <w:sz w:val="21"/>
                <w:szCs w:val="2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118,036</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94,807</w:t>
            </w:r>
          </w:p>
        </w:tc>
        <w:tc>
          <w:tcPr>
            <w:tcW w:w="100" w:type="dxa"/>
            <w:vAlign w:val="bottom"/>
          </w:tcPr>
          <w:p>
            <w:pPr>
              <w:spacing w:after="0"/>
              <w:rPr>
                <w:sz w:val="20"/>
                <w:szCs w:val="20"/>
                <w:color w:val="auto"/>
              </w:rPr>
            </w:pPr>
          </w:p>
        </w:tc>
      </w:tr>
      <w:tr>
        <w:trPr>
          <w:trHeight w:val="24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21"/>
                <w:szCs w:val="2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r>
      <w:tr>
        <w:trPr>
          <w:trHeight w:val="24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Autos</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1"/>
                <w:szCs w:val="2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24,353</w:t>
            </w: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property and equipment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278,449</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195,979</w:t>
            </w:r>
          </w:p>
        </w:tc>
        <w:tc>
          <w:tcPr>
            <w:tcW w:w="100" w:type="dxa"/>
            <w:vAlign w:val="bottom"/>
          </w:tcPr>
          <w:p>
            <w:pPr>
              <w:spacing w:after="0"/>
              <w:rPr>
                <w:sz w:val="20"/>
                <w:szCs w:val="20"/>
                <w:color w:val="auto"/>
              </w:rPr>
            </w:pPr>
          </w:p>
        </w:tc>
      </w:tr>
      <w:tr>
        <w:trPr>
          <w:trHeight w:val="243"/>
        </w:trPr>
        <w:tc>
          <w:tcPr>
            <w:tcW w:w="7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shd w:val="clear" w:color="auto" w:fill="CCECFF"/>
          </w:tcPr>
          <w:p>
            <w:pPr>
              <w:spacing w:after="0"/>
              <w:rPr>
                <w:sz w:val="21"/>
                <w:szCs w:val="21"/>
                <w:color w:val="auto"/>
              </w:rPr>
            </w:pPr>
          </w:p>
        </w:tc>
        <w:tc>
          <w:tcPr>
            <w:tcW w:w="1820" w:type="dxa"/>
            <w:vAlign w:val="bottom"/>
            <w:gridSpan w:val="2"/>
            <w:shd w:val="clear" w:color="auto" w:fill="CCECFF"/>
          </w:tcPr>
          <w:p>
            <w:pPr>
              <w:jc w:val="right"/>
              <w:ind w:right="360"/>
              <w:spacing w:after="0"/>
              <w:rPr>
                <w:sz w:val="20"/>
                <w:szCs w:val="20"/>
                <w:color w:val="auto"/>
              </w:rPr>
            </w:pPr>
            <w:r>
              <w:rPr>
                <w:rFonts w:ascii="Times New Roman" w:cs="Times New Roman" w:eastAsia="Times New Roman" w:hAnsi="Times New Roman"/>
                <w:sz w:val="18"/>
                <w:szCs w:val="18"/>
                <w:color w:val="auto"/>
              </w:rPr>
              <w:t>(15,422 )</w:t>
            </w:r>
          </w:p>
        </w:tc>
        <w:tc>
          <w:tcPr>
            <w:tcW w:w="100" w:type="dxa"/>
            <w:vAlign w:val="bottom"/>
            <w:shd w:val="clear" w:color="auto" w:fill="CCECFF"/>
          </w:tcPr>
          <w:p>
            <w:pPr>
              <w:spacing w:after="0"/>
              <w:rPr>
                <w:sz w:val="21"/>
                <w:szCs w:val="21"/>
                <w:color w:val="auto"/>
              </w:rPr>
            </w:pPr>
          </w:p>
        </w:tc>
        <w:tc>
          <w:tcPr>
            <w:tcW w:w="15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(4,195 )</w:t>
            </w:r>
          </w:p>
        </w:tc>
      </w:tr>
      <w:tr>
        <w:trPr>
          <w:trHeight w:val="241"/>
        </w:trPr>
        <w:tc>
          <w:tcPr>
            <w:tcW w:w="760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263,027</w:t>
            </w:r>
          </w:p>
        </w:tc>
        <w:tc>
          <w:tcPr>
            <w:tcW w:w="420" w:type="dxa"/>
            <w:vAlign w:val="bottom"/>
            <w:tcBorders>
              <w:top w:val="single" w:sz="8" w:color="CCEC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191,784</w:t>
            </w:r>
          </w:p>
        </w:tc>
        <w:tc>
          <w:tcPr>
            <w:tcW w:w="100" w:type="dxa"/>
            <w:vAlign w:val="bottom"/>
            <w:tcBorders>
              <w:top w:val="single" w:sz="8" w:color="CCECFF"/>
            </w:tcBorders>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-504825</wp:posOffset>
            </wp:positionV>
            <wp:extent cx="6858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6858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37"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During the three months ended March 31, 2023 and 2022, the Company placed $17.6 million and nil, respectively, of construction-in-progress into service at the Odessa Facility. Depreciation expense was $11.7 million for the three months ended March 31, 2023 and included approximately $0.4 million of accretion expense related to the Company’s asset retirement obligation. Depreciation expense was immaterial for the three months ended March 31, 2022.</w:t>
      </w:r>
    </w:p>
    <w:p>
      <w:pPr>
        <w:spacing w:after="0" w:line="1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the Company received the remaining 17,094 MicroBT M30S, M30S+ and M30S++ miners (“MicroBT miners”) related to the framework agreement of September 2021 with SuperAcme Technology (Hong Kong) Limited (“SuperAcme”), which was amended and restated by the Amended and Restated Framework Agreement on Supply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Blockchain Servers (the “Amended and Restated Framework Agreement”), dated as of May 6, 2022, and subject to the Supplementary Agreement of the Framework Agreement on Supply of Blockchain Servers (the “Supplementary Agreement). These MicroBT miners received during the three months ended March 31, 2023 had an aggregate cost of approximately $50.7 million and were purchased by the Company at the new fixed and floating price terms set forth in the Supplementary Agreement. During the three months ended March 31, 2023, the Company also received 4,622 Antminer S19j Pro (100 TH/s) (“S19j Pro”) miners from Bitmain with a cost basis of approximately $1.6 million. As of March 31, 2023, the Company had deployed a total of 34,927 MicroBT miners and 12,196 S19j Pro miners for a total of 47,123 miners at its Odessa Facility.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DEPOSITS ON EQUIPMENT</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November and December 2022, the Company agreed to purchase 5,000 and 2,200, respectively, S19j Pro miners from Bitmain. The Company utilized accumulated Bitmain credits and coupons for the majority of the purchase price for these miners and has no further payments due in respect of these orders. See information regarding the quantity of Bitmain miners received pursuant to these agreements during the three months ended March 31, 2023 in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 purchase agreement commitments, deposits paid and expected delivery timing are summarized below as of March 31, 2023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Shipping</w:t>
            </w:r>
          </w:p>
        </w:tc>
      </w:tr>
      <w:tr>
        <w:trPr>
          <w:trHeight w:val="203"/>
        </w:trPr>
        <w:tc>
          <w:tcPr>
            <w:tcW w:w="4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Open Purchase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Deposits</w:t>
            </w:r>
          </w:p>
        </w:tc>
        <w:tc>
          <w:tcPr>
            <w:tcW w:w="360" w:type="dxa"/>
            <w:vAlign w:val="bottom"/>
          </w:tcPr>
          <w:p>
            <w:pPr>
              <w:spacing w:after="0"/>
              <w:rPr>
                <w:sz w:val="17"/>
                <w:szCs w:val="17"/>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 Open Purchase</w:t>
            </w:r>
          </w:p>
        </w:tc>
      </w:tr>
      <w:tr>
        <w:trPr>
          <w:trHeight w:val="225"/>
        </w:trPr>
        <w:tc>
          <w:tcPr>
            <w:tcW w:w="410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6"/>
                <w:szCs w:val="16"/>
                <w:b w:val="1"/>
                <w:bCs w:val="1"/>
                <w:color w:val="auto"/>
              </w:rPr>
              <w:t>Vendor</w:t>
            </w:r>
          </w:p>
        </w:tc>
        <w:tc>
          <w:tcPr>
            <w:tcW w:w="260" w:type="dxa"/>
            <w:vAlign w:val="bottom"/>
          </w:tcPr>
          <w:p>
            <w:pPr>
              <w:spacing w:after="0"/>
              <w:rPr>
                <w:sz w:val="19"/>
                <w:szCs w:val="19"/>
                <w:color w:val="auto"/>
              </w:rPr>
            </w:pPr>
          </w:p>
        </w:tc>
        <w:tc>
          <w:tcPr>
            <w:tcW w:w="27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Agreement Dates</w:t>
            </w:r>
          </w:p>
        </w:tc>
        <w:tc>
          <w:tcPr>
            <w:tcW w:w="260" w:type="dxa"/>
            <w:vAlign w:val="bottom"/>
          </w:tcPr>
          <w:p>
            <w:pPr>
              <w:spacing w:after="0"/>
              <w:rPr>
                <w:sz w:val="19"/>
                <w:szCs w:val="19"/>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Paid</w:t>
            </w:r>
          </w:p>
        </w:tc>
        <w:tc>
          <w:tcPr>
            <w:tcW w:w="360" w:type="dxa"/>
            <w:vAlign w:val="bottom"/>
          </w:tcPr>
          <w:p>
            <w:pPr>
              <w:spacing w:after="0"/>
              <w:rPr>
                <w:sz w:val="19"/>
                <w:szCs w:val="19"/>
                <w:color w:val="auto"/>
              </w:rPr>
            </w:pPr>
          </w:p>
        </w:tc>
        <w:tc>
          <w:tcPr>
            <w:tcW w:w="1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Commitments</w:t>
            </w:r>
          </w:p>
        </w:tc>
      </w:tr>
      <w:tr>
        <w:trPr>
          <w:trHeight w:val="243"/>
        </w:trPr>
        <w:tc>
          <w:tcPr>
            <w:tcW w:w="4100" w:type="dxa"/>
            <w:vAlign w:val="bottom"/>
            <w:shd w:val="clear" w:color="auto" w:fill="CCEC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Bitmain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CECFF"/>
          </w:tcPr>
          <w:p>
            <w:pPr>
              <w:spacing w:after="0"/>
              <w:rPr>
                <w:sz w:val="21"/>
                <w:szCs w:val="21"/>
                <w:color w:val="auto"/>
              </w:rPr>
            </w:pPr>
          </w:p>
        </w:tc>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November and December 2022</w:t>
            </w:r>
          </w:p>
        </w:tc>
        <w:tc>
          <w:tcPr>
            <w:tcW w:w="260" w:type="dxa"/>
            <w:vAlign w:val="bottom"/>
            <w:shd w:val="clear" w:color="auto" w:fill="CCECFF"/>
          </w:tcPr>
          <w:p>
            <w:pPr>
              <w:spacing w:after="0"/>
              <w:rPr>
                <w:sz w:val="21"/>
                <w:szCs w:val="21"/>
                <w:color w:val="auto"/>
              </w:rPr>
            </w:pPr>
          </w:p>
        </w:tc>
        <w:tc>
          <w:tcPr>
            <w:tcW w:w="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shd w:val="clear" w:color="auto" w:fill="CCECFF"/>
          </w:tcPr>
          <w:p>
            <w:pPr>
              <w:spacing w:after="0"/>
              <w:rPr>
                <w:sz w:val="21"/>
                <w:szCs w:val="21"/>
                <w:color w:val="auto"/>
              </w:rPr>
            </w:pPr>
          </w:p>
        </w:tc>
        <w:tc>
          <w:tcPr>
            <w:tcW w:w="1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April 2023</w:t>
            </w:r>
          </w:p>
        </w:tc>
      </w:tr>
      <w:tr>
        <w:trPr>
          <w:trHeight w:val="23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vendors</w:t>
            </w:r>
          </w:p>
        </w:tc>
        <w:tc>
          <w:tcPr>
            <w:tcW w:w="26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Various</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7"/>
        </w:trPr>
        <w:tc>
          <w:tcPr>
            <w:tcW w:w="41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CCECFF"/>
            </w:tcBorders>
            <w:shd w:val="clear" w:color="auto" w:fill="CCECFF"/>
          </w:tcPr>
          <w:p>
            <w:pPr>
              <w:spacing w:after="0"/>
              <w:rPr>
                <w:sz w:val="24"/>
                <w:szCs w:val="24"/>
                <w:color w:val="auto"/>
              </w:rPr>
            </w:pPr>
          </w:p>
        </w:tc>
        <w:tc>
          <w:tcPr>
            <w:tcW w:w="272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CCECFF"/>
            </w:tcBorders>
            <w:shd w:val="clear" w:color="auto" w:fill="CCECFF"/>
          </w:tcPr>
          <w:p>
            <w:pPr>
              <w:spacing w:after="0"/>
              <w:rPr>
                <w:sz w:val="24"/>
                <w:szCs w:val="24"/>
                <w:color w:val="auto"/>
              </w:rPr>
            </w:pPr>
          </w:p>
        </w:tc>
        <w:tc>
          <w:tcPr>
            <w:tcW w:w="380" w:type="dxa"/>
            <w:vAlign w:val="bottom"/>
            <w:tcBorders>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spacing w:after="0"/>
              <w:rPr>
                <w:sz w:val="24"/>
                <w:szCs w:val="24"/>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360" w:type="dxa"/>
            <w:vAlign w:val="bottom"/>
            <w:tcBorders>
              <w:bottom w:val="single" w:sz="8" w:color="CCECFF"/>
            </w:tcBorders>
            <w:shd w:val="clear" w:color="auto" w:fill="CCECFF"/>
          </w:tcPr>
          <w:p>
            <w:pPr>
              <w:spacing w:after="0"/>
              <w:rPr>
                <w:sz w:val="24"/>
                <w:szCs w:val="24"/>
                <w:color w:val="auto"/>
              </w:rPr>
            </w:pPr>
          </w:p>
        </w:tc>
        <w:tc>
          <w:tcPr>
            <w:tcW w:w="1360" w:type="dxa"/>
            <w:vAlign w:val="bottom"/>
            <w:tcBorders>
              <w:bottom w:val="single" w:sz="8" w:color="CCECFF"/>
            </w:tcBorders>
            <w:shd w:val="clear" w:color="auto" w:fill="CCECFF"/>
          </w:tcPr>
          <w:p>
            <w:pPr>
              <w:spacing w:after="0"/>
              <w:rPr>
                <w:sz w:val="24"/>
                <w:szCs w:val="24"/>
                <w:color w:val="auto"/>
              </w:rPr>
            </w:pP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2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-173990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-156845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-173990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-156845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460" w:right="680" w:hanging="452"/>
        <w:spacing w:after="0" w:line="223" w:lineRule="auto"/>
        <w:tabs>
          <w:tab w:leader="none" w:pos="376"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Pursuant to the Company’s agreement with Bitmain, the Company is responsible for all logistics costs related to transportation, packaging for transportation and insurance related to the delivery of the miners.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INVESTMENTS IN EQUITY INVESTEES</w:t>
      </w:r>
    </w:p>
    <w:p>
      <w:pPr>
        <w:spacing w:after="0" w:line="18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The Company uses the equity method of accounting to account for its 49% equity interest in its partially owned mining operations Alborz LLC, Bear LLC and Chief, LLC (the “Data Center LLCs”). The Company recognized a total of approximately $2.4 million and $0.2 million of equity in the net losses of its equity investees in the condensed consolidated statements of operations during the three months ended March 31, 2023 and 2022, respectively.</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Cryptocurrency mining operations for the Data Center LLCs consisted only of minimal activity at the Alborz Facility for the three months ended March 31, 2022.</w:t>
      </w:r>
    </w:p>
    <w:p>
      <w:pPr>
        <w:spacing w:after="0" w:line="14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2022, the Company contributed miners and mining equipment to the Alborz, Bear and Chief Facilities. The majority of these contributed miners had a fair value that was lower than the cost paid by the Company to obtain them, and the Company recognized losses at the time of the contributions, resulting in basis differences related to the Company’s investments in Alborz LLC, Bear LLC and Chief LLC, all of which recorded the contributions of equipment from the Company at the historical cost paid by the Company to obtain the equipment. As Alborz LLC, Bear LLC and Chief LLC depreciate the historical cost of these miners on their respective financial statements over the expected depreciation period of five years, the Company accretes these basis differences over the same period and records the accretion amount for each reporting period within equity in losses of equity investees on its statements of operations until these miners are fully depreciated and the corresponding basis differences are fully accreted. As of March 31, 2023, the Company had remaining basis differences totaling approximately $29.7 million that have not yet been accreted. Accretion recorded by the Company during the three months ended March 31, 2023 is shown in the table below and was recorded within equity in the net losses of equity investees on the statement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Company’s investments in equity investees during the three months ended March 31, 2023 consisted of the following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180" w:type="dxa"/>
            <w:vAlign w:val="bottom"/>
            <w:shd w:val="clear" w:color="auto" w:fill="CCECFF"/>
          </w:tcPr>
          <w:p>
            <w:pPr>
              <w:spacing w:after="0"/>
              <w:rPr>
                <w:sz w:val="21"/>
                <w:szCs w:val="21"/>
                <w:color w:val="auto"/>
              </w:rPr>
            </w:pPr>
          </w:p>
        </w:tc>
        <w:tc>
          <w:tcPr>
            <w:tcW w:w="1240" w:type="dxa"/>
            <w:vAlign w:val="bottom"/>
            <w:shd w:val="clear" w:color="auto" w:fill="CCEC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37,478</w:t>
            </w:r>
          </w:p>
        </w:tc>
        <w:tc>
          <w:tcPr>
            <w:tcW w:w="100" w:type="dxa"/>
            <w:vAlign w:val="bottom"/>
            <w:shd w:val="clear" w:color="auto" w:fill="CCEEFF"/>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miners and mining equipment contributed</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20"/>
                <w:szCs w:val="20"/>
                <w:color w:val="auto"/>
              </w:rPr>
            </w:pPr>
          </w:p>
        </w:tc>
      </w:tr>
      <w:tr>
        <w:trPr>
          <w:trHeight w:val="247"/>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Accretion of basis differences related to miner contributions</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shd w:val="clear" w:color="auto" w:fill="CCEEFF"/>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distributions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(3,807 )</w:t>
            </w:r>
          </w:p>
        </w:tc>
      </w:tr>
      <w:tr>
        <w:trPr>
          <w:trHeight w:val="247"/>
        </w:trPr>
        <w:tc>
          <w:tcPr>
            <w:tcW w:w="7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(317 )</w:t>
            </w:r>
          </w:p>
        </w:tc>
      </w:tr>
      <w:tr>
        <w:trPr>
          <w:trHeight w:val="243"/>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net losses of equity investees</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(2,420 )</w:t>
            </w:r>
          </w:p>
        </w:tc>
      </w:tr>
      <w:tr>
        <w:trPr>
          <w:trHeight w:val="276"/>
        </w:trPr>
        <w:tc>
          <w:tcPr>
            <w:tcW w:w="76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80" w:type="dxa"/>
            <w:vAlign w:val="bottom"/>
            <w:tcBorders>
              <w:bottom w:val="single" w:sz="8" w:color="CCECFF"/>
            </w:tcBorders>
            <w:shd w:val="clear" w:color="auto" w:fill="CCECFF"/>
          </w:tcPr>
          <w:p>
            <w:pPr>
              <w:spacing w:after="0"/>
              <w:rPr>
                <w:sz w:val="24"/>
                <w:szCs w:val="24"/>
                <w:color w:val="auto"/>
              </w:rPr>
            </w:pPr>
          </w:p>
        </w:tc>
        <w:tc>
          <w:tcPr>
            <w:tcW w:w="1240" w:type="dxa"/>
            <w:vAlign w:val="bottom"/>
            <w:tcBorders>
              <w:bottom w:val="single" w:sz="8" w:color="CCECFF"/>
            </w:tcBorders>
            <w:shd w:val="clear" w:color="auto" w:fill="CCEC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34,529</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737"/>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SECURITY DEPOSITS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security deposits consisted of the following (in thousands):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Luminant Power Purchase Agreement Independent Collateral Amount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12,554</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100" w:type="dxa"/>
            <w:vAlign w:val="bottom"/>
            <w:shd w:val="clear" w:color="auto" w:fill="CCEEFF"/>
          </w:tcPr>
          <w:p>
            <w:pPr>
              <w:spacing w:after="0"/>
              <w:rPr>
                <w:sz w:val="21"/>
                <w:szCs w:val="2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Luminant Purchase and Sale Agreement collateral</w:t>
            </w:r>
          </w:p>
        </w:tc>
        <w:tc>
          <w:tcPr>
            <w:tcW w:w="18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20"/>
                <w:szCs w:val="20"/>
                <w:color w:val="auto"/>
              </w:rPr>
            </w:pPr>
          </w:p>
        </w:tc>
      </w:tr>
      <w:tr>
        <w:trPr>
          <w:trHeight w:val="24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security deposits</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967</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deposits</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1,158</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21"/>
                <w:szCs w:val="21"/>
                <w:color w:val="auto"/>
              </w:rPr>
            </w:pPr>
          </w:p>
        </w:tc>
      </w:tr>
      <w:tr>
        <w:trPr>
          <w:trHeight w:val="277"/>
        </w:trPr>
        <w:tc>
          <w:tcPr>
            <w:tcW w:w="7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security deposits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17,742</w:t>
            </w:r>
          </w:p>
        </w:tc>
        <w:tc>
          <w:tcPr>
            <w:tcW w:w="2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17,730</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SUPPLEMENTAL FINANCIAL INFORMATION</w:t>
      </w:r>
    </w:p>
    <w:p>
      <w:pPr>
        <w:spacing w:after="0" w:line="20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of March 31, 2023 and December 31, 2022, the Company had approximately $4.3 million and $7.3 million, respectively, of prepaid expenses and other current assets, which was primarily related to prepaid insurance other than approximately $1.2 million of bitcoin temporarily held for the Company’s joint venture partner, WindHQ LLC (“WindHQ”), as of December 31,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and other current liabilities consisted of the following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Taxes (primarily sales tax)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15,719</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Finance lease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Legal</w:t>
            </w:r>
          </w:p>
        </w:tc>
        <w:tc>
          <w:tcPr>
            <w:tcW w:w="320" w:type="dxa"/>
            <w:vAlign w:val="bottom"/>
            <w:shd w:val="clear" w:color="auto" w:fill="CCEC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-334010</wp:posOffset>
            </wp:positionV>
            <wp:extent cx="6858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ind w:left="400" w:hanging="392"/>
        <w:spacing w:after="0" w:line="223" w:lineRule="auto"/>
        <w:tabs>
          <w:tab w:leader="none" w:pos="40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11, Leases</w:t>
      </w:r>
      <w:r>
        <w:rPr>
          <w:rFonts w:ascii="Times New Roman" w:cs="Times New Roman" w:eastAsia="Times New Roman" w:hAnsi="Times New Roman"/>
          <w:sz w:val="18"/>
          <w:szCs w:val="18"/>
          <w:color w:val="auto"/>
        </w:rPr>
        <w:t xml:space="preserve"> for additional information regarding the Company’s finance lease.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receivables</w:t>
      </w:r>
    </w:p>
    <w:p>
      <w:pPr>
        <w:spacing w:after="0" w:line="18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Company recorded related party receivables of approximately $1.3 million and $1.1 million as of March 31, 2023 and December 31, 2022, respectively, related to expenses paid on behalf of the Data Center LLCs for which it expects to be reimbursed.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Waiver, Lock-up and Board Observer Agreements</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April 8, 2022, the Company entered into a waiver agreement with Bitfury Top HoldCo (the “Waiver Agreement”), pursuant to which the Company waived certain restrictions on transfer of Common Stock under (a) that certain Lock-up Agreement, dated as of August 26, 2021, by and between GWAC and Bitfury Top HoldCo (the “Bitfury Lock-up Agreement”) and (b) those certain Lock-up Agreements, dated August 26, 2021, by and between GWAC and each of (i) I-B Goodworks, LLC, (ii) Magnetar Financial LLC, (iii) Mint Tower Capital Management B.V., (iv) Periscope Capital, Inc. and (v) Polar Asset Management Partners Inc., respectively (the stockholders contemplated by clauses (a)-(b), the “Stockholders”), imposing similar restrictions on the Stockholders (collectively, the “Lock-up Agreements” and each a “Lock-up Agreement”).</w:t>
      </w:r>
    </w:p>
    <w:p>
      <w:pPr>
        <w:sectPr>
          <w:pgSz w:w="11900" w:h="16838" w:orient="portrait"/>
          <w:cols w:equalWidth="0" w:num="1">
            <w:col w:w="11240"/>
          </w:cols>
          <w:pgMar w:left="320" w:top="117"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Waiver Agreement was negotiated and approved by an independent committee of the Company’s board of directors (“Board”). The Waiver Agreement</w:t>
      </w:r>
    </w:p>
    <w:p>
      <w:pPr>
        <w:spacing w:after="0" w:line="27" w:lineRule="exact"/>
        <w:rPr>
          <w:sz w:val="20"/>
          <w:szCs w:val="20"/>
          <w:color w:val="auto"/>
        </w:rPr>
      </w:pPr>
    </w:p>
    <w:p>
      <w:pPr>
        <w:ind w:firstLine="8"/>
        <w:spacing w:after="0" w:line="251"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each Stockholder to pledge or otherwise hypothecate the Lock-up Shares (as defined in the Lock-up Agreements) held by such Stockholder as of the date of the Waiver Agreement (the shares that are actually pledged or otherwise hypothecated, the “Pledged Shares”) as collateral or security in connection with any loan meeting certain criteria set forth in the Waiver Agreement and (ii) transfer the Pledged Shares upon foreclosure by such pledgee in accordance with the terms of the applicable pledge or hypothecation; provided that such waiver will only apply and be effective if certain conditions specified in the Waiver Agreement are satisfied or waived. Additionally, effective as of the date of consummation of any pledge or hypothecation, and solely in regard to any pledged shares, the Lock-up Period, as defined in the applicable Lock-up Agreement, shall be extended an additional three months to November 26, 2023. Furthermore, the Waiver Agreement provided for the cancellation of 2,890,173 shares of the Company’s Common Stock held by Bitfury Top HoldCo and subject to the Lock-up Agreements as consideration for a $10.0 million deposit paid by the Company for Bitfury Top HoldCo mining rigs under the agreement dated October 11, 2021, for which no order confirmation was made.</w:t>
      </w:r>
    </w:p>
    <w:p>
      <w:pPr>
        <w:spacing w:after="0" w:line="16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On April 8, 2022, the Company also entered into an observer agreement (the “Board Observer Agreement”) with Bitfury Holding and Bitfury Top HoldCo (together with Bitfury Holding, the “Investors”), which provides that the Investors have the right to designate a representative to serve as an observer of the Board and any committees thereof (subject to exceptions and limitations specified in the Board Observer Agreement). The Board Observer Agreement was negotiated and approved by an independent committee of the Board.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and Supply Agreement</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August 26, 2021, Bitfury Top HoldCo and the Company entered into a Master Services and Supply Agreement (the “Master Services and Supply Agreement”). The initial term of the agreement is 84 months, with automatic 12-month renewals thereafter (unless either party provides sufficient notice of non-renewal). Pursuant to this agreement, the Company can request and Bitfury Top HoldCo is required to use commercially reasonable efforts to provide, or procure the provision of, certain equipment and/or services, such as construction, engineering and operations, in each case as may be required to launch and maintain the Company’s bitcoin mining data centers in the U.S. The Master Services and Supply Agreement is not exclusive to Bitfury Top HoldCo or any of its affiliates, and the Company may retain any other parties to manufacture and deliver any equipment or perform any of the services required. The Company is not obligated to order any equipment or services from the Bitfury Group under the Master Services and Supply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Master Services and Supply Agreement, the Company and Bitfury Holding also entered into a fee side letter, which sets out the basic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framework applicable under the Master Services and Supply Agreement for any services. Under the fee side letter, monthly fees for any potential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services, if any, would be determined by reference to two groups of services, which may be provided under the Master Services and Supply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 Bitfury Top HoldCo’s “onsite” services fee would be calculated on a straight cost +5% basis (plus applicable duties and taxes); and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Bitfury Top HoldCo’s “remote services” would be calculated on a ratchet basis applying a management fee of $1,000/MW up to 445MW (capped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$200,000/month) and $450USD/MW above 445MW (plus applicable duties and taxes).  The Company is not currently using any services provided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Bitfury’s Top HoldCo or its affiliates.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deposits on equipment and related party payables</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entered into two agreements with Bitfury USA Inc. (“Bitfury USA”), made under, and as a part of, the Master Services and Supply Agreement to purchase BBACs. As of March 31, 2023 and December 31, 2022, approximately $0.5 million and $1.1 million, respectively, of deposits on equipment and construction-in-progress on the Company’s condensed consolidated balance sheets related to amounts owed by the Company to Bitfury USA, which were accrued in accounts payable, related party.</w:t>
      </w:r>
    </w:p>
    <w:p>
      <w:pPr>
        <w:spacing w:after="0" w:line="15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Additionally, Bitfury USA contracted with third-party vendors for the purchase of equipment and the receipt of services related to Cipher’s future mining operations. Pursuant to one of these arrangements between Bitfury USA and a third-party vendor, Paradigm Controls of Texas, LLC (“Paradigm”), the Company made payments directly to Paradigm in place of Bitfury USA, in respect of manufacturing services for BBACs, totaling approximately $4.5 million during the three months ended March 31, 2023 and the Company’s obligations to Bitfury USA under the Master Services and Supply Agreement were reduced by the same amount.</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of December 31, 2022, in relation to the Company assisting WindHQ with the liquidation of some of WindHQ’s bitcoin holdings, the Company had approximately $1.2 million of bitcoin and approximately $0.3 million of proceeds received, but not yet transferred to WindHQ, respectively, recorded in accounts payable, related party on its consolidated balance sheet. During the quarter ended March 31, 2023, all of the bitcoin held by the Company on behalf of WindHQ was liquidated and all proceeds received from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liquidation were forwarded to WindHQ, leaving no remaining amount payable to WindHQ in accounts payable, related party as of March 31, 2023 on the Company’s unaudited condensed consolidated balance sheet.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Luminant Lease Agreement</w:t>
      </w:r>
    </w:p>
    <w:p>
      <w:pPr>
        <w:spacing w:after="0" w:line="20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entered into a series of agreements with affiliates of Luminant, including the Lease Agreement dated June 29, 2021, with amendment and restatement on July 9, 2021 (as amended and restated, the “Luminant Lease Agreement”). The Luminant Lease Agreement leases a plot of land to the Company for the data center, ancillary infrastructure and electrical system (the “Interconnection Electrical Facilities” or “substation”) of the Odessa Facility. The Company entered into the Luminant Lease Agreement and the Luminant Purchase and Sale Agreement to build the infrastructure necessary to support its Odessa Facility operations. The Company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w:t>
      </w:r>
    </w:p>
    <w:p>
      <w:pPr>
        <w:spacing w:after="0" w:line="1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management determined that the Combined Luminant Lease Agreement contains two lease components; and the components should be accounted for together as a single lease component, because the effect of accounting for the land lease separately would be insignificant. Financing for use of the land and substation is provided by Luminant affiliates, with monthly installments of principal and interest due over a five-year period starting upon transfer of legal title of the substation to the Company (estimated total undiscounted principal payments of $15.0 million).</w:t>
      </w:r>
    </w:p>
    <w:p>
      <w:pPr>
        <w:spacing w:after="0" w:line="13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Despite lease commencement in November 2022, the Company has not been required by Luminant to make any lease payments for the substation, therefore the Company is continuing to accrue amounts due under the Combined Luminant Lease Agreement in accrued expenses and other current liabilities on its unaudited condensed consolidated balance sheet. At the end of the lease term for the Interconnection Electrical Facilities, the substation will be sold back to Luminant’s affiliate, Vistra Operations Company, LLC at a price to be determined based upon bids obtained in the secondary market.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headquarters lease</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entered into an operating lease for office space located in New York. The lease has an initial term of 64 months and commenced on February 1, 2022. The lease does not provide the Company with renewal options.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lease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Company’s lease expenses are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00" w:type="dxa"/>
            <w:vAlign w:val="bottom"/>
          </w:tcPr>
          <w:p>
            <w:pPr>
              <w:spacing w:after="0"/>
              <w:rPr>
                <w:sz w:val="19"/>
                <w:szCs w:val="19"/>
                <w:color w:val="auto"/>
              </w:rPr>
            </w:pPr>
          </w:p>
        </w:tc>
        <w:tc>
          <w:tcPr>
            <w:tcW w:w="32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140" w:type="dxa"/>
            <w:vAlign w:val="bottom"/>
            <w:tcBorders>
              <w:top w:val="single" w:sz="8" w:color="auto"/>
            </w:tcBorders>
            <w:shd w:val="clear" w:color="auto" w:fill="CCECFF"/>
          </w:tcPr>
          <w:p>
            <w:pPr>
              <w:spacing w:after="0"/>
              <w:rPr>
                <w:sz w:val="21"/>
                <w:szCs w:val="21"/>
                <w:color w:val="auto"/>
              </w:rPr>
            </w:pPr>
          </w:p>
        </w:tc>
        <w:tc>
          <w:tcPr>
            <w:tcW w:w="560" w:type="dxa"/>
            <w:vAlign w:val="bottom"/>
            <w:tcBorders>
              <w:top w:val="single" w:sz="8" w:color="auto"/>
            </w:tcBorders>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1080" w:type="dxa"/>
            <w:vAlign w:val="bottom"/>
            <w:tcBorders>
              <w:top w:val="single" w:sz="8" w:color="auto"/>
            </w:tcBorders>
            <w:shd w:val="clear" w:color="auto" w:fill="CCECFF"/>
          </w:tcPr>
          <w:p>
            <w:pPr>
              <w:spacing w:after="0"/>
              <w:rPr>
                <w:sz w:val="21"/>
                <w:szCs w:val="21"/>
                <w:color w:val="auto"/>
              </w:rPr>
            </w:pPr>
          </w:p>
        </w:tc>
        <w:tc>
          <w:tcPr>
            <w:tcW w:w="440" w:type="dxa"/>
            <w:vAlign w:val="bottom"/>
            <w:tcBorders>
              <w:top w:val="single" w:sz="8" w:color="auto"/>
            </w:tcBorders>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Amortization of ROU asset </w:t>
            </w:r>
            <w:r>
              <w:rPr>
                <w:rFonts w:ascii="Times New Roman" w:cs="Times New Roman" w:eastAsia="Times New Roman" w:hAnsi="Times New Roman"/>
                <w:sz w:val="24"/>
                <w:szCs w:val="24"/>
                <w:color w:val="auto"/>
                <w:vertAlign w:val="superscript"/>
              </w:rPr>
              <w:t>(1)</w:t>
            </w:r>
          </w:p>
        </w:tc>
        <w:tc>
          <w:tcPr>
            <w:tcW w:w="1140" w:type="dxa"/>
            <w:vAlign w:val="bottom"/>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5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1140" w:type="dxa"/>
            <w:vAlign w:val="bottom"/>
            <w:tcBorders>
              <w:bottom w:val="single" w:sz="8" w:color="auto"/>
            </w:tcBorders>
            <w:shd w:val="clear" w:color="auto" w:fill="CCECFF"/>
          </w:tcPr>
          <w:p>
            <w:pPr>
              <w:spacing w:after="0"/>
              <w:rPr>
                <w:sz w:val="21"/>
                <w:szCs w:val="2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420" w:type="dxa"/>
            <w:vAlign w:val="bottom"/>
            <w:tcBorders>
              <w:bottom w:val="single" w:sz="8" w:color="CCECFF"/>
            </w:tcBorders>
            <w:shd w:val="clear" w:color="auto" w:fill="CCECFF"/>
          </w:tcPr>
          <w:p>
            <w:pPr>
              <w:spacing w:after="0"/>
              <w:rPr>
                <w:sz w:val="21"/>
                <w:szCs w:val="21"/>
                <w:color w:val="auto"/>
              </w:rPr>
            </w:pPr>
          </w:p>
        </w:tc>
        <w:tc>
          <w:tcPr>
            <w:tcW w:w="1080" w:type="dxa"/>
            <w:vAlign w:val="bottom"/>
            <w:tcBorders>
              <w:bottom w:val="single" w:sz="8" w:color="auto"/>
            </w:tcBorders>
            <w:shd w:val="clear" w:color="auto" w:fill="CCECFF"/>
          </w:tcPr>
          <w:p>
            <w:pPr>
              <w:spacing w:after="0"/>
              <w:rPr>
                <w:sz w:val="21"/>
                <w:szCs w:val="21"/>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140" w:type="dxa"/>
            <w:vAlign w:val="bottom"/>
            <w:shd w:val="clear" w:color="auto" w:fill="CCECFF"/>
          </w:tcPr>
          <w:p>
            <w:pPr>
              <w:spacing w:after="0"/>
              <w:rPr>
                <w:sz w:val="21"/>
                <w:szCs w:val="21"/>
                <w:color w:val="auto"/>
              </w:rPr>
            </w:pPr>
          </w:p>
        </w:tc>
        <w:tc>
          <w:tcPr>
            <w:tcW w:w="56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1080" w:type="dxa"/>
            <w:vAlign w:val="bottom"/>
            <w:shd w:val="clear" w:color="auto" w:fill="CCECFF"/>
          </w:tcPr>
          <w:p>
            <w:pPr>
              <w:spacing w:after="0"/>
              <w:rPr>
                <w:sz w:val="21"/>
                <w:szCs w:val="21"/>
                <w:color w:val="auto"/>
              </w:rPr>
            </w:pPr>
          </w:p>
        </w:tc>
        <w:tc>
          <w:tcPr>
            <w:tcW w:w="4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Short-term lease rent expense</w:t>
            </w:r>
          </w:p>
        </w:tc>
        <w:tc>
          <w:tcPr>
            <w:tcW w:w="1140" w:type="dxa"/>
            <w:vAlign w:val="bottom"/>
            <w:tcBorders>
              <w:bottom w:val="single" w:sz="8" w:color="auto"/>
            </w:tcBorders>
            <w:shd w:val="clear" w:color="auto" w:fill="CCECFF"/>
          </w:tcPr>
          <w:p>
            <w:pPr>
              <w:spacing w:after="0"/>
              <w:rPr>
                <w:sz w:val="21"/>
                <w:szCs w:val="2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20" w:type="dxa"/>
            <w:vAlign w:val="bottom"/>
            <w:tcBorders>
              <w:bottom w:val="single" w:sz="8" w:color="CCECFF"/>
            </w:tcBorders>
            <w:shd w:val="clear" w:color="auto" w:fill="CCECFF"/>
          </w:tcPr>
          <w:p>
            <w:pPr>
              <w:spacing w:after="0"/>
              <w:rPr>
                <w:sz w:val="21"/>
                <w:szCs w:val="21"/>
                <w:color w:val="auto"/>
              </w:rPr>
            </w:pPr>
          </w:p>
        </w:tc>
        <w:tc>
          <w:tcPr>
            <w:tcW w:w="1080" w:type="dxa"/>
            <w:vAlign w:val="bottom"/>
            <w:tcBorders>
              <w:bottom w:val="single" w:sz="8" w:color="auto"/>
            </w:tcBorders>
            <w:shd w:val="clear" w:color="auto" w:fill="CCECFF"/>
          </w:tcPr>
          <w:p>
            <w:pPr>
              <w:spacing w:after="0"/>
              <w:rPr>
                <w:sz w:val="21"/>
                <w:szCs w:val="21"/>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expense</w:t>
            </w:r>
          </w:p>
        </w:tc>
        <w:tc>
          <w:tcPr>
            <w:tcW w:w="1140" w:type="dxa"/>
            <w:vAlign w:val="bottom"/>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5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-959485</wp:posOffset>
            </wp:positionV>
            <wp:extent cx="6858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-334010</wp:posOffset>
            </wp:positionV>
            <wp:extent cx="6858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ind w:left="200" w:hanging="192"/>
        <w:spacing w:after="0" w:line="199" w:lineRule="auto"/>
        <w:tabs>
          <w:tab w:leader="none" w:pos="20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Amortization of finance lease ROU asset is included within depreciation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incur any variable lease costs during the three months ended March 31, 2023 and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is shown below (dollar amounts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5"/>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7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7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cash flows - operating lease</w:t>
            </w:r>
          </w:p>
        </w:tc>
        <w:tc>
          <w:tcPr>
            <w:tcW w:w="20" w:type="dxa"/>
            <w:vAlign w:val="bottom"/>
            <w:shd w:val="clear" w:color="auto" w:fill="CCECFF"/>
          </w:tcPr>
          <w:p>
            <w:pPr>
              <w:spacing w:after="0"/>
              <w:rPr>
                <w:sz w:val="21"/>
                <w:szCs w:val="21"/>
                <w:color w:val="auto"/>
              </w:rPr>
            </w:pPr>
          </w:p>
        </w:tc>
        <w:tc>
          <w:tcPr>
            <w:tcW w:w="200" w:type="dxa"/>
            <w:vAlign w:val="bottom"/>
            <w:tcBorders>
              <w:top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395</w:t>
            </w:r>
          </w:p>
        </w:tc>
        <w:tc>
          <w:tcPr>
            <w:tcW w:w="400" w:type="dxa"/>
            <w:vAlign w:val="bottom"/>
            <w:shd w:val="clear" w:color="auto" w:fill="CCECFF"/>
          </w:tcPr>
          <w:p>
            <w:pPr>
              <w:spacing w:after="0"/>
              <w:rPr>
                <w:sz w:val="21"/>
                <w:szCs w:val="21"/>
                <w:color w:val="auto"/>
              </w:rPr>
            </w:pPr>
          </w:p>
        </w:tc>
        <w:tc>
          <w:tcPr>
            <w:tcW w:w="20" w:type="dxa"/>
            <w:vAlign w:val="bottom"/>
            <w:shd w:val="clear" w:color="auto" w:fill="CCECFF"/>
          </w:tcPr>
          <w:p>
            <w:pPr>
              <w:spacing w:after="0"/>
              <w:rPr>
                <w:sz w:val="21"/>
                <w:szCs w:val="21"/>
                <w:color w:val="auto"/>
              </w:rPr>
            </w:pPr>
          </w:p>
        </w:tc>
        <w:tc>
          <w:tcPr>
            <w:tcW w:w="960" w:type="dxa"/>
            <w:vAlign w:val="bottom"/>
            <w:tcBorders>
              <w:top w:val="single" w:sz="8" w:color="auto"/>
            </w:tcBorders>
            <w:shd w:val="clear" w:color="auto" w:fill="CCEC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80" w:type="dxa"/>
            <w:vAlign w:val="bottom"/>
            <w:gridSpan w:val="2"/>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61"/>
        </w:trPr>
        <w:tc>
          <w:tcPr>
            <w:tcW w:w="7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3"/>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0" w:type="dxa"/>
            <w:vAlign w:val="bottom"/>
          </w:tcPr>
          <w:p>
            <w:pPr>
              <w:spacing w:after="0"/>
              <w:rPr>
                <w:sz w:val="24"/>
                <w:szCs w:val="24"/>
                <w:color w:val="auto"/>
              </w:rPr>
            </w:pPr>
          </w:p>
        </w:tc>
        <w:tc>
          <w:tcPr>
            <w:tcW w:w="168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43"/>
        </w:trPr>
        <w:tc>
          <w:tcPr>
            <w:tcW w:w="7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 (in years)</w:t>
            </w:r>
          </w:p>
        </w:tc>
        <w:tc>
          <w:tcPr>
            <w:tcW w:w="20" w:type="dxa"/>
            <w:vAlign w:val="bottom"/>
            <w:tcBorders>
              <w:top w:val="single" w:sz="8" w:color="auto"/>
            </w:tcBorders>
            <w:shd w:val="clear" w:color="auto" w:fill="CCECFF"/>
          </w:tcPr>
          <w:p>
            <w:pPr>
              <w:spacing w:after="0"/>
              <w:rPr>
                <w:sz w:val="21"/>
                <w:szCs w:val="21"/>
                <w:color w:val="auto"/>
              </w:rPr>
            </w:pPr>
          </w:p>
        </w:tc>
        <w:tc>
          <w:tcPr>
            <w:tcW w:w="200" w:type="dxa"/>
            <w:vAlign w:val="bottom"/>
            <w:tcBorders>
              <w:top w:val="single" w:sz="8" w:color="auto"/>
            </w:tcBorders>
            <w:shd w:val="clear" w:color="auto" w:fill="CCECFF"/>
          </w:tcPr>
          <w:p>
            <w:pPr>
              <w:spacing w:after="0"/>
              <w:rPr>
                <w:sz w:val="21"/>
                <w:szCs w:val="21"/>
                <w:color w:val="auto"/>
              </w:rPr>
            </w:pPr>
          </w:p>
        </w:tc>
        <w:tc>
          <w:tcPr>
            <w:tcW w:w="14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20" w:type="dxa"/>
            <w:vAlign w:val="bottom"/>
            <w:tcBorders>
              <w:top w:val="single" w:sz="8" w:color="auto"/>
            </w:tcBorders>
            <w:shd w:val="clear" w:color="auto" w:fill="CCECFF"/>
          </w:tcPr>
          <w:p>
            <w:pPr>
              <w:spacing w:after="0"/>
              <w:rPr>
                <w:sz w:val="21"/>
                <w:szCs w:val="21"/>
                <w:color w:val="auto"/>
              </w:rPr>
            </w:pPr>
          </w:p>
        </w:tc>
        <w:tc>
          <w:tcPr>
            <w:tcW w:w="960" w:type="dxa"/>
            <w:vAlign w:val="bottom"/>
            <w:tcBorders>
              <w:top w:val="single" w:sz="8" w:color="auto"/>
            </w:tcBorders>
            <w:shd w:val="clear" w:color="auto" w:fill="CCECFF"/>
          </w:tcPr>
          <w:p>
            <w:pPr>
              <w:spacing w:after="0"/>
              <w:rPr>
                <w:sz w:val="21"/>
                <w:szCs w:val="21"/>
                <w:color w:val="auto"/>
              </w:rPr>
            </w:pPr>
          </w:p>
        </w:tc>
        <w:tc>
          <w:tcPr>
            <w:tcW w:w="5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CFF"/>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 (in years)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11.0 %</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5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10.9 %</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50"/>
        </w:trPr>
        <w:tc>
          <w:tcPr>
            <w:tcW w:w="7480" w:type="dxa"/>
            <w:vAlign w:val="bottom"/>
            <w:shd w:val="clear" w:color="auto" w:fill="CCECFF"/>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Finance lease ROU asset </w:t>
            </w:r>
            <w:r>
              <w:rPr>
                <w:rFonts w:ascii="Times New Roman" w:cs="Times New Roman" w:eastAsia="Times New Roman" w:hAnsi="Times New Roman"/>
                <w:sz w:val="24"/>
                <w:szCs w:val="24"/>
                <w:color w:val="auto"/>
                <w:vertAlign w:val="superscript"/>
              </w:rPr>
              <w:t>(1)</w:t>
            </w:r>
          </w:p>
        </w:tc>
        <w:tc>
          <w:tcPr>
            <w:tcW w:w="220" w:type="dxa"/>
            <w:vAlign w:val="bottom"/>
            <w:gridSpan w:val="2"/>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2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100" w:type="dxa"/>
            <w:vAlign w:val="bottom"/>
            <w:shd w:val="clear" w:color="auto" w:fill="CCECFF"/>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00" w:right="300" w:hanging="292"/>
        <w:spacing w:after="0" w:line="230" w:lineRule="auto"/>
        <w:tabs>
          <w:tab w:leader="none" w:pos="231"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As of March 31, 2023 and December 31, 2022, the Company had recorded accumulated amortization of approximately $1.3 million and $0.5 million, respectively, for the finance lease ROU asset. Finance lease ROU assets are recorded within property and equipment, net on the Company’s consolidated balance sheets.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future minimum lease payments during the next five years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160" w:type="dxa"/>
            <w:vAlign w:val="bottom"/>
          </w:tcPr>
          <w:p>
            <w:pPr>
              <w:spacing w:after="0"/>
              <w:rPr>
                <w:sz w:val="21"/>
                <w:szCs w:val="21"/>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6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Remaining Period Ended December 31, 2023</w:t>
            </w: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420" w:type="dxa"/>
            <w:vAlign w:val="bottom"/>
            <w:shd w:val="clear" w:color="auto" w:fill="CCECFF"/>
          </w:tcPr>
          <w:p>
            <w:pPr>
              <w:spacing w:after="0"/>
              <w:rPr>
                <w:sz w:val="21"/>
                <w:szCs w:val="21"/>
                <w:color w:val="auto"/>
              </w:rPr>
            </w:pPr>
          </w:p>
        </w:tc>
        <w:tc>
          <w:tcPr>
            <w:tcW w:w="48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360" w:type="dxa"/>
            <w:vAlign w:val="bottom"/>
            <w:shd w:val="clear" w:color="auto" w:fill="CCECFF"/>
          </w:tcPr>
          <w:p>
            <w:pPr>
              <w:spacing w:after="0"/>
              <w:rPr>
                <w:sz w:val="21"/>
                <w:szCs w:val="21"/>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shd w:val="clear" w:color="auto" w:fill="CCECFF"/>
          </w:tcPr>
          <w:p>
            <w:pPr>
              <w:spacing w:after="0"/>
              <w:rPr>
                <w:sz w:val="21"/>
                <w:szCs w:val="21"/>
                <w:color w:val="auto"/>
              </w:rPr>
            </w:pPr>
          </w:p>
        </w:tc>
      </w:tr>
      <w:tr>
        <w:trPr>
          <w:trHeight w:val="23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00" w:type="dxa"/>
            <w:vAlign w:val="bottom"/>
          </w:tcPr>
          <w:p>
            <w:pPr>
              <w:spacing w:after="0"/>
              <w:rPr>
                <w:sz w:val="20"/>
                <w:szCs w:val="20"/>
                <w:color w:val="auto"/>
              </w:rPr>
            </w:pPr>
          </w:p>
        </w:tc>
      </w:tr>
      <w:tr>
        <w:trPr>
          <w:trHeight w:val="247"/>
        </w:trPr>
        <w:tc>
          <w:tcPr>
            <w:tcW w:w="6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40" w:type="dxa"/>
            <w:vAlign w:val="bottom"/>
            <w:shd w:val="clear" w:color="auto" w:fill="CCECFF"/>
          </w:tcPr>
          <w:p>
            <w:pPr>
              <w:spacing w:after="0"/>
              <w:rPr>
                <w:sz w:val="21"/>
                <w:szCs w:val="21"/>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420" w:type="dxa"/>
            <w:vAlign w:val="bottom"/>
            <w:shd w:val="clear" w:color="auto" w:fill="CCECFF"/>
          </w:tcPr>
          <w:p>
            <w:pPr>
              <w:spacing w:after="0"/>
              <w:rPr>
                <w:sz w:val="21"/>
                <w:szCs w:val="21"/>
                <w:color w:val="auto"/>
              </w:rPr>
            </w:pPr>
          </w:p>
        </w:tc>
        <w:tc>
          <w:tcPr>
            <w:tcW w:w="48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3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00" w:type="dxa"/>
            <w:vAlign w:val="bottom"/>
            <w:shd w:val="clear" w:color="auto" w:fill="CCECFF"/>
          </w:tcPr>
          <w:p>
            <w:pPr>
              <w:spacing w:after="0"/>
              <w:rPr>
                <w:sz w:val="21"/>
                <w:szCs w:val="21"/>
                <w:color w:val="auto"/>
              </w:rPr>
            </w:pPr>
          </w:p>
        </w:tc>
      </w:tr>
      <w:tr>
        <w:trPr>
          <w:trHeight w:val="23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00" w:type="dxa"/>
            <w:vAlign w:val="bottom"/>
          </w:tcPr>
          <w:p>
            <w:pPr>
              <w:spacing w:after="0"/>
              <w:rPr>
                <w:sz w:val="20"/>
                <w:szCs w:val="20"/>
                <w:color w:val="auto"/>
              </w:rPr>
            </w:pPr>
          </w:p>
        </w:tc>
      </w:tr>
      <w:tr>
        <w:trPr>
          <w:trHeight w:val="247"/>
        </w:trPr>
        <w:tc>
          <w:tcPr>
            <w:tcW w:w="67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140" w:type="dxa"/>
            <w:vAlign w:val="bottom"/>
            <w:tcBorders>
              <w:bottom w:val="single" w:sz="8" w:color="auto"/>
            </w:tcBorders>
            <w:shd w:val="clear" w:color="auto" w:fill="CCECFF"/>
          </w:tcPr>
          <w:p>
            <w:pPr>
              <w:spacing w:after="0"/>
              <w:rPr>
                <w:sz w:val="21"/>
                <w:szCs w:val="21"/>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420" w:type="dxa"/>
            <w:vAlign w:val="bottom"/>
            <w:tcBorders>
              <w:bottom w:val="single" w:sz="8" w:color="CCECFF"/>
            </w:tcBorders>
            <w:shd w:val="clear" w:color="auto" w:fill="CCECFF"/>
          </w:tcPr>
          <w:p>
            <w:pPr>
              <w:spacing w:after="0"/>
              <w:rPr>
                <w:sz w:val="21"/>
                <w:szCs w:val="21"/>
                <w:color w:val="auto"/>
              </w:rPr>
            </w:pPr>
          </w:p>
        </w:tc>
        <w:tc>
          <w:tcPr>
            <w:tcW w:w="480" w:type="dxa"/>
            <w:vAlign w:val="bottom"/>
            <w:tcBorders>
              <w:bottom w:val="single" w:sz="8" w:color="auto"/>
            </w:tcBorders>
            <w:shd w:val="clear" w:color="auto" w:fill="CCECFF"/>
          </w:tcPr>
          <w:p>
            <w:pPr>
              <w:spacing w:after="0"/>
              <w:rPr>
                <w:sz w:val="21"/>
                <w:szCs w:val="21"/>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36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spacing w:after="0"/>
              <w:rPr>
                <w:sz w:val="21"/>
                <w:szCs w:val="2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17,967</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24,555</w:t>
            </w:r>
          </w:p>
        </w:tc>
        <w:tc>
          <w:tcPr>
            <w:tcW w:w="100" w:type="dxa"/>
            <w:vAlign w:val="bottom"/>
          </w:tcPr>
          <w:p>
            <w:pPr>
              <w:spacing w:after="0"/>
              <w:rPr>
                <w:sz w:val="20"/>
                <w:szCs w:val="20"/>
                <w:color w:val="auto"/>
              </w:rPr>
            </w:pPr>
          </w:p>
        </w:tc>
      </w:tr>
      <w:tr>
        <w:trPr>
          <w:trHeight w:val="247"/>
        </w:trPr>
        <w:tc>
          <w:tcPr>
            <w:tcW w:w="6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40" w:type="dxa"/>
            <w:vAlign w:val="bottom"/>
            <w:shd w:val="clear" w:color="auto" w:fill="CCECFF"/>
          </w:tcPr>
          <w:p>
            <w:pPr>
              <w:spacing w:after="0"/>
              <w:rPr>
                <w:sz w:val="21"/>
                <w:szCs w:val="21"/>
                <w:color w:val="auto"/>
              </w:rPr>
            </w:pPr>
          </w:p>
        </w:tc>
        <w:tc>
          <w:tcPr>
            <w:tcW w:w="176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8"/>
                <w:szCs w:val="18"/>
                <w:color w:val="auto"/>
              </w:rPr>
              <w:t>(3,787 )</w:t>
            </w:r>
          </w:p>
        </w:tc>
        <w:tc>
          <w:tcPr>
            <w:tcW w:w="48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(1,312 )</w:t>
            </w:r>
          </w:p>
        </w:tc>
        <w:tc>
          <w:tcPr>
            <w:tcW w:w="160" w:type="dxa"/>
            <w:vAlign w:val="bottom"/>
            <w:shd w:val="clear" w:color="auto" w:fill="CCECFF"/>
          </w:tcPr>
          <w:p>
            <w:pPr>
              <w:spacing w:after="0"/>
              <w:rPr>
                <w:sz w:val="21"/>
                <w:szCs w:val="21"/>
                <w:color w:val="auto"/>
              </w:rPr>
            </w:pPr>
          </w:p>
        </w:tc>
        <w:tc>
          <w:tcPr>
            <w:tcW w:w="7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(5,099 )</w:t>
            </w:r>
          </w:p>
        </w:tc>
      </w:tr>
      <w:tr>
        <w:trPr>
          <w:trHeight w:val="237"/>
        </w:trPr>
        <w:tc>
          <w:tcPr>
            <w:tcW w:w="6700" w:type="dxa"/>
            <w:vAlign w:val="bottom"/>
            <w:tcBorders>
              <w:top w:val="single" w:sz="8" w:color="CCECFF"/>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14,180</w:t>
            </w:r>
          </w:p>
        </w:tc>
        <w:tc>
          <w:tcPr>
            <w:tcW w:w="420" w:type="dxa"/>
            <w:vAlign w:val="bottom"/>
            <w:tcBorders>
              <w:top w:val="single" w:sz="8" w:color="CCECFF"/>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360" w:type="dxa"/>
            <w:vAlign w:val="bottom"/>
            <w:tcBorders>
              <w:top w:val="single" w:sz="8" w:color="CCEC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19,456</w:t>
            </w:r>
          </w:p>
        </w:tc>
        <w:tc>
          <w:tcPr>
            <w:tcW w:w="100" w:type="dxa"/>
            <w:vAlign w:val="bottom"/>
            <w:tcBorders>
              <w:top w:val="single" w:sz="8" w:color="CCECFF"/>
            </w:tcBorders>
          </w:tcPr>
          <w:p>
            <w:pPr>
              <w:spacing w:after="0"/>
              <w:rPr>
                <w:sz w:val="20"/>
                <w:szCs w:val="20"/>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-505460</wp:posOffset>
            </wp:positionV>
            <wp:extent cx="7747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-505460</wp:posOffset>
            </wp:positionV>
            <wp:extent cx="6858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7747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-187960</wp:posOffset>
            </wp:positionV>
            <wp:extent cx="6858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0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The Company’s maximum exposure under these arrangements, if any, is unknown as of March 31, 2023. The Company does not anticipate recognizing any significant losses relating to these arrangements.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8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Company, and its subsidiaries, are subject at times to various claims, lawsuits and governmental proceedings relating to the Company’s business and transactions arising in the ordinary course of business. The Company cannot predict the final outcome of such proceedings. Where appropriate, the Company vigorously defends such claims, lawsuits and proceedings. Some of these claims, lawsuits and proceedings seek damages, including consequential, exemplary or punitive damages, in amounts that could, if awarded, be significant. Certain of the claims, lawsuits and proceedings arising in the ordinary course of business are covered by the Company’s insurance program. The Company maintains property and various types of liability insurance in an effort to protect the Company from such claims. In terms of any matters where there is no insurance coverage available to the Company, or where coverage is available and the Company maintains a retention or deductible associated with such insurance, the Company may establish an accrual for such loss, retention or deductible based on current available information. In accordance with accounting guidance, if it is probable that an asset has been impaired or a liability has been incurred as of the date of the financial statements, and the amount of loss is reasonably estimable, then an accrual for the cost to resolve or settle these claims is recorded by the Company in the accompanying unaudited condensed consolidated balance sheets. If it is reasonably possible that an asset may be impaired as of the date of the financial statements, then the Company discloses the range of possible loss. Expenses related to the defense of such claims are recorded by the Company as incurred and included in the accompanying unaudited condensed consolidated statements of operations. Management, with the assistance of outside counsel, may from time to time adjust such accruals according to new developments in the matter, court</w:t>
      </w:r>
    </w:p>
    <w:p>
      <w:pPr>
        <w:spacing w:after="0" w:line="1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rulings, or changes in the strategy affecting the Company’s defense of such matters. On the basis of current information, the Company does not believe there is a reasonable possibility that a material loss, if any, will result from any claims, lawsuits and proceedings to which the Company is subject to either individually, or in the aggregate.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Luminant Power Agreement</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18, 2022, Luminant filed suit against CMTI in the 95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District Court of Dallas County, Texas, asserting Texas state law claims for declaratory judgment and “money had and received”, seeking recoupment and return of money previously paid by Luminant to CMTI in connection with Luminant’s (and its affiliates’) construction and energization of Cipher’s bitcoin mining data center in Odessa, Texas. These prior payments were (i) the sum of $5.1 million paid to CMTI in September 2022 pursuant to a contractual provision requiring such payment in the parties’ written and executed August 25, 2022 Third Amendment to the Luminant Power Agreement, and (ii) the sum of $1.7 million also paid to CMTI in September 2022, as agreed by the parties, for electrical power sold by Luminant for CMTI’s benefit into the open market prior to the final energization of the Company’s facility. Luminant contends that such payments were mistaken because, although voluntarily made by Luminant, they were not actually due under the terms of the Luminant Power Agreement, as amended. The Company filed its answer on January 17, 2023, denying any liability to Luminant. We have not received payment from Luminant for electricity sold in the ERCOT market in September 2022 and October 2022.</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wholly disputes the claims made by Luminant and intends to contest the case vigorously. The parties have exchanged basic discovery disclosures, and discovery and motion practice have not substantively commenced. An initial trial date has been set. At this time, in light of the early stage of the proceeding, the Company does not know how or when this matter will be resolved, or whether it will have any additional negative implications under the Luminant Power Agreement going forward. As such, the resolution is not probable or estimable and the Company has not made any accruals related to this dispute.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STOCKHOLDERS’ EQUITY</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March 31, 2023, 510,000,000 shares with a par value of $0.001 per share are authorized, of which, 500,000,000 shares are designated as Common Stock and 10,000,000 shares are designated as preferred stock (“Preferred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Holders of each share of Common Stock are entitled to dividends when, as and if declared by the Board. As of the issuance of these unaudited condensed consolidated financial statements, the Company had not declared any dividends. The holder of each share of Common Stock is entitled to one vote. The voting, dividend, liquidation and other rights and powers of the Common Stock are subject to and qualified by the rights, powers and preferences of any outstanding series of Preferred Stock, for which there currently are none outstanding.</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2023, the Company issued 1,954,783 shares of Common Stock to officers, directors, employees and consultants in settlement of an equal number of fully vested RSUs awarded to these individuals pursuant to grants made under the Cipher Mining Inc. 2021 Incentive Award Plan (the “Incentive Award Plan”). The Company immediately repurchased 600,734 of these shares of Common Stock from officers and employees, with a fair value of approximately $0.5 million, to cover taxes related to the settlement of these vested RSUs, as permitted by the Incentive Award Plan. The Company placed the repurchased shares in treasury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WARRANTS</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Upon consummation of the business combination, the Company assumed Common Stock warrants that were originally issued in GWAC’s initial public offering (the “Public Warrants”), as well as warrants that were issued in a private placement that closed concurrently with GWAC’s initial public offering (the “Private Placement Warrants”). The Public and Private Placement Warrants entitle the holder to purchase one share of Common Stock at an exercise price of $11.50 per share, subject to adjustment. There were 8,499,980 Public Warrants and 114,000 Private Placement Warrants outstanding as of both March 31, 2023 and December 31, 2022. The exercise price and number of shares of Common Stock issuable on exercise of the warrants may be adjusted in certain circumstances including in the event of a stock dividend, extraordinary dividend or the Company’s recapitalization, reorganization,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merger or consolidation. However, the warrants will not be adjusted for issuances of shares of Common Stock at a price below their respective exercise prices. Additionally, in no event will the Company be required to net cash settle the warrants.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SHARE-BASED COMPENSATION</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Incentive Award Plan provides for the grant of stock options, including incentive stock options and nonqualified stock options, stock appreciation rights, RSUs and other stock or cash-based awards to employees, consultants and directors. Upon vesting of an award, the Company may either issue new shares or reissue treasury shares.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Initially, up to 19,869,312 shares of Common Stock were available for issuance under awards granted pursuant to the Incentive Award Plan. In addition, the number of shares of Common Stock available for issuance under the Incentive Equity Plan is increased on January 1 of each calendar year beginning in 2022 and ending in 2031 by an amount equal to the lesser of (a) three percent (3%) of the total number of shares of Common Stock outstanding on the final day of the immediately preceding calendar year and (b) such smaller number of shares determined by the Board. On January 1, 2023, this resulted in an increase of 7,426,559 shares of Common Stock available for issuance under the Incentive Award Plan. As of March 31, 2023, 6,673,506 shares of Common Stock were available for issuance under the Incentive Award Plan.</w:t>
      </w:r>
    </w:p>
    <w:p>
      <w:pPr>
        <w:spacing w:after="0" w:line="14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recognized total share-based compensation expense in general and administrative expenses on the unaudited condensed consolidated statements of operations for the following categories of awards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0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96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r>
      <w:tr>
        <w:trPr>
          <w:trHeight w:val="243"/>
        </w:trPr>
        <w:tc>
          <w:tcPr>
            <w:tcW w:w="5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1420" w:type="dxa"/>
            <w:vAlign w:val="bottom"/>
            <w:shd w:val="clear" w:color="auto" w:fill="CCEEFF"/>
          </w:tcPr>
          <w:p>
            <w:pPr>
              <w:jc w:val="right"/>
              <w:ind w:right="123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100" w:type="dxa"/>
            <w:vAlign w:val="bottom"/>
            <w:shd w:val="clear" w:color="auto" w:fill="CCEEFF"/>
          </w:tcPr>
          <w:p>
            <w:pPr>
              <w:spacing w:after="0"/>
              <w:rPr>
                <w:sz w:val="21"/>
                <w:szCs w:val="2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RSUs</w:t>
            </w:r>
          </w:p>
        </w:tc>
        <w:tc>
          <w:tcPr>
            <w:tcW w:w="1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4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Pr>
          <w:p>
            <w:pPr>
              <w:spacing w:after="0"/>
              <w:rPr>
                <w:sz w:val="21"/>
                <w:szCs w:val="21"/>
                <w:color w:val="auto"/>
              </w:rPr>
            </w:pPr>
          </w:p>
        </w:tc>
      </w:tr>
      <w:tr>
        <w:trPr>
          <w:trHeight w:val="277"/>
        </w:trPr>
        <w:tc>
          <w:tcPr>
            <w:tcW w:w="5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420" w:type="dxa"/>
            <w:vAlign w:val="bottom"/>
            <w:tcBorders>
              <w:bottom w:val="single" w:sz="8" w:color="auto"/>
            </w:tcBorders>
            <w:shd w:val="clear" w:color="auto" w:fill="CCEEFF"/>
          </w:tcPr>
          <w:p>
            <w:pPr>
              <w:jc w:val="right"/>
              <w:ind w:right="123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4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RSUs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unvested Service-based RSU activity for the three months ended March 31, 2023 is shown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9"/>
              </w:rPr>
              <w:t>Weighted Average Grant Date</w:t>
            </w:r>
          </w:p>
        </w:tc>
        <w:tc>
          <w:tcPr>
            <w:tcW w:w="100" w:type="dxa"/>
            <w:vAlign w:val="bottom"/>
          </w:tcPr>
          <w:p>
            <w:pPr>
              <w:spacing w:after="0"/>
              <w:rPr>
                <w:sz w:val="17"/>
                <w:szCs w:val="17"/>
                <w:color w:val="auto"/>
              </w:rPr>
            </w:pPr>
          </w:p>
        </w:tc>
      </w:tr>
      <w:tr>
        <w:trPr>
          <w:trHeight w:val="225"/>
        </w:trPr>
        <w:tc>
          <w:tcPr>
            <w:tcW w:w="5840" w:type="dxa"/>
            <w:vAlign w:val="bottom"/>
          </w:tcPr>
          <w:p>
            <w:pPr>
              <w:spacing w:after="0"/>
              <w:rPr>
                <w:sz w:val="19"/>
                <w:szCs w:val="19"/>
                <w:color w:val="auto"/>
              </w:rPr>
            </w:pPr>
          </w:p>
        </w:tc>
        <w:tc>
          <w:tcPr>
            <w:tcW w:w="2920" w:type="dxa"/>
            <w:vAlign w:val="bottom"/>
            <w:gridSpan w:val="2"/>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9"/>
                <w:szCs w:val="19"/>
                <w:color w:val="auto"/>
              </w:rPr>
            </w:pPr>
          </w:p>
        </w:tc>
        <w:tc>
          <w:tcPr>
            <w:tcW w:w="2260" w:type="dxa"/>
            <w:vAlign w:val="bottom"/>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9"/>
                <w:szCs w:val="19"/>
                <w:color w:val="auto"/>
              </w:rPr>
            </w:pPr>
          </w:p>
        </w:tc>
      </w:tr>
      <w:tr>
        <w:trPr>
          <w:trHeight w:val="243"/>
        </w:trPr>
        <w:tc>
          <w:tcPr>
            <w:tcW w:w="5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January 1, 2023</w:t>
            </w:r>
          </w:p>
        </w:tc>
        <w:tc>
          <w:tcPr>
            <w:tcW w:w="2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14,441,044</w:t>
            </w:r>
          </w:p>
        </w:tc>
        <w:tc>
          <w:tcPr>
            <w:tcW w:w="48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21"/>
                <w:szCs w:val="21"/>
                <w:color w:val="auto"/>
              </w:rPr>
            </w:pPr>
          </w:p>
        </w:tc>
      </w:tr>
      <w:tr>
        <w:trPr>
          <w:trHeight w:val="239"/>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1,797,647</w:t>
            </w:r>
          </w:p>
        </w:tc>
        <w:tc>
          <w:tcPr>
            <w:tcW w:w="4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r>
      <w:tr>
        <w:trPr>
          <w:trHeight w:val="247"/>
        </w:trPr>
        <w:tc>
          <w:tcPr>
            <w:tcW w:w="5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(1,954,783 )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21"/>
                <w:szCs w:val="21"/>
                <w:color w:val="auto"/>
              </w:rPr>
            </w:pPr>
          </w:p>
        </w:tc>
      </w:tr>
      <w:tr>
        <w:trPr>
          <w:trHeight w:val="236"/>
        </w:trPr>
        <w:tc>
          <w:tcPr>
            <w:tcW w:w="584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March 31, 2023</w:t>
            </w:r>
          </w:p>
        </w:tc>
        <w:tc>
          <w:tcPr>
            <w:tcW w:w="2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14,283,908</w:t>
            </w:r>
          </w:p>
        </w:tc>
        <w:tc>
          <w:tcPr>
            <w:tcW w:w="4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top w:val="single" w:sz="8" w:color="CCEEFF"/>
            </w:tcBorders>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-187960</wp:posOffset>
            </wp:positionV>
            <wp:extent cx="6858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3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March 31, 2023, there was approximately $24.7 million of unrecognized compensation expense related to unvested Service-based RSUs, which is expected to be recognized over a weighted-average vesting period of approximately 1.6 years.</w:t>
      </w:r>
    </w:p>
    <w:p>
      <w:pPr>
        <w:spacing w:after="0" w:line="13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If not fully vested upon grant, Service-based RSUs awarded generally vest over a period ranging from two to four years in equal installments on the award’s anniversary of the vesting commencement date, which will generally coincide with the timing when the employee or consultant began to provide services to the Company, as determined by the Board, and which may precede the grant date. Vesting is subject to the award recipient’s continuous service on the applicable vesting date; provided, that if the award recipient’s employment is terminated by the Company without “cause”, by award recipient for “good reason” (if applicable, as such term or similar term may be defined in any employment, consulting or similar service agreement between award recipient and the Company) or due to award recipient’s death or permanent disability, all unvested Service-based RSUs will vest in full. In addition, in the event of a change in control, any unvested Service-based RSUs will vest subject to the award recipient’s continuous service to the Company through such change in control. In addition, if the Company achieves a $10 billion market capitalization milestone (described further below) and the Chief Executive Officer (“CEO”) remains in continuous service through such achievement, any then-unvested Service-based RSUs awarded to the CEO will also vest.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w:t>
      </w:r>
    </w:p>
    <w:p>
      <w:pPr>
        <w:spacing w:after="0" w:line="18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There was no new activity for unvested Performance-based RSUs during the three months ended March 31, 2023. There were 4,257,710 unvested Performance-based RSUs at a weighted average grant date fair value of $7.76 as of both March 31, 2023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December 31, 2022. As of March 31, 2023, there was approximately $14.5 million of unrecognized compensation expense related to unvested Performance-based RSUs, which is expected to be recognized over a weighted-average derived service period of approximately 1.2 years.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One-third of the outstanding Performance-based RSUs will vest upon the Company achieving a market capitalization equal to or exceeding $5 billion, $7.5 billion and $10 billion, in each case over a 30-day lookback period and subject to the CEO’s continuous service through the end of the applicable 30-day period. In the event of a change in control and CEO’s continuous service through such change in control, the per share price (plus the per share value of any other consideration) received by the Company’s stockholders in such change in control will be used to determine whether any of the market capitalization milestones are achieved (without regard to the 30-day lookback period). Any Performance-based RSUs that do not vest prior to the CEO’s termination of service or, if earlier, in connection with a change in control will be forfeited for no consideration.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subject to fair value measurement on a recurring basis and the level of inputs used for such measurements were as follows as of the dates indicated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Measured as of March 31, 2023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9"/>
                <w:szCs w:val="19"/>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43"/>
        </w:trPr>
        <w:tc>
          <w:tcPr>
            <w:tcW w:w="4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80" w:type="dxa"/>
            <w:vAlign w:val="bottom"/>
            <w:tcBorders>
              <w:top w:val="single" w:sz="8" w:color="auto"/>
            </w:tcBorders>
            <w:shd w:val="clear" w:color="auto" w:fill="CCECFF"/>
          </w:tcPr>
          <w:p>
            <w:pPr>
              <w:spacing w:after="0"/>
              <w:rPr>
                <w:sz w:val="21"/>
                <w:szCs w:val="21"/>
                <w:color w:val="auto"/>
              </w:rPr>
            </w:pPr>
          </w:p>
        </w:tc>
        <w:tc>
          <w:tcPr>
            <w:tcW w:w="1080" w:type="dxa"/>
            <w:vAlign w:val="bottom"/>
            <w:tcBorders>
              <w:top w:val="single" w:sz="8" w:color="auto"/>
            </w:tcBorders>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1080" w:type="dxa"/>
            <w:vAlign w:val="bottom"/>
            <w:tcBorders>
              <w:top w:val="single" w:sz="8" w:color="auto"/>
            </w:tcBorders>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1060" w:type="dxa"/>
            <w:vAlign w:val="bottom"/>
            <w:tcBorders>
              <w:top w:val="single" w:sz="8" w:color="auto"/>
            </w:tcBorders>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300" w:type="dxa"/>
            <w:vAlign w:val="bottom"/>
            <w:tcBorders>
              <w:top w:val="single" w:sz="8" w:color="auto"/>
            </w:tcBorders>
            <w:shd w:val="clear" w:color="auto" w:fill="CCECFF"/>
          </w:tcPr>
          <w:p>
            <w:pPr>
              <w:spacing w:after="0"/>
              <w:rPr>
                <w:sz w:val="21"/>
                <w:szCs w:val="21"/>
                <w:color w:val="auto"/>
              </w:rPr>
            </w:pPr>
          </w:p>
        </w:tc>
        <w:tc>
          <w:tcPr>
            <w:tcW w:w="1040" w:type="dxa"/>
            <w:vAlign w:val="bottom"/>
            <w:tcBorders>
              <w:top w:val="single" w:sz="8" w:color="auto"/>
            </w:tcBorders>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Money market securities</w:t>
            </w: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640" w:type="dxa"/>
            <w:vAlign w:val="bottom"/>
            <w:gridSpan w:val="2"/>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CCECFF"/>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0"/>
                <w:szCs w:val="20"/>
                <w:color w:val="auto"/>
              </w:rPr>
            </w:pPr>
          </w:p>
        </w:tc>
      </w:tr>
      <w:tr>
        <w:trPr>
          <w:trHeight w:val="247"/>
        </w:trPr>
        <w:tc>
          <w:tcPr>
            <w:tcW w:w="47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80" w:type="dxa"/>
            <w:vAlign w:val="bottom"/>
            <w:tcBorders>
              <w:bottom w:val="single" w:sz="8" w:color="auto"/>
            </w:tcBorders>
            <w:shd w:val="clear" w:color="auto" w:fill="CCECFF"/>
          </w:tcPr>
          <w:p>
            <w:pPr>
              <w:spacing w:after="0"/>
              <w:rPr>
                <w:sz w:val="21"/>
                <w:szCs w:val="21"/>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72,030</w:t>
            </w:r>
          </w:p>
        </w:tc>
        <w:tc>
          <w:tcPr>
            <w:tcW w:w="34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spacing w:after="0"/>
              <w:rPr>
                <w:sz w:val="21"/>
                <w:szCs w:val="21"/>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72,030</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47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72,030</w:t>
            </w:r>
          </w:p>
        </w:tc>
        <w:tc>
          <w:tcPr>
            <w:tcW w:w="3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74,599</w:t>
            </w:r>
          </w:p>
        </w:tc>
        <w:tc>
          <w:tcPr>
            <w:tcW w:w="10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8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3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0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r>
      <w:tr>
        <w:trPr>
          <w:trHeight w:val="272"/>
        </w:trPr>
        <w:tc>
          <w:tcPr>
            <w:tcW w:w="4700" w:type="dxa"/>
            <w:vAlign w:val="bottom"/>
            <w:tcBorders>
              <w:bottom w:val="single" w:sz="8" w:color="CCECFF"/>
            </w:tcBorders>
            <w:shd w:val="clear" w:color="auto" w:fill="CCECFF"/>
          </w:tcPr>
          <w:p>
            <w:pPr>
              <w:spacing w:after="0"/>
              <w:rPr>
                <w:sz w:val="23"/>
                <w:szCs w:val="23"/>
                <w:color w:val="auto"/>
              </w:rPr>
            </w:pPr>
          </w:p>
        </w:tc>
        <w:tc>
          <w:tcPr>
            <w:tcW w:w="28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CFF"/>
            </w:tcBorders>
            <w:shd w:val="clear" w:color="auto" w:fill="CCECFF"/>
          </w:tcPr>
          <w:p>
            <w:pPr>
              <w:spacing w:after="0"/>
              <w:rPr>
                <w:sz w:val="23"/>
                <w:szCs w:val="23"/>
                <w:color w:val="auto"/>
              </w:rPr>
            </w:pPr>
          </w:p>
        </w:tc>
        <w:tc>
          <w:tcPr>
            <w:tcW w:w="260" w:type="dxa"/>
            <w:vAlign w:val="bottom"/>
            <w:tcBorders>
              <w:top w:val="single" w:sz="8" w:color="auto"/>
              <w:bottom w:val="single" w:sz="8" w:color="auto"/>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CFF"/>
            </w:tcBorders>
            <w:shd w:val="clear" w:color="auto" w:fill="CCECFF"/>
          </w:tcPr>
          <w:p>
            <w:pPr>
              <w:spacing w:after="0"/>
              <w:rPr>
                <w:sz w:val="23"/>
                <w:szCs w:val="23"/>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Borders>
              <w:bottom w:val="single" w:sz="8" w:color="CCECFF"/>
            </w:tcBorders>
            <w:shd w:val="clear" w:color="auto" w:fill="CCECFF"/>
          </w:tcPr>
          <w:p>
            <w:pPr>
              <w:spacing w:after="0"/>
              <w:rPr>
                <w:sz w:val="23"/>
                <w:szCs w:val="23"/>
                <w:color w:val="auto"/>
              </w:rPr>
            </w:pPr>
          </w:p>
        </w:tc>
        <w:tc>
          <w:tcPr>
            <w:tcW w:w="30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CFF"/>
            </w:tcBorders>
            <w:shd w:val="clear" w:color="auto" w:fill="CCECFF"/>
          </w:tcPr>
          <w:p>
            <w:pPr>
              <w:spacing w:after="0"/>
              <w:rPr>
                <w:sz w:val="23"/>
                <w:szCs w:val="23"/>
                <w:color w:val="auto"/>
              </w:rPr>
            </w:pPr>
          </w:p>
        </w:tc>
      </w:tr>
      <w:tr>
        <w:trPr>
          <w:trHeight w:val="437"/>
        </w:trPr>
        <w:tc>
          <w:tcPr>
            <w:tcW w:w="4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6"/>
                <w:szCs w:val="16"/>
                <w:b w:val="1"/>
                <w:bCs w:val="1"/>
                <w:color w:val="auto"/>
              </w:rPr>
              <w:t>Fair Value Measured as of December 31, 2022</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9"/>
                <w:szCs w:val="19"/>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43"/>
        </w:trPr>
        <w:tc>
          <w:tcPr>
            <w:tcW w:w="4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80" w:type="dxa"/>
            <w:vAlign w:val="bottom"/>
            <w:tcBorders>
              <w:top w:val="single" w:sz="8" w:color="auto"/>
            </w:tcBorders>
            <w:shd w:val="clear" w:color="auto" w:fill="CCECFF"/>
          </w:tcPr>
          <w:p>
            <w:pPr>
              <w:spacing w:after="0"/>
              <w:rPr>
                <w:sz w:val="21"/>
                <w:szCs w:val="21"/>
                <w:color w:val="auto"/>
              </w:rPr>
            </w:pPr>
          </w:p>
        </w:tc>
        <w:tc>
          <w:tcPr>
            <w:tcW w:w="1080" w:type="dxa"/>
            <w:vAlign w:val="bottom"/>
            <w:tcBorders>
              <w:top w:val="single" w:sz="8" w:color="auto"/>
            </w:tcBorders>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1080" w:type="dxa"/>
            <w:vAlign w:val="bottom"/>
            <w:tcBorders>
              <w:top w:val="single" w:sz="8" w:color="auto"/>
            </w:tcBorders>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260" w:type="dxa"/>
            <w:vAlign w:val="bottom"/>
            <w:tcBorders>
              <w:top w:val="single" w:sz="8" w:color="auto"/>
            </w:tcBorders>
            <w:shd w:val="clear" w:color="auto" w:fill="CCECFF"/>
          </w:tcPr>
          <w:p>
            <w:pPr>
              <w:spacing w:after="0"/>
              <w:rPr>
                <w:sz w:val="21"/>
                <w:szCs w:val="21"/>
                <w:color w:val="auto"/>
              </w:rPr>
            </w:pPr>
          </w:p>
        </w:tc>
        <w:tc>
          <w:tcPr>
            <w:tcW w:w="1060" w:type="dxa"/>
            <w:vAlign w:val="bottom"/>
            <w:tcBorders>
              <w:top w:val="single" w:sz="8" w:color="auto"/>
            </w:tcBorders>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300" w:type="dxa"/>
            <w:vAlign w:val="bottom"/>
            <w:tcBorders>
              <w:top w:val="single" w:sz="8" w:color="auto"/>
            </w:tcBorders>
            <w:shd w:val="clear" w:color="auto" w:fill="CCECFF"/>
          </w:tcPr>
          <w:p>
            <w:pPr>
              <w:spacing w:after="0"/>
              <w:rPr>
                <w:sz w:val="21"/>
                <w:szCs w:val="21"/>
                <w:color w:val="auto"/>
              </w:rPr>
            </w:pPr>
          </w:p>
        </w:tc>
        <w:tc>
          <w:tcPr>
            <w:tcW w:w="1040" w:type="dxa"/>
            <w:vAlign w:val="bottom"/>
            <w:tcBorders>
              <w:top w:val="single" w:sz="8" w:color="auto"/>
            </w:tcBorders>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Money market securities</w:t>
            </w:r>
          </w:p>
        </w:tc>
        <w:tc>
          <w:tcPr>
            <w:tcW w:w="28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640" w:type="dxa"/>
            <w:vAlign w:val="bottom"/>
            <w:gridSpan w:val="2"/>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100" w:type="dxa"/>
            <w:vAlign w:val="bottom"/>
            <w:shd w:val="clear" w:color="auto" w:fill="CCECFF"/>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r>
      <w:tr>
        <w:trPr>
          <w:trHeight w:val="247"/>
        </w:trPr>
        <w:tc>
          <w:tcPr>
            <w:tcW w:w="47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80" w:type="dxa"/>
            <w:vAlign w:val="bottom"/>
            <w:tcBorders>
              <w:bottom w:val="single" w:sz="8" w:color="auto"/>
            </w:tcBorders>
            <w:shd w:val="clear" w:color="auto" w:fill="CCECFF"/>
          </w:tcPr>
          <w:p>
            <w:pPr>
              <w:spacing w:after="0"/>
              <w:rPr>
                <w:sz w:val="21"/>
                <w:szCs w:val="21"/>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66,702</w:t>
            </w:r>
          </w:p>
        </w:tc>
        <w:tc>
          <w:tcPr>
            <w:tcW w:w="34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spacing w:after="0"/>
              <w:rPr>
                <w:sz w:val="21"/>
                <w:szCs w:val="21"/>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66,702</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47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66,702</w:t>
            </w:r>
          </w:p>
        </w:tc>
        <w:tc>
          <w:tcPr>
            <w:tcW w:w="3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77,743</w:t>
            </w:r>
          </w:p>
        </w:tc>
        <w:tc>
          <w:tcPr>
            <w:tcW w:w="10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8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3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0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r>
      <w:tr>
        <w:trPr>
          <w:trHeight w:val="272"/>
        </w:trPr>
        <w:tc>
          <w:tcPr>
            <w:tcW w:w="4700" w:type="dxa"/>
            <w:vAlign w:val="bottom"/>
            <w:tcBorders>
              <w:bottom w:val="single" w:sz="8" w:color="CCECFF"/>
            </w:tcBorders>
            <w:shd w:val="clear" w:color="auto" w:fill="CCECFF"/>
          </w:tcPr>
          <w:p>
            <w:pPr>
              <w:spacing w:after="0"/>
              <w:rPr>
                <w:sz w:val="23"/>
                <w:szCs w:val="23"/>
                <w:color w:val="auto"/>
              </w:rPr>
            </w:pPr>
          </w:p>
        </w:tc>
        <w:tc>
          <w:tcPr>
            <w:tcW w:w="28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CFF"/>
            </w:tcBorders>
            <w:shd w:val="clear" w:color="auto" w:fill="CCECFF"/>
          </w:tcPr>
          <w:p>
            <w:pPr>
              <w:spacing w:after="0"/>
              <w:rPr>
                <w:sz w:val="23"/>
                <w:szCs w:val="23"/>
                <w:color w:val="auto"/>
              </w:rPr>
            </w:pPr>
          </w:p>
        </w:tc>
        <w:tc>
          <w:tcPr>
            <w:tcW w:w="260" w:type="dxa"/>
            <w:vAlign w:val="bottom"/>
            <w:tcBorders>
              <w:top w:val="single" w:sz="8" w:color="auto"/>
              <w:bottom w:val="single" w:sz="8" w:color="auto"/>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CFF"/>
            </w:tcBorders>
            <w:shd w:val="clear" w:color="auto" w:fill="CCECFF"/>
          </w:tcPr>
          <w:p>
            <w:pPr>
              <w:spacing w:after="0"/>
              <w:rPr>
                <w:sz w:val="23"/>
                <w:szCs w:val="23"/>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CCECFF"/>
            </w:tcBorders>
            <w:shd w:val="clear" w:color="auto" w:fill="CCECFF"/>
          </w:tcPr>
          <w:p>
            <w:pPr>
              <w:spacing w:after="0"/>
              <w:rPr>
                <w:sz w:val="23"/>
                <w:szCs w:val="23"/>
                <w:color w:val="auto"/>
              </w:rPr>
            </w:pPr>
          </w:p>
        </w:tc>
        <w:tc>
          <w:tcPr>
            <w:tcW w:w="30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CFF"/>
            </w:tcBorders>
            <w:shd w:val="clear" w:color="auto" w:fill="CCEC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-2596515</wp:posOffset>
            </wp:positionV>
            <wp:extent cx="7747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-2596515</wp:posOffset>
            </wp:positionV>
            <wp:extent cx="6858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-2596515</wp:posOffset>
            </wp:positionV>
            <wp:extent cx="6858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-1936750</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-1919605</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-1936750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-1919605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-1936750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-1919605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-685165</wp:posOffset>
            </wp:positionV>
            <wp:extent cx="7747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-685165</wp:posOffset>
            </wp:positionV>
            <wp:extent cx="6858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-685165</wp:posOffset>
            </wp:positionV>
            <wp:extent cx="6858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-24765</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carrying values reported in the Company’s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Level 1, Level 2 and Level 3 during the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asset</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derivative asset, related to the Luminant Power Agreement, is divided between current and noncurrent assets, and was initially recorded on its unaudited condensed consolidated balance sheets on the derivative asset’s effective date of July 1, 2022, with an offsetting amount recorded to change in fair value of derivative asset in costs and operating expenses on the unaudited condensed consolidated statements of operations. Subsequent changes in fair value are also recorded to change in fair value of derivative asset. The Luminant Power Agreement was not designated as a hedging instrument. The estimated fair value of the Company’s derivative asset was derived from Level 2 and Level 3 inputs (i.e., unobservable inputs) due to a lack of quoted prices for similar type assets and</w:t>
      </w:r>
    </w:p>
    <w:p>
      <w:pPr>
        <w:sectPr>
          <w:pgSz w:w="11900" w:h="16838" w:orient="portrait"/>
          <w:cols w:equalWidth="0" w:num="1">
            <w:col w:w="11240"/>
          </w:cols>
          <w:pgMar w:left="320" w:top="117"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such, is classified in Level 3 of the fair value hierarchy. Specifically, the discounted cash flow estimation models contain quoted spot and forward prices for electricity, as well as estimated usage rates consistent with the terms of the Luminant Power Agreement, which has a remaining term of approximately 4.3 years. The valuations performed by the third-party valuation firm engaged by the Company utilized pre-tax discount rates of 6.55% and 6.83% as of March 31, 2023 and December 31, 2022, respectively, and include observable market inputs, but also include unobservable inputs based on qualitative judgment related to company-specific risk factors. Unrealized gains associated with the derivative asset within the Level 3 category include changes in fair value that were attributable to changes to the quoted forward electricity rates, as well as unobservable inputs (e.g., changes in estimated usage rates and discount rate assumptions).</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estimated fair value of the derivative asset measured using significant unobservable inputs (Level 3) for the three months ended March 31, 2023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1060" w:type="dxa"/>
            <w:vAlign w:val="bottom"/>
            <w:shd w:val="clear" w:color="auto" w:fill="CCEC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66,702</w:t>
            </w:r>
          </w:p>
        </w:tc>
        <w:tc>
          <w:tcPr>
            <w:tcW w:w="100" w:type="dxa"/>
            <w:vAlign w:val="bottom"/>
            <w:shd w:val="clear" w:color="auto" w:fill="CCECFF"/>
          </w:tcPr>
          <w:p>
            <w:pPr>
              <w:spacing w:after="0"/>
              <w:rPr>
                <w:sz w:val="21"/>
                <w:szCs w:val="21"/>
                <w:color w:val="auto"/>
              </w:rPr>
            </w:pPr>
          </w:p>
        </w:tc>
      </w:tr>
      <w:tr>
        <w:trPr>
          <w:trHeight w:val="243"/>
        </w:trPr>
        <w:tc>
          <w:tcPr>
            <w:tcW w:w="8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10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00" w:type="dxa"/>
            <w:vAlign w:val="bottom"/>
          </w:tcPr>
          <w:p>
            <w:pPr>
              <w:spacing w:after="0"/>
              <w:rPr>
                <w:sz w:val="21"/>
                <w:szCs w:val="21"/>
                <w:color w:val="auto"/>
              </w:rPr>
            </w:pPr>
          </w:p>
        </w:tc>
      </w:tr>
      <w:tr>
        <w:trPr>
          <w:trHeight w:val="277"/>
        </w:trPr>
        <w:tc>
          <w:tcPr>
            <w:tcW w:w="86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060" w:type="dxa"/>
            <w:vAlign w:val="bottom"/>
            <w:tcBorders>
              <w:bottom w:val="single" w:sz="8" w:color="auto"/>
            </w:tcBorders>
            <w:shd w:val="clear" w:color="auto" w:fill="CCEC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72,030</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liability</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The Company’s Private Placement Warrants (as defined in Note 14,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are its only liability classified within Level 3 of the fair value hierarchy because the fair value is based on significant inputs that are unobservable in the market. The valuation of the Private Placement Warrants uses assumptions and estimates the Company believes would be made by a market participant in making the same valuation. The Company assesses these assumptions and estimates on an on-going basis as additional data impacting the assumptions and estimates are obtained.</w:t>
      </w:r>
    </w:p>
    <w:p>
      <w:pPr>
        <w:spacing w:after="0" w:line="14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engaged a valuation firm to determine the fair value of the Private Placement Warrants using a Black-Scholes option-pricing model and the quoted price of its Common Stock. The following table presents significant assumptions utilized in the valuations of the Private Placement Warrants as of the dates indicated: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3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4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 rate</w:t>
            </w:r>
          </w:p>
        </w:tc>
        <w:tc>
          <w:tcPr>
            <w:tcW w:w="1480" w:type="dxa"/>
            <w:vAlign w:val="bottom"/>
          </w:tcPr>
          <w:p>
            <w:pPr>
              <w:spacing w:after="0"/>
              <w:rPr>
                <w:sz w:val="20"/>
                <w:szCs w:val="20"/>
                <w:color w:val="auto"/>
              </w:rPr>
            </w:pPr>
          </w:p>
        </w:tc>
        <w:tc>
          <w:tcPr>
            <w:tcW w:w="8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0.00 %</w:t>
            </w:r>
          </w:p>
        </w:tc>
        <w:tc>
          <w:tcPr>
            <w:tcW w:w="22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480" w:type="dxa"/>
            <w:vAlign w:val="bottom"/>
          </w:tcPr>
          <w:p>
            <w:pPr>
              <w:spacing w:after="0"/>
              <w:rPr>
                <w:sz w:val="21"/>
                <w:szCs w:val="21"/>
                <w:color w:val="auto"/>
              </w:rPr>
            </w:pPr>
          </w:p>
        </w:tc>
        <w:tc>
          <w:tcPr>
            <w:tcW w:w="8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72.5 %</w:t>
            </w:r>
          </w:p>
        </w:tc>
        <w:tc>
          <w:tcPr>
            <w:tcW w:w="22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90.0 %</w:t>
            </w:r>
          </w:p>
        </w:tc>
      </w:tr>
      <w:tr>
        <w:trPr>
          <w:trHeight w:val="25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14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6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480" w:type="dxa"/>
            <w:vAlign w:val="bottom"/>
            <w:shd w:val="clear" w:color="auto" w:fill="CCECFF"/>
          </w:tcPr>
          <w:p>
            <w:pPr>
              <w:jc w:val="right"/>
              <w:ind w:right="12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3"/>
              </w:rPr>
              <w:t>11.50</w:t>
            </w:r>
          </w:p>
        </w:tc>
        <w:tc>
          <w:tcPr>
            <w:tcW w:w="46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CFF"/>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estimated fair value of the Private Placement Warrants for the three months ended March 31, 2023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1220" w:type="dxa"/>
            <w:vAlign w:val="bottom"/>
            <w:shd w:val="clear" w:color="auto" w:fill="CCEC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CFF"/>
          </w:tcPr>
          <w:p>
            <w:pPr>
              <w:spacing w:after="0"/>
              <w:rPr>
                <w:sz w:val="21"/>
                <w:szCs w:val="21"/>
                <w:color w:val="auto"/>
              </w:rPr>
            </w:pPr>
          </w:p>
        </w:tc>
      </w:tr>
      <w:tr>
        <w:trPr>
          <w:trHeight w:val="243"/>
        </w:trPr>
        <w:tc>
          <w:tcPr>
            <w:tcW w:w="8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1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r>
      <w:tr>
        <w:trPr>
          <w:trHeight w:val="277"/>
        </w:trPr>
        <w:tc>
          <w:tcPr>
            <w:tcW w:w="86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220" w:type="dxa"/>
            <w:vAlign w:val="bottom"/>
            <w:tcBorders>
              <w:bottom w:val="single" w:sz="8" w:color="auto"/>
            </w:tcBorders>
            <w:shd w:val="clear" w:color="auto" w:fill="CCEC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INCOME TAXES</w:t>
      </w:r>
    </w:p>
    <w:p>
      <w:pPr>
        <w:spacing w:after="0" w:line="18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determination of income tax expense in the unaudited condensed consolidated statements of operations is based upon the estimated effective tax rate for the year, adjusted for the impact of any discrete items which are accounted for in the period in which they occur. The Company recorded income tax expense of approximately 1.1% and nil of loss before taxes for the three months ended March 31, 2023 and 2022,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to Paradigm</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23" w:name="page24"/>
    <w:bookmarkEnd w:id="2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382"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After March 31, 2023, but before the issuance of these unaudited condensed consolidated financial statements, the Company made payments totaling approximately $1.3 million directly to Paradigm in place of Bitfury USA, in respect of manufacturing services for BBACs. The Company’s payment obligations to Bitfury USA under the Master Services and Supply Agreement were also reduced by the same amount related to these payments to Paradigm.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 Purchase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4, 2023, we entered into the Canaan Agreement with Canaan to purchase 11,000 new A1346 model miners to be delivered during the third quarter of 2023. The Company expects to fund its payment obligations for the purchase through its ongoing operations, including by selling bitcoin generated at its data centers. The Company plans to install the new miners at its Odessa Facility upon their arrival.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as well as our audited consolidated financial statements and related notes disclosed in our 2022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sections of our 2022 Form 10-K and this Quarterly Report and other factors set forth in other parts of this Quarterly Report.</w:t>
      </w:r>
    </w:p>
    <w:p>
      <w:pPr>
        <w:spacing w:after="0" w:line="142"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Quarterly Report to the “Company,” “Cipher,” “Cipher Mining,” “we,” “us” or “our” refers to Cipher Mining Inc. and its consolidated subsidiaries, unless otherwise indicated.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an emerging technology company that develops and operates industrial scale bitcoin mining data centers. Cipher Mining Inc., through itself and its consolidated subsidiaries, including Cipher Mining Technologies Inc. (“CMTI”), currently operates four bitcoin mining data centers in Texas. Bitcoin mining is our principal revenue generating business activity.</w:t>
      </w:r>
    </w:p>
    <w:p>
      <w:pPr>
        <w:spacing w:after="0" w:line="13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current intention is to continue to expand our bitcoin mining business by developing additional data centers, expanding capacity at our current data centers and entering into other arrangements, such as joint ventures or data center hosting agreements.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key mission is to expand and strengthen the Bitcoin network’s critical infrastructure. As of April 30, 2023, we operated approximately 69,500 miners, with an aggregate hashrate capacity of approximately 7.0 EH/s, deploying approximately 230 MW of electricity, of which we owned approximately 59,500 miners, with an aggregate hashrate capacity of approximately 6.0 EH/s, deploying approximately 199 MW of electricity.</w:t>
      </w:r>
    </w:p>
    <w:p>
      <w:pPr>
        <w:spacing w:after="0" w:line="1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operate four bitcoin mining data centers in Texas, including one wholly-owned and three partially-owned data centers acquired through investments in joint ventures. Our largest data center is our Odessa data center (the “Odessa Facility”), which is our wholly-owned 207 MW facility located in Odessa, Texas. We also operate our Alborz data center (the “Alborz Facility”), which is located near Happy, Texas and is partially-owned through a joint venture with WindHQ LLC (“WindHQ”). Our Bear data center (the “Bear Facility”) and our Chief data center (the “Chief Facility”) are both located near Andrews, Texas and are also partially-owned through separate joint ventures with WindHQ. We have a 49% membership interest in Alborz LLC, Bear LLC and Chief LLC, which own the Alborz Facility, the Bear Facility and the Chief Facility, respectively. By the end of the third quarter 2023, we anticipate operating approximately 80,500 miners, capable of generating approximately 8.2 EH/s across our sites, of which we will own approximately 70,500 miners, representing approximately 7.2 EH/s.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to Paradigm</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After March 31, 2023, but before the issuance of these unaudited condensed consolidated financial statements, we made payments totaling approximately $1.3 million directly to Paradigm Controls of Texas, LLC (“Paradigm”) in place of Bitfury USA Inc. (“Bitfury USA”), in respect of manufacturing services for BlockBox air-cooled containers (“BBACs”). Our payment obligations to Bitfury USA under a Master Services and Supply Agreement were also reduced by the same amount related to these payments to Paradigm.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 Purchase</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May 4, 2023, we entered into an agreement (the “Canaan Agreement”) with Canaan Creative Global Pte. Ltd. (“Canaan”) to purchase 11,000 new A1346 model miners to be delivered during the third quarter of 2023. The Company expects to fund its payment obligations for the purchase through its ongoing operations, including by selling bitcoin generated at its data centers. The Company plans to install the new miners at its Odessa Facility upon their arrival.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0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“Factors Affecting Our Results of Operations” in the Management’s Discussion and Analysis section of our 2022 Form 10-K. Our financial position and results of operations depend to a significant extent on those factors.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Summary of Bitcoin Mining Results</w:t>
      </w:r>
    </w:p>
    <w:p>
      <w:pPr>
        <w:spacing w:after="0" w:line="18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Bitcoin mining activities, including bitcoin production and sales of bitcoin (dollar amounts in thousands):</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459486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94860" cy="154305"/>
                    </a:xfrm>
                    <a:prstGeom prst="rect">
                      <a:avLst/>
                    </a:prstGeom>
                    <a:noFill/>
                  </pic:spPr>
                </pic:pic>
              </a:graphicData>
            </a:graphic>
          </wp:anchor>
        </w:drawing>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Bitcoin received from equity investees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Revenue recognized from bitcoin mined, net of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Proceeds from sale of bitcoin, net of realized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3429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Impairment of bitcoin</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Comparative Results for the Three Months Ended March 31, 2023 and 2022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222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300" w:type="dxa"/>
            <w:vAlign w:val="bottom"/>
          </w:tcPr>
          <w:p>
            <w:pPr>
              <w:spacing w:after="0"/>
              <w:rPr>
                <w:sz w:val="21"/>
                <w:szCs w:val="21"/>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43"/>
        </w:trPr>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00" w:type="dxa"/>
            <w:vAlign w:val="bottom"/>
            <w:shd w:val="clear" w:color="auto" w:fill="CCEEFF"/>
          </w:tcPr>
          <w:p>
            <w:pPr>
              <w:spacing w:after="0"/>
              <w:rPr>
                <w:sz w:val="21"/>
                <w:szCs w:val="21"/>
                <w:color w:val="auto"/>
              </w:rPr>
            </w:pPr>
          </w:p>
        </w:tc>
      </w:tr>
      <w:tr>
        <w:trPr>
          <w:trHeight w:val="234"/>
        </w:trPr>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0"/>
                <w:szCs w:val="20"/>
                <w:color w:val="auto"/>
              </w:rPr>
            </w:pPr>
          </w:p>
        </w:tc>
      </w:tr>
      <w:tr>
        <w:trPr>
          <w:trHeight w:val="238"/>
        </w:trPr>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21,717</w:t>
            </w:r>
          </w:p>
        </w:tc>
        <w:tc>
          <w:tcPr>
            <w:tcW w:w="100" w:type="dxa"/>
            <w:vAlign w:val="bottom"/>
          </w:tcPr>
          <w:p>
            <w:pPr>
              <w:spacing w:after="0"/>
              <w:rPr>
                <w:sz w:val="20"/>
                <w:szCs w:val="20"/>
                <w:color w:val="auto"/>
              </w:rPr>
            </w:pPr>
          </w:p>
        </w:tc>
      </w:tr>
      <w:tr>
        <w:trPr>
          <w:trHeight w:val="243"/>
        </w:trPr>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(939 )</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(16,936 )</w:t>
            </w:r>
          </w:p>
        </w:tc>
      </w:tr>
      <w:tr>
        <w:trPr>
          <w:trHeight w:val="250"/>
        </w:trPr>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(1,805 )</w:t>
            </w:r>
          </w:p>
        </w:tc>
      </w:tr>
      <w:tr>
        <w:trPr>
          <w:trHeight w:val="239"/>
        </w:trPr>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100" w:type="dxa"/>
            <w:vAlign w:val="bottom"/>
          </w:tcPr>
          <w:p>
            <w:pPr>
              <w:spacing w:after="0"/>
              <w:rPr>
                <w:sz w:val="20"/>
                <w:szCs w:val="20"/>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13" w:lineRule="exact"/>
        <w:rPr>
          <w:sz w:val="20"/>
          <w:szCs w:val="20"/>
          <w:color w:val="auto"/>
        </w:rPr>
      </w:pPr>
    </w:p>
    <w:p>
      <w:pPr>
        <w:sectPr>
          <w:pgSz w:w="11900" w:h="16838" w:orient="portrait"/>
          <w:cols w:equalWidth="0" w:num="2">
            <w:col w:w="6520" w:space="720"/>
            <w:col w:w="4000"/>
          </w:cols>
          <w:pgMar w:left="320" w:top="657" w:right="339" w:bottom="1440" w:gutter="0" w:footer="0" w:header="0"/>
          <w:type w:val="continuous"/>
        </w:sectPr>
      </w:pP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Pr>
          <w:p>
            <w:pPr>
              <w:spacing w:after="0"/>
              <w:rPr>
                <w:sz w:val="19"/>
                <w:szCs w:val="19"/>
                <w:color w:val="auto"/>
              </w:rPr>
            </w:pPr>
          </w:p>
        </w:tc>
        <w:tc>
          <w:tcPr>
            <w:tcW w:w="324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300" w:type="dxa"/>
            <w:vAlign w:val="bottom"/>
          </w:tcPr>
          <w:p>
            <w:pPr>
              <w:spacing w:after="0"/>
              <w:rPr>
                <w:sz w:val="19"/>
                <w:szCs w:val="19"/>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Revenue - bitcoin mining</w:t>
            </w:r>
          </w:p>
        </w:tc>
        <w:tc>
          <w:tcPr>
            <w:tcW w:w="1120" w:type="dxa"/>
            <w:vAlign w:val="bottom"/>
            <w:shd w:val="clear" w:color="auto" w:fill="CCEC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21,895</w:t>
            </w:r>
          </w:p>
        </w:tc>
        <w:tc>
          <w:tcPr>
            <w:tcW w:w="440" w:type="dxa"/>
            <w:vAlign w:val="bottom"/>
            <w:shd w:val="clear" w:color="auto" w:fill="CCECFF"/>
          </w:tcPr>
          <w:p>
            <w:pPr>
              <w:spacing w:after="0"/>
              <w:rPr>
                <w:sz w:val="19"/>
                <w:szCs w:val="19"/>
                <w:color w:val="auto"/>
              </w:rPr>
            </w:pPr>
          </w:p>
        </w:tc>
        <w:tc>
          <w:tcPr>
            <w:tcW w:w="1100" w:type="dxa"/>
            <w:vAlign w:val="bottom"/>
            <w:shd w:val="clear" w:color="auto" w:fill="CCEC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9"/>
                <w:szCs w:val="19"/>
                <w:color w:val="auto"/>
              </w:rPr>
            </w:pPr>
          </w:p>
        </w:tc>
      </w:tr>
      <w:tr>
        <w:trPr>
          <w:trHeight w:val="229"/>
        </w:trPr>
        <w:tc>
          <w:tcPr>
            <w:tcW w:w="7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112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440" w:type="dxa"/>
            <w:vAlign w:val="bottom"/>
            <w:shd w:val="clear" w:color="auto" w:fill="CCECFF"/>
          </w:tcPr>
          <w:p>
            <w:pPr>
              <w:spacing w:after="0"/>
              <w:rPr>
                <w:sz w:val="19"/>
                <w:szCs w:val="19"/>
                <w:color w:val="auto"/>
              </w:rPr>
            </w:pPr>
          </w:p>
        </w:tc>
        <w:tc>
          <w:tcPr>
            <w:tcW w:w="110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0"/>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8,141</w:t>
            </w: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3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2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17,420</w:t>
            </w:r>
          </w:p>
        </w:tc>
        <w:tc>
          <w:tcPr>
            <w:tcW w:w="440" w:type="dxa"/>
            <w:vAlign w:val="bottom"/>
            <w:shd w:val="clear" w:color="auto" w:fill="CCECFF"/>
          </w:tcPr>
          <w:p>
            <w:pPr>
              <w:spacing w:after="0"/>
              <w:rPr>
                <w:sz w:val="20"/>
                <w:szCs w:val="20"/>
                <w:color w:val="auto"/>
              </w:rPr>
            </w:pPr>
          </w:p>
        </w:tc>
        <w:tc>
          <w:tcPr>
            <w:tcW w:w="110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17,390</w:t>
            </w:r>
          </w:p>
        </w:tc>
        <w:tc>
          <w:tcPr>
            <w:tcW w:w="100" w:type="dxa"/>
            <w:vAlign w:val="bottom"/>
            <w:shd w:val="clear" w:color="auto" w:fill="CCECFF"/>
          </w:tcPr>
          <w:p>
            <w:pPr>
              <w:spacing w:after="0"/>
              <w:rPr>
                <w:sz w:val="20"/>
                <w:szCs w:val="20"/>
                <w:color w:val="auto"/>
              </w:rPr>
            </w:pPr>
          </w:p>
        </w:tc>
      </w:tr>
      <w:tr>
        <w:trPr>
          <w:trHeight w:val="220"/>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11,655</w:t>
            </w: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r>
      <w:tr>
        <w:trPr>
          <w:trHeight w:val="239"/>
        </w:trPr>
        <w:tc>
          <w:tcPr>
            <w:tcW w:w="73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112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6"/>
                <w:szCs w:val="16"/>
                <w:color w:val="auto"/>
              </w:rPr>
              <w:t>(5,328 )</w:t>
            </w:r>
          </w:p>
        </w:tc>
        <w:tc>
          <w:tcPr>
            <w:tcW w:w="110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 sales</w:t>
            </w:r>
          </w:p>
        </w:tc>
        <w:tc>
          <w:tcPr>
            <w:tcW w:w="11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(98 )</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3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Equity in losses of equity investees</w:t>
            </w:r>
          </w:p>
        </w:tc>
        <w:tc>
          <w:tcPr>
            <w:tcW w:w="112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440" w:type="dxa"/>
            <w:vAlign w:val="bottom"/>
            <w:shd w:val="clear" w:color="auto" w:fill="CCECFF"/>
          </w:tcPr>
          <w:p>
            <w:pPr>
              <w:spacing w:after="0"/>
              <w:rPr>
                <w:sz w:val="20"/>
                <w:szCs w:val="20"/>
                <w:color w:val="auto"/>
              </w:rPr>
            </w:pPr>
          </w:p>
        </w:tc>
        <w:tc>
          <w:tcPr>
            <w:tcW w:w="110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CFF"/>
          </w:tcPr>
          <w:p>
            <w:pPr>
              <w:spacing w:after="0"/>
              <w:rPr>
                <w:sz w:val="20"/>
                <w:szCs w:val="20"/>
                <w:color w:val="auto"/>
              </w:rPr>
            </w:pPr>
          </w:p>
        </w:tc>
      </w:tr>
      <w:tr>
        <w:trPr>
          <w:trHeight w:val="220"/>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Realized gain on sale of bitcoin</w:t>
            </w:r>
          </w:p>
        </w:tc>
        <w:tc>
          <w:tcPr>
            <w:tcW w:w="11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(4,021 )</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3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Impairment of bitcoin</w:t>
            </w:r>
          </w:p>
        </w:tc>
        <w:tc>
          <w:tcPr>
            <w:tcW w:w="112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440" w:type="dxa"/>
            <w:vAlign w:val="bottom"/>
            <w:shd w:val="clear" w:color="auto" w:fill="CCECFF"/>
          </w:tcPr>
          <w:p>
            <w:pPr>
              <w:spacing w:after="0"/>
              <w:rPr>
                <w:sz w:val="20"/>
                <w:szCs w:val="20"/>
                <w:color w:val="auto"/>
              </w:rPr>
            </w:pPr>
          </w:p>
        </w:tc>
        <w:tc>
          <w:tcPr>
            <w:tcW w:w="110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CFF"/>
          </w:tcPr>
          <w:p>
            <w:pPr>
              <w:spacing w:after="0"/>
              <w:rPr>
                <w:sz w:val="20"/>
                <w:szCs w:val="20"/>
                <w:color w:val="auto"/>
              </w:rPr>
            </w:pPr>
          </w:p>
        </w:tc>
      </w:tr>
      <w:tr>
        <w:trPr>
          <w:trHeight w:val="226"/>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gains</w:t>
            </w:r>
          </w:p>
        </w:tc>
        <w:tc>
          <w:tcPr>
            <w:tcW w:w="11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(2,260 )</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23"/>
        </w:trPr>
        <w:tc>
          <w:tcPr>
            <w:tcW w:w="7300" w:type="dxa"/>
            <w:vAlign w:val="bottom"/>
            <w:tcBorders>
              <w:bottom w:val="single" w:sz="8" w:color="CCECFF"/>
            </w:tcBorders>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120" w:type="dxa"/>
            <w:vAlign w:val="bottom"/>
            <w:tcBorders>
              <w:top w:val="single" w:sz="8" w:color="auto"/>
              <w:bottom w:val="single" w:sz="8" w:color="auto"/>
            </w:tcBorders>
            <w:shd w:val="clear" w:color="auto" w:fill="CCECFF"/>
          </w:tcPr>
          <w:p>
            <w:pPr>
              <w:spacing w:after="0"/>
              <w:rPr>
                <w:sz w:val="19"/>
                <w:szCs w:val="19"/>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28,064</w:t>
            </w:r>
          </w:p>
        </w:tc>
        <w:tc>
          <w:tcPr>
            <w:tcW w:w="440" w:type="dxa"/>
            <w:vAlign w:val="bottom"/>
            <w:tcBorders>
              <w:bottom w:val="single" w:sz="8" w:color="CCECFF"/>
            </w:tcBorders>
            <w:shd w:val="clear" w:color="auto" w:fill="CCECFF"/>
          </w:tcPr>
          <w:p>
            <w:pPr>
              <w:spacing w:after="0"/>
              <w:rPr>
                <w:sz w:val="19"/>
                <w:szCs w:val="19"/>
                <w:color w:val="auto"/>
              </w:rPr>
            </w:pPr>
          </w:p>
        </w:tc>
        <w:tc>
          <w:tcPr>
            <w:tcW w:w="1100" w:type="dxa"/>
            <w:vAlign w:val="bottom"/>
            <w:tcBorders>
              <w:top w:val="single" w:sz="8" w:color="auto"/>
              <w:bottom w:val="single" w:sz="8" w:color="auto"/>
            </w:tcBorders>
            <w:shd w:val="clear" w:color="auto" w:fill="CCECFF"/>
          </w:tcPr>
          <w:p>
            <w:pPr>
              <w:spacing w:after="0"/>
              <w:rPr>
                <w:sz w:val="19"/>
                <w:szCs w:val="19"/>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17,554</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23"/>
        </w:trPr>
        <w:tc>
          <w:tcPr>
            <w:tcW w:w="7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Operating loss</w:t>
            </w:r>
          </w:p>
        </w:tc>
        <w:tc>
          <w:tcPr>
            <w:tcW w:w="11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(6,169 )</w:t>
            </w:r>
          </w:p>
        </w:tc>
        <w:tc>
          <w:tcPr>
            <w:tcW w:w="1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(17,554 )</w:t>
            </w:r>
          </w:p>
        </w:tc>
      </w:tr>
      <w:tr>
        <w:trPr>
          <w:trHeight w:val="226"/>
        </w:trPr>
        <w:tc>
          <w:tcPr>
            <w:tcW w:w="7300" w:type="dxa"/>
            <w:vAlign w:val="bottom"/>
            <w:shd w:val="clear" w:color="auto" w:fill="CCECFF"/>
          </w:tcPr>
          <w:p>
            <w:pPr>
              <w:spacing w:after="0"/>
              <w:rPr>
                <w:sz w:val="19"/>
                <w:szCs w:val="19"/>
                <w:color w:val="auto"/>
              </w:rPr>
            </w:pPr>
          </w:p>
        </w:tc>
        <w:tc>
          <w:tcPr>
            <w:tcW w:w="1120" w:type="dxa"/>
            <w:vAlign w:val="bottom"/>
            <w:tcBorders>
              <w:top w:val="single" w:sz="8" w:color="auto"/>
            </w:tcBorders>
            <w:shd w:val="clear" w:color="auto" w:fill="CCECFF"/>
          </w:tcPr>
          <w:p>
            <w:pPr>
              <w:spacing w:after="0"/>
              <w:rPr>
                <w:sz w:val="19"/>
                <w:szCs w:val="19"/>
                <w:color w:val="auto"/>
              </w:rPr>
            </w:pPr>
          </w:p>
        </w:tc>
        <w:tc>
          <w:tcPr>
            <w:tcW w:w="580" w:type="dxa"/>
            <w:vAlign w:val="bottom"/>
            <w:tcBorders>
              <w:top w:val="single" w:sz="8" w:color="auto"/>
            </w:tcBorders>
            <w:shd w:val="clear" w:color="auto" w:fill="CCECFF"/>
          </w:tcPr>
          <w:p>
            <w:pPr>
              <w:spacing w:after="0"/>
              <w:rPr>
                <w:sz w:val="19"/>
                <w:szCs w:val="19"/>
                <w:color w:val="auto"/>
              </w:rPr>
            </w:pPr>
          </w:p>
        </w:tc>
        <w:tc>
          <w:tcPr>
            <w:tcW w:w="440" w:type="dxa"/>
            <w:vAlign w:val="bottom"/>
            <w:shd w:val="clear" w:color="auto" w:fill="CCECFF"/>
          </w:tcPr>
          <w:p>
            <w:pPr>
              <w:spacing w:after="0"/>
              <w:rPr>
                <w:sz w:val="19"/>
                <w:szCs w:val="19"/>
                <w:color w:val="auto"/>
              </w:rPr>
            </w:pPr>
          </w:p>
        </w:tc>
        <w:tc>
          <w:tcPr>
            <w:tcW w:w="1100" w:type="dxa"/>
            <w:vAlign w:val="bottom"/>
            <w:tcBorders>
              <w:top w:val="single" w:sz="8" w:color="auto"/>
            </w:tcBorders>
            <w:shd w:val="clear" w:color="auto" w:fill="CCECFF"/>
          </w:tcPr>
          <w:p>
            <w:pPr>
              <w:spacing w:after="0"/>
              <w:rPr>
                <w:sz w:val="19"/>
                <w:szCs w:val="19"/>
                <w:color w:val="auto"/>
              </w:rPr>
            </w:pPr>
          </w:p>
        </w:tc>
        <w:tc>
          <w:tcPr>
            <w:tcW w:w="600" w:type="dxa"/>
            <w:vAlign w:val="bottom"/>
            <w:tcBorders>
              <w:top w:val="single" w:sz="8" w:color="auto"/>
            </w:tcBorders>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0"/>
        </w:trPr>
        <w:tc>
          <w:tcPr>
            <w:tcW w:w="7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income (expense)</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3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1120" w:type="dxa"/>
            <w:vAlign w:val="bottom"/>
            <w:shd w:val="clear" w:color="auto" w:fill="CCECFF"/>
          </w:tcPr>
          <w:p>
            <w:pPr>
              <w:spacing w:after="0"/>
              <w:rPr>
                <w:sz w:val="20"/>
                <w:szCs w:val="20"/>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40" w:type="dxa"/>
            <w:vAlign w:val="bottom"/>
            <w:shd w:val="clear" w:color="auto" w:fill="CCECFF"/>
          </w:tcPr>
          <w:p>
            <w:pPr>
              <w:spacing w:after="0"/>
              <w:rPr>
                <w:sz w:val="20"/>
                <w:szCs w:val="20"/>
                <w:color w:val="auto"/>
              </w:rPr>
            </w:pPr>
          </w:p>
        </w:tc>
        <w:tc>
          <w:tcPr>
            <w:tcW w:w="110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CFF"/>
          </w:tcPr>
          <w:p>
            <w:pPr>
              <w:spacing w:after="0"/>
              <w:rPr>
                <w:sz w:val="20"/>
                <w:szCs w:val="20"/>
                <w:color w:val="auto"/>
              </w:rPr>
            </w:pPr>
          </w:p>
        </w:tc>
      </w:tr>
      <w:tr>
        <w:trPr>
          <w:trHeight w:val="220"/>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11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(401 )</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6"/>
        </w:trPr>
        <w:tc>
          <w:tcPr>
            <w:tcW w:w="73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12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6"/>
                <w:szCs w:val="16"/>
                <w:color w:val="auto"/>
              </w:rPr>
              <w:t>(37 )</w:t>
            </w:r>
          </w:p>
        </w:tc>
        <w:tc>
          <w:tcPr>
            <w:tcW w:w="110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CFF"/>
          </w:tcPr>
          <w:p>
            <w:pPr>
              <w:spacing w:after="0"/>
              <w:rPr>
                <w:sz w:val="20"/>
                <w:szCs w:val="20"/>
                <w:color w:val="auto"/>
              </w:rPr>
            </w:pPr>
          </w:p>
        </w:tc>
      </w:tr>
      <w:tr>
        <w:trPr>
          <w:trHeight w:val="20"/>
        </w:trPr>
        <w:tc>
          <w:tcPr>
            <w:tcW w:w="730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CCEC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23"/>
        </w:trPr>
        <w:tc>
          <w:tcPr>
            <w:tcW w:w="73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1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(362 )</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9"/>
                <w:szCs w:val="19"/>
                <w:color w:val="auto"/>
              </w:rPr>
            </w:pPr>
          </w:p>
        </w:tc>
      </w:tr>
      <w:tr>
        <w:trPr>
          <w:trHeight w:val="226"/>
        </w:trPr>
        <w:tc>
          <w:tcPr>
            <w:tcW w:w="7300" w:type="dxa"/>
            <w:vAlign w:val="bottom"/>
            <w:shd w:val="clear" w:color="auto" w:fill="CCECFF"/>
          </w:tcPr>
          <w:p>
            <w:pPr>
              <w:spacing w:after="0"/>
              <w:rPr>
                <w:sz w:val="19"/>
                <w:szCs w:val="19"/>
                <w:color w:val="auto"/>
              </w:rPr>
            </w:pPr>
          </w:p>
        </w:tc>
        <w:tc>
          <w:tcPr>
            <w:tcW w:w="1120" w:type="dxa"/>
            <w:vAlign w:val="bottom"/>
            <w:tcBorders>
              <w:top w:val="single" w:sz="8" w:color="auto"/>
            </w:tcBorders>
            <w:shd w:val="clear" w:color="auto" w:fill="CCECFF"/>
          </w:tcPr>
          <w:p>
            <w:pPr>
              <w:spacing w:after="0"/>
              <w:rPr>
                <w:sz w:val="19"/>
                <w:szCs w:val="19"/>
                <w:color w:val="auto"/>
              </w:rPr>
            </w:pPr>
          </w:p>
        </w:tc>
        <w:tc>
          <w:tcPr>
            <w:tcW w:w="580" w:type="dxa"/>
            <w:vAlign w:val="bottom"/>
            <w:tcBorders>
              <w:top w:val="single" w:sz="8" w:color="auto"/>
            </w:tcBorders>
            <w:shd w:val="clear" w:color="auto" w:fill="CCECFF"/>
          </w:tcPr>
          <w:p>
            <w:pPr>
              <w:spacing w:after="0"/>
              <w:rPr>
                <w:sz w:val="19"/>
                <w:szCs w:val="19"/>
                <w:color w:val="auto"/>
              </w:rPr>
            </w:pPr>
          </w:p>
        </w:tc>
        <w:tc>
          <w:tcPr>
            <w:tcW w:w="440" w:type="dxa"/>
            <w:vAlign w:val="bottom"/>
            <w:shd w:val="clear" w:color="auto" w:fill="CCECFF"/>
          </w:tcPr>
          <w:p>
            <w:pPr>
              <w:spacing w:after="0"/>
              <w:rPr>
                <w:sz w:val="19"/>
                <w:szCs w:val="19"/>
                <w:color w:val="auto"/>
              </w:rPr>
            </w:pPr>
          </w:p>
        </w:tc>
        <w:tc>
          <w:tcPr>
            <w:tcW w:w="1100" w:type="dxa"/>
            <w:vAlign w:val="bottom"/>
            <w:tcBorders>
              <w:top w:val="single" w:sz="8" w:color="auto"/>
            </w:tcBorders>
            <w:shd w:val="clear" w:color="auto" w:fill="CCECFF"/>
          </w:tcPr>
          <w:p>
            <w:pPr>
              <w:spacing w:after="0"/>
              <w:rPr>
                <w:sz w:val="19"/>
                <w:szCs w:val="19"/>
                <w:color w:val="auto"/>
              </w:rPr>
            </w:pPr>
          </w:p>
        </w:tc>
        <w:tc>
          <w:tcPr>
            <w:tcW w:w="600" w:type="dxa"/>
            <w:vAlign w:val="bottom"/>
            <w:tcBorders>
              <w:top w:val="single" w:sz="8" w:color="auto"/>
            </w:tcBorders>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0"/>
        </w:trPr>
        <w:tc>
          <w:tcPr>
            <w:tcW w:w="7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Loss before taxes</w:t>
            </w:r>
          </w:p>
        </w:tc>
        <w:tc>
          <w:tcPr>
            <w:tcW w:w="11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(6,531 )</w:t>
            </w:r>
          </w:p>
        </w:tc>
        <w:tc>
          <w:tcPr>
            <w:tcW w:w="1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(17,499 )</w:t>
            </w:r>
          </w:p>
        </w:tc>
      </w:tr>
      <w:tr>
        <w:trPr>
          <w:trHeight w:val="239"/>
        </w:trPr>
        <w:tc>
          <w:tcPr>
            <w:tcW w:w="7300" w:type="dxa"/>
            <w:vAlign w:val="bottom"/>
            <w:shd w:val="clear" w:color="auto" w:fill="CCECFF"/>
          </w:tcPr>
          <w:p>
            <w:pPr>
              <w:spacing w:after="0"/>
              <w:rPr>
                <w:sz w:val="20"/>
                <w:szCs w:val="20"/>
                <w:color w:val="auto"/>
              </w:rPr>
            </w:pPr>
          </w:p>
        </w:tc>
        <w:tc>
          <w:tcPr>
            <w:tcW w:w="112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spacing w:after="0"/>
              <w:rPr>
                <w:sz w:val="20"/>
                <w:szCs w:val="20"/>
                <w:color w:val="auto"/>
              </w:rPr>
            </w:pPr>
          </w:p>
        </w:tc>
        <w:tc>
          <w:tcPr>
            <w:tcW w:w="1100" w:type="dxa"/>
            <w:vAlign w:val="bottom"/>
            <w:shd w:val="clear" w:color="auto" w:fill="CCECFF"/>
          </w:tcPr>
          <w:p>
            <w:pPr>
              <w:spacing w:after="0"/>
              <w:rPr>
                <w:sz w:val="20"/>
                <w:szCs w:val="20"/>
                <w:color w:val="auto"/>
              </w:rPr>
            </w:pPr>
          </w:p>
        </w:tc>
        <w:tc>
          <w:tcPr>
            <w:tcW w:w="6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20"/>
        </w:trPr>
        <w:tc>
          <w:tcPr>
            <w:tcW w:w="7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11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(17 )</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6"/>
        </w:trPr>
        <w:tc>
          <w:tcPr>
            <w:tcW w:w="73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112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6"/>
                <w:szCs w:val="16"/>
                <w:color w:val="auto"/>
              </w:rPr>
              <w:t>(53 )</w:t>
            </w:r>
          </w:p>
        </w:tc>
        <w:tc>
          <w:tcPr>
            <w:tcW w:w="110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0"/>
        </w:trPr>
        <w:tc>
          <w:tcPr>
            <w:tcW w:w="7300" w:type="dxa"/>
            <w:vAlign w:val="bottom"/>
            <w:shd w:val="clear" w:color="auto" w:fill="CCEC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CCEC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23"/>
        </w:trPr>
        <w:tc>
          <w:tcPr>
            <w:tcW w:w="7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income tax expense</w:t>
            </w:r>
          </w:p>
        </w:tc>
        <w:tc>
          <w:tcPr>
            <w:tcW w:w="11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(70 )</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26"/>
        </w:trPr>
        <w:tc>
          <w:tcPr>
            <w:tcW w:w="7300" w:type="dxa"/>
            <w:vAlign w:val="bottom"/>
            <w:shd w:val="clear" w:color="auto" w:fill="CCECFF"/>
          </w:tcPr>
          <w:p>
            <w:pPr>
              <w:spacing w:after="0"/>
              <w:rPr>
                <w:sz w:val="19"/>
                <w:szCs w:val="19"/>
                <w:color w:val="auto"/>
              </w:rPr>
            </w:pPr>
          </w:p>
        </w:tc>
        <w:tc>
          <w:tcPr>
            <w:tcW w:w="1120" w:type="dxa"/>
            <w:vAlign w:val="bottom"/>
            <w:tcBorders>
              <w:top w:val="single" w:sz="8" w:color="auto"/>
            </w:tcBorders>
            <w:shd w:val="clear" w:color="auto" w:fill="CCECFF"/>
          </w:tcPr>
          <w:p>
            <w:pPr>
              <w:spacing w:after="0"/>
              <w:rPr>
                <w:sz w:val="19"/>
                <w:szCs w:val="19"/>
                <w:color w:val="auto"/>
              </w:rPr>
            </w:pPr>
          </w:p>
        </w:tc>
        <w:tc>
          <w:tcPr>
            <w:tcW w:w="580" w:type="dxa"/>
            <w:vAlign w:val="bottom"/>
            <w:tcBorders>
              <w:top w:val="single" w:sz="8" w:color="auto"/>
            </w:tcBorders>
            <w:shd w:val="clear" w:color="auto" w:fill="CCECFF"/>
          </w:tcPr>
          <w:p>
            <w:pPr>
              <w:spacing w:after="0"/>
              <w:rPr>
                <w:sz w:val="19"/>
                <w:szCs w:val="19"/>
                <w:color w:val="auto"/>
              </w:rPr>
            </w:pPr>
          </w:p>
        </w:tc>
        <w:tc>
          <w:tcPr>
            <w:tcW w:w="440" w:type="dxa"/>
            <w:vAlign w:val="bottom"/>
            <w:shd w:val="clear" w:color="auto" w:fill="CCECFF"/>
          </w:tcPr>
          <w:p>
            <w:pPr>
              <w:spacing w:after="0"/>
              <w:rPr>
                <w:sz w:val="19"/>
                <w:szCs w:val="19"/>
                <w:color w:val="auto"/>
              </w:rPr>
            </w:pPr>
          </w:p>
        </w:tc>
        <w:tc>
          <w:tcPr>
            <w:tcW w:w="1100" w:type="dxa"/>
            <w:vAlign w:val="bottom"/>
            <w:tcBorders>
              <w:top w:val="single" w:sz="8" w:color="auto"/>
            </w:tcBorders>
            <w:shd w:val="clear" w:color="auto" w:fill="CCECFF"/>
          </w:tcPr>
          <w:p>
            <w:pPr>
              <w:spacing w:after="0"/>
              <w:rPr>
                <w:sz w:val="19"/>
                <w:szCs w:val="19"/>
                <w:color w:val="auto"/>
              </w:rPr>
            </w:pPr>
          </w:p>
        </w:tc>
        <w:tc>
          <w:tcPr>
            <w:tcW w:w="600" w:type="dxa"/>
            <w:vAlign w:val="bottom"/>
            <w:tcBorders>
              <w:top w:val="single" w:sz="8" w:color="auto"/>
            </w:tcBorders>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30"/>
        </w:trPr>
        <w:tc>
          <w:tcPr>
            <w:tcW w:w="7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(6,601 )</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(17,499 )</w:t>
            </w:r>
          </w:p>
        </w:tc>
      </w:tr>
      <w:tr>
        <w:trPr>
          <w:trHeight w:val="20"/>
        </w:trPr>
        <w:tc>
          <w:tcPr>
            <w:tcW w:w="7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-2262505</wp:posOffset>
            </wp:positionV>
            <wp:extent cx="68580"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-1370965</wp:posOffset>
            </wp:positionV>
            <wp:extent cx="6858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-479425</wp:posOffset>
            </wp:positionV>
            <wp:extent cx="68580" cy="162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162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Bitcoin mining operations at our Odessa Facility mined 943 bitcoin and generated revenue of $21.9 million for the three months ended March 31, 2023, at an average price per bitcoin of $22,740. The Odessa Facility began mining operations in mid-November 2022, therefore, we did not earn revenue from bitcoin mining during the three months ended March 31,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0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Cost of revenue for the three months ended March 31, 2023 was $8.1 million and consisted primarily of power costs at the Odessa Facility as delivered under our power purchase agreement with Luminant ET Services Company LLC (the “Luminant Power Agreement”), as well as maintenance expenses for mining equipment. Power costs for the three months ended March 31, 2023 included $1.0 million of power costs related to the year ended December 31, 2022 that were recorded as an out-of-period adjustment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26" w:name="page27"/>
    <w:bookmarkEnd w:id="26"/>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current reporting period. We incurred no costs of revenue during the three months ended March 31, 2022 as the Odessa Facility did not begin its bitcoin mining operations until mid-November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comparable at $17.4 million for the three months ended March 31, 2023 and 2022. The increase was primarily driven by increases of $2.4 million for payroll and payroll-related benefits due to increasing headcount and $0.6 million for office supplies and software. These increases were partially offset by decreases of $1.0 million for state and franchise taxes, $0.9 million for legal expenses, $0.7 million for share-based compensation costs and $0.4 million for business insurance. Legal expenses were higher during the three months ended March 31, 2022 in part due to legal expenses associated with the waiver, lock-up and board observer agreements that we entered into in early April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Depreciation for the three months ended March 31, 2023 was $11.7 million, an increase of $11.7 million over depreciation expense for the three months ended March 31, 2022, which was immaterial. The increase was primarily due to miners, mining equipment and leasehold improvements at the Odessa Facility being placed into service beginning in November 2022, with additional miners and mining-related assets placed into service during the three months ended March 31, 2023 as we continued to expand capacity at the Odessa Facility. Also included in depreciation is the amortization of our finance lease right-of-use asset for our Interconnection Electrical Facilities (as defined below) that provides power to the Odessa Facility, as well as accretion of our estimated asset retirement obligation related to the Odessa Facility and depreciation of the associated capitalized costs.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asset</w:t>
      </w:r>
    </w:p>
    <w:p>
      <w:pPr>
        <w:spacing w:after="0" w:line="18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change in the fair value of our derivative asset related to the Luminant Power Agreement resulted in a gain of $5.3 million during the three months ended March 31, 2023. The gain was primarily due to the change in the power market forward curve as compared to the curve as of December 31, 2022. The Luminant Power Agreement was not effective during the three months ended March 31,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sales</w:t>
      </w:r>
    </w:p>
    <w:p>
      <w:pPr>
        <w:spacing w:after="0" w:line="187"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In accordance with the Luminant Power Agreement, we sold excess electricity that is available under the Luminant Power Agreement, but not needed in our mining operations at the Odessa Facility, back to the ERCOT market through Luminant for which we received proceeds of $0.1 million for the three months ended March 31, 2023. Power sales for the three months ended March 31, 2023 included $0.6 million for sales of power that occurred during the year ended December 31, 2022 that were recorded as an out-of-period adjustment during the current reporting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losses of equity investees</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Equity in losses of equity investees totaled approximately $0.8 million for the three months ended March 31, 2023, an increase of $0.6 million from approximately $0.2 million for the three months ended March 31, 2022. Equity in losses of equity investees consists of our 49% share in the earnings (losses) generated by our three partially-owned mining sites and also includes accretion of the basis differences in our investments in the equity investees that resulted from contributions of miners during the year ended December 31, 2022 with values at the time of the contributions that were less than the costs we paid to obtain the miners. We are accreting these basis differences over the five-year useful life of the miners. Our share of the losses in the mining operations of Alborz LLC, Bear LLC and Chief LLC increased to approximately $2.4 million for the three months ended March 31, 2023 from approximately $0.2 million for the three months ended March 31, 2022. During the current three month period, all three sites were fully operational, whereas in the prior year period, only Alborz LLC had begun mining operations with a limited number of miners prior to March 31, 2022. We recognized approximately $1.7 million and nil for the three months ended March 31, 2023 and 2022, respectively, for the accretion of basis differences.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gain on sale of bitcoin</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Realized gain on sale of bitcoin was $4.0 million during the three months ended March 31, 2023. We began selling a portion of our bitcoin holdings at the start of 2023 to support our operations and cash requirements. We did not sell any bitcoin during the three months ended March 31,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bitcoin</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recognized a total of approximately $1.8 million of impairment on our bitcoin holdings during the three months ended March 31, 2023. Impairment of bitcoin for the three months ended March 31, 2022 was immaterial.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Other gains</w:t>
      </w:r>
    </w:p>
    <w:p>
      <w:pPr>
        <w:spacing w:after="0" w:line="20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recognized proceeds of approximately $2.3 million during the three months ended March 31, 2023 related to the sale of transferrable coupons received from Bitmain Technologies Limited (“Bitmain”) during fiscal year 2022. These coupons could be redeemed by us only through the purchase of additional miners from Bitmain prior to the April 2023 expiration date, however, we did not expect to use them and instead sold the coupons to a third party that approached us with interest to purchase them.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expense totaled $0.4 million for the three months ended March 31, 2023, consisting mainly of $0.4 million of interest expense recognized related to our finance lease for the Interconnection Electrical Facilities. Other income for the three months ended March 31, 2022 was approximately $0.1 million and was primarily the result of a decrease in the fair value of our warrant liability.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Income tax expense totaled $0.1 million, or 1.1%, and nil for the three months ended March 31, 2023 and 2022, respectively, and was determined using the estimated effective tax rate for the year, adjusted for the impact of any discrete items which are accounted for in the period in which they occur.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generated cash flows from operations of $10.8 million for the three months ended March 31, 2023. As of March 31, 2023, we had cash and cash equivalents of $3.9 million, total stockholders’ equity of $344.6 million and an accumulated deficit of $117.8 million. For our fiscal years ended December 31, 2022 and 2021, in large part, we relied on proceeds from the consummation of our business combination with Good Works Acquisition Corp. (“GWAC’) to fund our operations; however, during the three months ended March 31, 2023, we utilized proceeds from sales of bitcoin earned by or received from its bitcoin mining data centers to support operating expenses. During the three months ended March 31, 2023, we sold 939 bitcoin for proceeds of approximately $21.0 million. On May 4, 2023, we entered into the Canaan Agreement with Canaan to purchase 11,000 new A1346 model miners to be delivered during the third quarter of 2023. The Company expects to fund its payment obligations for the purchase through its ongoing operations, including by selling bitcoin generated at its data centers. The Company plans to install the new miners at its Odessa Facility upon their arrival.</w:t>
      </w:r>
    </w:p>
    <w:p>
      <w:pPr>
        <w:spacing w:after="0" w:line="1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Management expects to incur ongoing capital expenditures in the first half of 2023 related to the Odessa Facility that will require resources beyond our existing financial resources as of March 31, 2023. Management intends to continue with the infrastructure buildout at the Odessa Facility to get the site to full capacity in support of our current business plans. Management believes that our existing financial resources, combined with projected cash and bitcoin inflows from its data centers and its intent and ability to sell bitcoin received or earned, will be sufficient to enable us to meet our operating and capital requirements for at least 12 months from the date these unaudited condensed consolidated financial statements are issued.</w:t>
      </w:r>
    </w:p>
    <w:p>
      <w:pPr>
        <w:spacing w:after="0" w:line="1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September 21, 2022, the Company filed with the SEC a shelf registration statement on Form S-3, which was declared effective on October 6, 2022 (the “Registration Statement”). In connection with the filing of the Registration Statement, the Company also entered into an at-the market offering agreement (the “Sales Agreement”) with H.C. Wainwright &amp; Co., LLC (the “Agent”), under which the Company may, from time to time, sell shares of its Common Stock having an aggregate offering price of up to $250.0 million in “at-the-market” offerings through the Agent, which is included in the $500.0 million of securities that may be offered pursuant to the Registration Statement.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14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7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10,816</w:t>
            </w: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9"/>
        </w:trPr>
        <w:tc>
          <w:tcPr>
            <w:tcW w:w="4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(18,340 )</w:t>
            </w:r>
          </w:p>
        </w:tc>
        <w:tc>
          <w:tcPr>
            <w:tcW w:w="10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(103,973 )</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7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(481 )</w:t>
            </w:r>
          </w:p>
        </w:tc>
        <w:tc>
          <w:tcPr>
            <w:tcW w:w="10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(3,052 )</w:t>
            </w: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700" w:type="dxa"/>
            <w:vAlign w:val="bottom"/>
          </w:tcPr>
          <w:p>
            <w:pPr>
              <w:spacing w:after="0"/>
              <w:rPr>
                <w:sz w:val="20"/>
                <w:szCs w:val="20"/>
                <w:color w:val="auto"/>
              </w:rPr>
            </w:pP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(8,005 )</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(110,346 )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70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26</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2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-685165</wp:posOffset>
            </wp:positionV>
            <wp:extent cx="6858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increased $14.1 million to $10.8 million for the three months ended March 31, 2023 from net cash used of $3.3 million for the three months ended March 31, 2022. Net loss improved $10.9 million to $6.6 million for the three months ended March 31, 2023 from $17.5 million for the three months ended three months ended March 31, 2022. Net loss impact to cash flows was affected by a $17.1 million decrease in non-cash items, which primarily consisted of changes in non-cash income items as follows: $21.7 million for bitcoin received as payment from our mining pool operator, $5.3 million for the change in fair value of the Luminant Power Agreement derivative asset, and $4.0 million for realized gains on sales of bitcoin; partially offset by non-cash expense items including depreciation of $11.6 million and bitcoin impairment of $1.8 million. Additionally, changes in assets and liabilities resulted in an increase in cash provided of $20.3 million between the three months ended March 31, 2023 and 2022. This increase in cash provided was due primarily to proceeds of $21.0 million from the sale of bitcoin, a $2.8 million increase in accounts payable and a $1.0 million increase in security deposits, partially offset by a $2.8 million decrease in accrued expenses and other current liabilities related primarily to sales taxes paid during the current period and a $1.5 million decrease in accounts payable to related parties.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by $85.6 million to $18.3 million for the three months ended March 31, 2023 from $104.0 million for the three months ended March 31, 2022, primarily related to a decrease of $95.8 million for payments of deposits for miners and mining equipment and offset by a $10.9 million increase in purchases of property and equipment related to our continued build out of the infrastructure at our Odessa Facility.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decreased to $0.5 million for the three months ended March 31, 2023 from $3.1 million for the three months ended March 31, 2022 entirely related to our repurchase of shares to cover tax obligations of employees resulting from the vesting of RSUs during the respective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Business History; Need for Additional Capital</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There is limited historical financial information about us upon which to base an evaluation of our performance. Our business is subject to risks inherent in the establishment of a new business enterprise, including limited capital resources, possible delays in exploration and/or development, and possible cost overruns due to price and cost increases in services. We have no current intention of entering into a merger or acquisition within the next 12 months. We may require additional capital to pursue certain business opportunities or respond to technological advancements, competitive dynamics or technologies, customer demands, challenges, acquisitions or unforeseen circumstances. Additionally, we have incurred and expect to continue to incur significant costs related to becoming a public company. Accordingly, we may engage in equity or debt financings or enter into credit facilities for the above-mentioned or other reasons; however, we may not be able to timely secure additional debt or equity financings on favorable terms, if at all. If we raise additional funds through equity financing, our existing stockholders could experience significant dilution. Furthermore, any debt financing obtained by us in the future could involve restrictive covenants relating to our capital raising activities and other financial and operational matters, which may make it more difficult for us to obtain additional capital and to pursue business opportunities. If we are unable to obtain adequate financing on terms that are satisfactory to us, when we require it, our ability to continue to grow or support the business and to respond to business challenges could be significantly limited, which may adversely affect our business plan. For risks associated with this, see “Risks Factors—Risks Related to Our Business, Industry and Operations—We may need to raise additional capital, which may not be available on terms acceptable to us, or at all” in our 2022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December 17, 2021, we entered into a lease agreement for executive office space, with an effective term that commenced on February 1, 2022 and monthly rent payments of approximately $0.1 million. The initial lease term is for a period of five years and four months.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also entered into a series of agreements with affiliates of Luminant ET Services Company LLC ( “Luminant”), including the Lease Agreement dated June 29, 2021, with amendment and restatement on July 9, 2021 (as amended and restated, the “Luminant Lease Agreement”). The Luminant Lease Agreement leases a plot of land to us where our data center, ancillary infrastructure and electrical system (the “Interconnection Electrical Facilities” or “substation”) have been set up for our Odessa Facility. We entered into the Luminant Lease Agreement and the Luminant Purchase and Sale Agreement to build the infrastructure necessary to support our planned operations. Management determined that the Luminant Lease Agreement and the Luminant Purchase and Sale Agreement should be combined for accounting purposes under ASC 842 (collectively, the “Combined Luminant Lease Agreement”) and that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amounts exchanged under the combined contract should be allocated to the various components of the overall transaction based on relative fair values.</w:t>
      </w:r>
    </w:p>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management determined that the Combined Luminant Lease Agreement contains two lease components; and the components should be accounted for together as a single lease component, because the effect of accounting for the land lease separately would be insignificant. Financing for use of the land and substation is provided by Luminant affiliates, with monthly installments of principal and interest due over a five-year period starting upon transfer of legal title of the substation to us (estimated total undiscounted principal payments of approximately $15.0 million).</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Since commencement, we have not made any payments for rent of the Interconnection Electrical Facilities, but we have recorded an accrual of approximately $1.4 million for the estimated payments due under the Luminant Lease Agreement. At the end of the lease term for the Interconnection Electrical Facilities, the substation will be sold back to Luminant’s affiliate, Vistra Operations Company, LLC at a price to be determined based upon bids obtained in the secondary market.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Mining and Mining Equipment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we had the following contractual obligations and other commitments for miners and other mining equipment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Shipping</w:t>
            </w:r>
          </w:p>
        </w:tc>
      </w:tr>
      <w:tr>
        <w:trPr>
          <w:trHeight w:val="203"/>
        </w:trPr>
        <w:tc>
          <w:tcPr>
            <w:tcW w:w="4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Open Purchase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Deposits</w:t>
            </w:r>
          </w:p>
        </w:tc>
        <w:tc>
          <w:tcPr>
            <w:tcW w:w="360" w:type="dxa"/>
            <w:vAlign w:val="bottom"/>
          </w:tcPr>
          <w:p>
            <w:pPr>
              <w:spacing w:after="0"/>
              <w:rPr>
                <w:sz w:val="17"/>
                <w:szCs w:val="17"/>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 Open Purchase</w:t>
            </w:r>
          </w:p>
        </w:tc>
      </w:tr>
      <w:tr>
        <w:trPr>
          <w:trHeight w:val="225"/>
        </w:trPr>
        <w:tc>
          <w:tcPr>
            <w:tcW w:w="410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6"/>
                <w:szCs w:val="16"/>
                <w:b w:val="1"/>
                <w:bCs w:val="1"/>
                <w:color w:val="auto"/>
              </w:rPr>
              <w:t>Vendor</w:t>
            </w:r>
          </w:p>
        </w:tc>
        <w:tc>
          <w:tcPr>
            <w:tcW w:w="260" w:type="dxa"/>
            <w:vAlign w:val="bottom"/>
          </w:tcPr>
          <w:p>
            <w:pPr>
              <w:spacing w:after="0"/>
              <w:rPr>
                <w:sz w:val="19"/>
                <w:szCs w:val="19"/>
                <w:color w:val="auto"/>
              </w:rPr>
            </w:pPr>
          </w:p>
        </w:tc>
        <w:tc>
          <w:tcPr>
            <w:tcW w:w="27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Agreement Dates</w:t>
            </w:r>
          </w:p>
        </w:tc>
        <w:tc>
          <w:tcPr>
            <w:tcW w:w="260" w:type="dxa"/>
            <w:vAlign w:val="bottom"/>
          </w:tcPr>
          <w:p>
            <w:pPr>
              <w:spacing w:after="0"/>
              <w:rPr>
                <w:sz w:val="19"/>
                <w:szCs w:val="19"/>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Commitment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Paid</w:t>
            </w:r>
          </w:p>
        </w:tc>
        <w:tc>
          <w:tcPr>
            <w:tcW w:w="360" w:type="dxa"/>
            <w:vAlign w:val="bottom"/>
          </w:tcPr>
          <w:p>
            <w:pPr>
              <w:spacing w:after="0"/>
              <w:rPr>
                <w:sz w:val="19"/>
                <w:szCs w:val="19"/>
                <w:color w:val="auto"/>
              </w:rPr>
            </w:pPr>
          </w:p>
        </w:tc>
        <w:tc>
          <w:tcPr>
            <w:tcW w:w="1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Commitments</w:t>
            </w:r>
          </w:p>
        </w:tc>
      </w:tr>
      <w:tr>
        <w:trPr>
          <w:trHeight w:val="243"/>
        </w:trPr>
        <w:tc>
          <w:tcPr>
            <w:tcW w:w="4100" w:type="dxa"/>
            <w:vAlign w:val="bottom"/>
            <w:shd w:val="clear" w:color="auto" w:fill="CCEC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Bitmain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CECFF"/>
          </w:tcPr>
          <w:p>
            <w:pPr>
              <w:spacing w:after="0"/>
              <w:rPr>
                <w:sz w:val="21"/>
                <w:szCs w:val="21"/>
                <w:color w:val="auto"/>
              </w:rPr>
            </w:pPr>
          </w:p>
        </w:tc>
        <w:tc>
          <w:tcPr>
            <w:tcW w:w="27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November and December 2022</w:t>
            </w:r>
          </w:p>
        </w:tc>
        <w:tc>
          <w:tcPr>
            <w:tcW w:w="260" w:type="dxa"/>
            <w:vAlign w:val="bottom"/>
            <w:shd w:val="clear" w:color="auto" w:fill="CCECFF"/>
          </w:tcPr>
          <w:p>
            <w:pPr>
              <w:spacing w:after="0"/>
              <w:rPr>
                <w:sz w:val="21"/>
                <w:szCs w:val="21"/>
                <w:color w:val="auto"/>
              </w:rPr>
            </w:pPr>
          </w:p>
        </w:tc>
        <w:tc>
          <w:tcPr>
            <w:tcW w:w="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shd w:val="clear" w:color="auto" w:fill="CCECFF"/>
          </w:tcPr>
          <w:p>
            <w:pPr>
              <w:spacing w:after="0"/>
              <w:rPr>
                <w:sz w:val="21"/>
                <w:szCs w:val="21"/>
                <w:color w:val="auto"/>
              </w:rPr>
            </w:pPr>
          </w:p>
        </w:tc>
        <w:tc>
          <w:tcPr>
            <w:tcW w:w="1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April 2023</w:t>
            </w:r>
          </w:p>
        </w:tc>
      </w:tr>
      <w:tr>
        <w:trPr>
          <w:trHeight w:val="23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vendors</w:t>
            </w:r>
          </w:p>
        </w:tc>
        <w:tc>
          <w:tcPr>
            <w:tcW w:w="26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Various</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6"/>
        </w:trPr>
        <w:tc>
          <w:tcPr>
            <w:tcW w:w="41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CCECFF"/>
            </w:tcBorders>
            <w:shd w:val="clear" w:color="auto" w:fill="CCECFF"/>
          </w:tcPr>
          <w:p>
            <w:pPr>
              <w:spacing w:after="0"/>
              <w:rPr>
                <w:sz w:val="24"/>
                <w:szCs w:val="24"/>
                <w:color w:val="auto"/>
              </w:rPr>
            </w:pPr>
          </w:p>
        </w:tc>
        <w:tc>
          <w:tcPr>
            <w:tcW w:w="272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CCECFF"/>
            </w:tcBorders>
            <w:shd w:val="clear" w:color="auto" w:fill="CCECFF"/>
          </w:tcPr>
          <w:p>
            <w:pPr>
              <w:spacing w:after="0"/>
              <w:rPr>
                <w:sz w:val="24"/>
                <w:szCs w:val="24"/>
                <w:color w:val="auto"/>
              </w:rPr>
            </w:pPr>
          </w:p>
        </w:tc>
        <w:tc>
          <w:tcPr>
            <w:tcW w:w="380" w:type="dxa"/>
            <w:vAlign w:val="bottom"/>
            <w:tcBorders>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auto"/>
            </w:tcBorders>
            <w:shd w:val="clear" w:color="auto" w:fill="CCECFF"/>
          </w:tcPr>
          <w:p>
            <w:pPr>
              <w:spacing w:after="0"/>
              <w:rPr>
                <w:sz w:val="24"/>
                <w:szCs w:val="24"/>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360" w:type="dxa"/>
            <w:vAlign w:val="bottom"/>
            <w:tcBorders>
              <w:bottom w:val="single" w:sz="8" w:color="CCECFF"/>
            </w:tcBorders>
            <w:shd w:val="clear" w:color="auto" w:fill="CCECFF"/>
          </w:tcPr>
          <w:p>
            <w:pPr>
              <w:spacing w:after="0"/>
              <w:rPr>
                <w:sz w:val="24"/>
                <w:szCs w:val="24"/>
                <w:color w:val="auto"/>
              </w:rPr>
            </w:pPr>
          </w:p>
        </w:tc>
        <w:tc>
          <w:tcPr>
            <w:tcW w:w="1360" w:type="dxa"/>
            <w:vAlign w:val="bottom"/>
            <w:tcBorders>
              <w:bottom w:val="single" w:sz="8" w:color="CCECFF"/>
            </w:tcBorders>
            <w:shd w:val="clear" w:color="auto" w:fill="CCECFF"/>
          </w:tcPr>
          <w:p>
            <w:pPr>
              <w:spacing w:after="0"/>
              <w:rPr>
                <w:sz w:val="24"/>
                <w:szCs w:val="24"/>
                <w:color w:val="auto"/>
              </w:rPr>
            </w:pPr>
          </w:p>
        </w:tc>
      </w:tr>
      <w:tr>
        <w:trPr>
          <w:trHeight w:val="215"/>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-171450</wp:posOffset>
            </wp:positionV>
            <wp:extent cx="77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-154305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-171450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-154305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460" w:right="40" w:hanging="452"/>
        <w:spacing w:after="0" w:line="221" w:lineRule="auto"/>
        <w:tabs>
          <w:tab w:leader="none" w:pos="421"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Pursuant to our agreement with Bitmain, we are responsible for all logistics costs related to transportation, packaging for transportation and insurance related to the delivery of the miners.</w:t>
      </w:r>
    </w:p>
    <w:p>
      <w:pPr>
        <w:spacing w:after="0" w:line="15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November and December 2022, we agreed to purchase 5,000 and 2,200, respectively, Antminer S19j Pro (100 TH/s) (“S19j Pro”) miners from Bitmain. For these miners, we paid an average price of $2.35 per terahash, covering the majority of the purchase price by using accumulated Bitmain coupons from previous orders. We have no further payments due in respect of those orders. As of the date of this filing, all of those miners have been delivered to us in Texas as of April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providing supplemental financial measures for (i) non-GAAP loss from operations that excludes the impact of depreciation and amortization, the non-cash change in the fair value of our derivative asset, share-based compensation expense and nonrecurring gains, which in the three months ended March 31, 2023 were associated with the sale of Bitmain coupons and (ii) non-GAAP net income (loss) and non-GAAP basic and diluted income (loss) per share that exclude the impact of depreciation and amortization, the non-cash change in the fair value of our derivative asset, share-based compensation expense, nonrecurring gains, the change in the fair value of the warrant liability and deferred income tax expense. These supplemental financial measures are not measurements of financial performance under accounting principles generally accepted in the United States (“GAAP”) and, as a result, these supplemental financial measures may not be comparable to similarly titled measures of other companies. Management uses these non-GAAP financial measures internally to help understand, manage, and evaluate our business performance and to help make operating decisions.</w:t>
      </w:r>
    </w:p>
    <w:p>
      <w:pPr>
        <w:spacing w:after="0" w:line="1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believe that these non-GAAP financial measures are also useful to investors in comparing our performance across reporting periods on a consistent basis. Non-GAAP loss from operations excludes non-cash operational expenses that we believe are not reflective of our general business performance such as (i) depreciation and amortization, (ii) the non-cash change in the fair value of our derivative asset (iii) share-based compensation expense and (iv) nonrecurring gains, which could vary significantly in comparison to other companies.</w:t>
      </w:r>
    </w:p>
    <w:p>
      <w:pPr>
        <w:spacing w:after="0" w:line="15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Non-GAAP net income (loss) and non-GAAP basic and diluted income (loss) per share exclude the impact of (i) depreciation and amortization, (ii) the non-cash change in the fair value of our derivative asset, (iii) share-based compensation expense, (iv) nonrecurring gains, (v) the non-cash change in the fair value of our warrant liability and (vi) deferred income tax expense. We believe the use of these non-GAAP financial measures can also facilitate comparison of our operating results to those of our competitors.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line="254" w:lineRule="auto"/>
        <w:rPr>
          <w:sz w:val="20"/>
          <w:szCs w:val="20"/>
          <w:color w:val="auto"/>
        </w:rPr>
      </w:pPr>
      <w:r>
        <w:rPr>
          <w:rFonts w:ascii="Times New Roman" w:cs="Times New Roman" w:eastAsia="Times New Roman" w:hAnsi="Times New Roman"/>
          <w:sz w:val="18"/>
          <w:szCs w:val="18"/>
          <w:color w:val="auto"/>
        </w:rPr>
        <w:t>Non-GAAP financial measures are subject to material limitations as they are not in accordance with, or a substitute for, measurements prepared in accordance with GAAP. For example, we expect that share-based compensation expense, which is excluded from the non-GAAP financial measures, will continue to be a significant recurring expense over the coming years and is an important part of the compensation provided to certain employees, officers and directors. Similarly, we expect that depreciation and amortization will continue to be a recurring expense over the useful lives of the related assets. Our non-GAAP financial measures are not meant to be considered in isolation and should be read only in conjunction with our unaudited condensed consolidated financial statements included elsewhere in this Quarterly Report, which have been prepared in accordance with GAAP. We rely primarily on such unaudited condensed consolidated financial statements to understand, manage and evaluate our business performance and use the non-GAAP financial measures only supplementally.</w:t>
      </w:r>
    </w:p>
    <w:p>
      <w:pPr>
        <w:spacing w:after="0" w:line="16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our non-GAAP loss from operations, which excludes the impact of (i) depreciation and amortization, (ii) the non-cash change in the fair value of our derivative asset (iii) share-based compensation expense and (iv) nonrecurring gains, to its most directly comparable GAAP measure for the periods indicated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20" w:type="dxa"/>
            <w:vAlign w:val="bottom"/>
          </w:tcPr>
          <w:p>
            <w:pPr>
              <w:spacing w:after="0"/>
              <w:rPr>
                <w:sz w:val="19"/>
                <w:szCs w:val="19"/>
                <w:color w:val="auto"/>
              </w:rPr>
            </w:pPr>
          </w:p>
        </w:tc>
        <w:tc>
          <w:tcPr>
            <w:tcW w:w="320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income (loss) from operations:</w:t>
            </w:r>
          </w:p>
        </w:tc>
        <w:tc>
          <w:tcPr>
            <w:tcW w:w="1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9"/>
        </w:trPr>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loss</w:t>
            </w:r>
          </w:p>
        </w:tc>
        <w:tc>
          <w:tcPr>
            <w:tcW w:w="110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(6,169 )</w:t>
            </w:r>
          </w:p>
        </w:tc>
        <w:tc>
          <w:tcPr>
            <w:tcW w:w="106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(17,554 )</w:t>
            </w:r>
          </w:p>
        </w:tc>
      </w:tr>
      <w:tr>
        <w:trPr>
          <w:trHeight w:val="247"/>
        </w:trPr>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r>
      <w:tr>
        <w:trPr>
          <w:trHeight w:val="239"/>
        </w:trPr>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11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(5,328 )</w:t>
            </w: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00" w:type="dxa"/>
            <w:vAlign w:val="bottom"/>
            <w:shd w:val="clear" w:color="auto" w:fill="CCEEFF"/>
          </w:tcPr>
          <w:p>
            <w:pPr>
              <w:spacing w:after="0"/>
              <w:rPr>
                <w:sz w:val="21"/>
                <w:szCs w:val="21"/>
                <w:color w:val="auto"/>
              </w:rPr>
            </w:pPr>
          </w:p>
        </w:tc>
      </w:tr>
      <w:tr>
        <w:trPr>
          <w:trHeight w:val="239"/>
        </w:trPr>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gains - nonrecurring</w:t>
            </w:r>
          </w:p>
        </w:tc>
        <w:tc>
          <w:tcPr>
            <w:tcW w:w="11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(2,254 )</w:t>
            </w: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81"/>
        </w:trPr>
        <w:tc>
          <w:tcPr>
            <w:tcW w:w="7320" w:type="dxa"/>
            <w:vAlign w:val="bottom"/>
            <w:tcBorders>
              <w:bottom w:val="single" w:sz="8" w:color="CCECFF"/>
            </w:tcBorders>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Non-GAAP income (loss) from operations</w:t>
            </w:r>
          </w:p>
        </w:tc>
        <w:tc>
          <w:tcPr>
            <w:tcW w:w="1100" w:type="dxa"/>
            <w:vAlign w:val="bottom"/>
            <w:tcBorders>
              <w:top w:val="single" w:sz="8" w:color="auto"/>
              <w:bottom w:val="single" w:sz="8" w:color="auto"/>
            </w:tcBorders>
            <w:shd w:val="clear" w:color="auto" w:fill="CCEC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440" w:type="dxa"/>
            <w:vAlign w:val="bottom"/>
            <w:tcBorders>
              <w:bottom w:val="single" w:sz="8" w:color="CCECFF"/>
            </w:tcBorders>
            <w:shd w:val="clear" w:color="auto" w:fill="CCECFF"/>
          </w:tcPr>
          <w:p>
            <w:pPr>
              <w:spacing w:after="0"/>
              <w:rPr>
                <w:sz w:val="24"/>
                <w:szCs w:val="24"/>
                <w:color w:val="auto"/>
              </w:rPr>
            </w:pPr>
          </w:p>
        </w:tc>
        <w:tc>
          <w:tcPr>
            <w:tcW w:w="1060" w:type="dxa"/>
            <w:vAlign w:val="bottom"/>
            <w:tcBorders>
              <w:top w:val="single" w:sz="8" w:color="auto"/>
              <w:bottom w:val="single" w:sz="8" w:color="auto"/>
            </w:tcBorders>
            <w:shd w:val="clear" w:color="auto" w:fill="CCEC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-25400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are reconciliations of our non-GAAP net income (loss) and non-GAAP basic and diluted net income (loss) per share, in each case excluding the impact of (i) depreciation and amortization (ii) the non-cash change in the fair value of our derivative asset, (iii) share-based compensation expense, (iv) nonrecurring gains, (v) the non-cash change in the fair value of our warrant liability and (vi) deferred income tax expense, to the most directly comparable GAAP measures for the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20" w:type="dxa"/>
            <w:vAlign w:val="bottom"/>
          </w:tcPr>
          <w:p>
            <w:pPr>
              <w:spacing w:after="0"/>
              <w:rPr>
                <w:sz w:val="19"/>
                <w:szCs w:val="19"/>
                <w:color w:val="auto"/>
              </w:rPr>
            </w:pPr>
          </w:p>
        </w:tc>
        <w:tc>
          <w:tcPr>
            <w:tcW w:w="320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net income (loss):</w:t>
            </w:r>
          </w:p>
        </w:tc>
        <w:tc>
          <w:tcPr>
            <w:tcW w:w="1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9"/>
        </w:trPr>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(6,601 )</w:t>
            </w: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(17,499 )</w:t>
            </w:r>
          </w:p>
        </w:tc>
      </w:tr>
      <w:tr>
        <w:trPr>
          <w:trHeight w:val="247"/>
        </w:trPr>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Non-cash adjustments to net loss:</w:t>
            </w:r>
          </w:p>
        </w:tc>
        <w:tc>
          <w:tcPr>
            <w:tcW w:w="1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9"/>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47"/>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1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(5,328 )</w:t>
            </w:r>
          </w:p>
        </w:tc>
        <w:tc>
          <w:tcPr>
            <w:tcW w:w="10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39"/>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00" w:type="dxa"/>
            <w:vAlign w:val="bottom"/>
          </w:tcPr>
          <w:p>
            <w:pPr>
              <w:spacing w:after="0"/>
              <w:rPr>
                <w:sz w:val="20"/>
                <w:szCs w:val="20"/>
                <w:color w:val="auto"/>
              </w:rPr>
            </w:pPr>
          </w:p>
        </w:tc>
      </w:tr>
      <w:tr>
        <w:trPr>
          <w:trHeight w:val="247"/>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gains - nonrecurring</w:t>
            </w:r>
          </w:p>
        </w:tc>
        <w:tc>
          <w:tcPr>
            <w:tcW w:w="1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(2,254 )</w:t>
            </w:r>
          </w:p>
        </w:tc>
        <w:tc>
          <w:tcPr>
            <w:tcW w:w="10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39"/>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1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(37 )</w:t>
            </w: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r>
      <w:tr>
        <w:trPr>
          <w:trHeight w:val="24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(53 )</w:t>
            </w:r>
          </w:p>
        </w:tc>
        <w:tc>
          <w:tcPr>
            <w:tcW w:w="10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36"/>
        </w:trPr>
        <w:tc>
          <w:tcPr>
            <w:tcW w:w="732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non-cash adjustments to net loss</w:t>
            </w:r>
          </w:p>
        </w:tc>
        <w:tc>
          <w:tcPr>
            <w:tcW w:w="1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13,015</w:t>
            </w:r>
          </w:p>
        </w:tc>
        <w:tc>
          <w:tcPr>
            <w:tcW w:w="440" w:type="dxa"/>
            <w:vAlign w:val="bottom"/>
            <w:tcBorders>
              <w:top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100" w:type="dxa"/>
            <w:vAlign w:val="bottom"/>
            <w:tcBorders>
              <w:top w:val="single" w:sz="8" w:color="CCEEFF"/>
            </w:tcBorders>
          </w:tcPr>
          <w:p>
            <w:pPr>
              <w:spacing w:after="0"/>
              <w:rPr>
                <w:sz w:val="20"/>
                <w:szCs w:val="20"/>
                <w:color w:val="auto"/>
              </w:rPr>
            </w:pPr>
          </w:p>
        </w:tc>
      </w:tr>
      <w:tr>
        <w:trPr>
          <w:trHeight w:val="281"/>
        </w:trPr>
        <w:tc>
          <w:tcPr>
            <w:tcW w:w="7320" w:type="dxa"/>
            <w:vAlign w:val="bottom"/>
            <w:tcBorders>
              <w:bottom w:val="single" w:sz="8" w:color="CCECFF"/>
            </w:tcBorders>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Non-GAAP net income (loss)</w:t>
            </w:r>
          </w:p>
        </w:tc>
        <w:tc>
          <w:tcPr>
            <w:tcW w:w="1100" w:type="dxa"/>
            <w:vAlign w:val="bottom"/>
            <w:tcBorders>
              <w:bottom w:val="single" w:sz="8" w:color="auto"/>
            </w:tcBorders>
            <w:shd w:val="clear" w:color="auto" w:fill="CCEC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440" w:type="dxa"/>
            <w:vAlign w:val="bottom"/>
            <w:tcBorders>
              <w:bottom w:val="single" w:sz="8" w:color="CCECFF"/>
            </w:tcBorders>
            <w:shd w:val="clear" w:color="auto" w:fill="CCECFF"/>
          </w:tcPr>
          <w:p>
            <w:pPr>
              <w:spacing w:after="0"/>
              <w:rPr>
                <w:sz w:val="24"/>
                <w:szCs w:val="24"/>
                <w:color w:val="auto"/>
              </w:rPr>
            </w:pPr>
          </w:p>
        </w:tc>
        <w:tc>
          <w:tcPr>
            <w:tcW w:w="1060" w:type="dxa"/>
            <w:vAlign w:val="bottom"/>
            <w:tcBorders>
              <w:bottom w:val="single" w:sz="8" w:color="auto"/>
            </w:tcBorders>
            <w:shd w:val="clear" w:color="auto" w:fill="CCEC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60"/>
        </w:trPr>
        <w:tc>
          <w:tcPr>
            <w:tcW w:w="7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basic and diluted net income (loss) per share:</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(0.03 )</w:t>
            </w:r>
          </w:p>
        </w:tc>
        <w:tc>
          <w:tcPr>
            <w:tcW w:w="106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(0.07 )</w:t>
            </w:r>
          </w:p>
        </w:tc>
      </w:tr>
      <w:tr>
        <w:trPr>
          <w:trHeight w:val="239"/>
        </w:trPr>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 (per share)</w:t>
            </w:r>
          </w:p>
        </w:tc>
        <w:tc>
          <w:tcPr>
            <w:tcW w:w="1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Change in fair value of derivative asset (per share)</w:t>
            </w:r>
          </w:p>
        </w:tc>
        <w:tc>
          <w:tcPr>
            <w:tcW w:w="110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8"/>
                <w:szCs w:val="18"/>
                <w:color w:val="auto"/>
              </w:rPr>
              <w:t>(0.02 )</w:t>
            </w:r>
          </w:p>
        </w:tc>
        <w:tc>
          <w:tcPr>
            <w:tcW w:w="106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1"/>
                <w:szCs w:val="21"/>
                <w:color w:val="auto"/>
              </w:rPr>
            </w:pPr>
          </w:p>
        </w:tc>
      </w:tr>
      <w:tr>
        <w:trPr>
          <w:trHeight w:val="239"/>
        </w:trPr>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Share-based compensation expense (per share)</w:t>
            </w:r>
          </w:p>
        </w:tc>
        <w:tc>
          <w:tcPr>
            <w:tcW w:w="1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r>
      <w:tr>
        <w:trPr>
          <w:trHeight w:val="247"/>
        </w:trPr>
        <w:tc>
          <w:tcPr>
            <w:tcW w:w="7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Other gains - nonrecurring (per share)</w:t>
            </w:r>
          </w:p>
        </w:tc>
        <w:tc>
          <w:tcPr>
            <w:tcW w:w="110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380"/>
              <w:spacing w:after="0"/>
              <w:rPr>
                <w:sz w:val="20"/>
                <w:szCs w:val="20"/>
                <w:color w:val="auto"/>
              </w:rPr>
            </w:pPr>
            <w:r>
              <w:rPr>
                <w:rFonts w:ascii="Times New Roman" w:cs="Times New Roman" w:eastAsia="Times New Roman" w:hAnsi="Times New Roman"/>
                <w:sz w:val="18"/>
                <w:szCs w:val="18"/>
                <w:color w:val="auto"/>
              </w:rPr>
              <w:t>(0.01 )</w:t>
            </w:r>
          </w:p>
        </w:tc>
        <w:tc>
          <w:tcPr>
            <w:tcW w:w="106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1"/>
                <w:szCs w:val="21"/>
                <w:color w:val="auto"/>
              </w:rPr>
            </w:pPr>
          </w:p>
        </w:tc>
      </w:tr>
      <w:tr>
        <w:trPr>
          <w:trHeight w:val="239"/>
        </w:trPr>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of warrant liability (per share)</w:t>
            </w:r>
          </w:p>
        </w:tc>
        <w:tc>
          <w:tcPr>
            <w:tcW w:w="1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7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Deferred income tax expense (per share)</w:t>
            </w:r>
          </w:p>
        </w:tc>
        <w:tc>
          <w:tcPr>
            <w:tcW w:w="1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1"/>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Non-GAAP basic and diluted net income (loss) per share</w:t>
            </w: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40" w:type="dxa"/>
            <w:vAlign w:val="bottom"/>
          </w:tcPr>
          <w:p>
            <w:pPr>
              <w:spacing w:after="0"/>
              <w:rPr>
                <w:sz w:val="20"/>
                <w:szCs w:val="20"/>
                <w:color w:val="auto"/>
              </w:rPr>
            </w:pP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(0.03 )</w:t>
            </w:r>
          </w:p>
        </w:tc>
      </w:tr>
      <w:tr>
        <w:trPr>
          <w:trHeight w:val="20"/>
        </w:trPr>
        <w:tc>
          <w:tcPr>
            <w:tcW w:w="7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-1927860</wp:posOffset>
            </wp:positionV>
            <wp:extent cx="6858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-1602105</wp:posOffset>
            </wp:positionV>
            <wp:extent cx="1414780" cy="3340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14780" cy="33401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-187960</wp:posOffset>
            </wp:positionV>
            <wp:extent cx="6858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 A description of our significant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ind w:right="180"/>
        <w:spacing w:after="0" w:line="266" w:lineRule="auto"/>
        <w:rPr>
          <w:sz w:val="20"/>
          <w:szCs w:val="20"/>
          <w:color w:val="auto"/>
        </w:rPr>
      </w:pPr>
      <w:r>
        <w:rPr>
          <w:rFonts w:ascii="Times New Roman" w:cs="Times New Roman" w:eastAsia="Times New Roman" w:hAnsi="Times New Roman"/>
          <w:sz w:val="18"/>
          <w:szCs w:val="18"/>
          <w:color w:val="auto"/>
        </w:rPr>
        <w:t>accounting policies in included in our 2022 Form 10-K. You should read the accompanying unaudited condensed consolidated financial statements in conjunction with our audited consolidated financial statements and accompanying notes in our 2022 Form 10-K. There have been no material changes in the information disclosed in the notes to our audited consolidated financial statements included in our 2022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regarding recent accounting pronouncements applicable to us, adopted and not yet adopted as of the date of this report, is included in Note 2 to our unaudited condensed consolidated financial statements located in “Part I - Financial Information, Item 1. Financial Statements” in this Quarterly Report.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under this item.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our “disclosure controls and procedures” (“Disclosure Controls”), as defined by Rules 13a-15(e) and 15d-15(e) of the Exchange Act, as of March 31, 2023, the end of the period covered by this Quarterly Report. The Disclosure Controls evaluation was done under the supervision and with the participation of management, including our Chief Executive Officer and Chief Financial Officer, with the goal being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and principal financial officers, or persons performing similar functions, as appropriate to allow timely decisions regarding disclosure. There are inherent limitations to the effectiveness of any system of disclosure controls and procedures. Accordingly, even effective disclosure controls and procedures can only provide reasonable assurance of achieving their control objectives. Based upon this evaluation, our Chief Executive Officer and Chief Financial Officer concluded that, our disclosure controls and procedures were not effective at the reasonable assurance level as of March 31, 2023.</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in the 2022 Form 10-K, during management’s assessment of internal controls over financial reporting, a material weakness was identified related to certain Information Technology General Controls over user access, segregation of duties and change management controls.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management is responsible for maintaining effective internal control over financial reporting, and for its assessment of the effectiveness of internal control over financial reporting, we understand the importance of developing a resolution plan aligned with management and overseen by the Audit Committee of our Board of Directors. Our plan includes the following:</w:t>
      </w:r>
    </w:p>
    <w:p>
      <w:pPr>
        <w:spacing w:after="0" w:line="28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remediation efforts by continuing to devote resources in 2023 in key financial reporting and information technology areas.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utilize an external third-party internal audit and SOX 404 implementation firm to work to improve the Company’s controls related to our material weaknesses, specifically relating to user access and change management surrounding the Company’s IT systems and applications.</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implement new processes and controls and engage external resources when required in connection with remediating this material weakness, such that these controls are designed, implemented, and operating effectively.</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formalize our policies and processes over including those over outside service providers with a specific focus on enhancing design and documentation related to (i) developing and communicating additional policies and procedures to govern the areas of IT change management and user access processes and related control activities and (ii) develop robust processes to validate data received from third-parties and relied upon to generate financial statements is complete and accurate.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that the material weaknesses in our internal control over financial reporting will not be considered remediated until the remediated controls operate for a sufficient period of time and can be tested and concluded by management to be designed and operating effectively. Because our remediation efforts involve our outsourced service providers, we cannot provide any assurance that these remediation efforts will be successful or that our internal control over financial reporting will be effective as a result of these efforts.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evaluate and work to improve our internal control over financial reporting related to the identified material weaknesses and management may determine to take additional measures to address control deficiencies or determine to modify the remediation plan described above. In addition, we report the progress and status of the above remediation efforts to the Audit Committee on a periodic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during the three months ended March 31, 2023 that have materially affected, or are reasonably likely to materially affect, our internal control over financial reporting.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not a party to any material pending legal proceedings. From time to time, we may be subject to legal proceedings and claims arising in the ordinary course of business. There have been no material changes to such proceedings previously disclosed in our 2022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and operating results can be affected by a number of factors, whether currently known or unknown, including but not limited to the risk factors as previously disclosed in Part I, Item 1A, “Risk Factors” of our 2022 Form 10-K, which is incorporated herein by reference. There have been no material changes to the risk factors previously disclosed in our 2022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85"/>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9"/>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From</w:t>
            </w:r>
          </w:p>
        </w:tc>
        <w:tc>
          <w:tcPr>
            <w:tcW w:w="140" w:type="dxa"/>
            <w:vAlign w:val="bottom"/>
          </w:tcPr>
          <w:p>
            <w:pPr>
              <w:spacing w:after="0"/>
              <w:rPr>
                <w:sz w:val="16"/>
                <w:szCs w:val="16"/>
                <w:color w:val="auto"/>
              </w:rPr>
            </w:pPr>
          </w:p>
        </w:tc>
        <w:tc>
          <w:tcPr>
            <w:tcW w:w="12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tcPr>
          <w:p>
            <w:pPr>
              <w:spacing w:after="0"/>
              <w:rPr>
                <w:sz w:val="16"/>
                <w:szCs w:val="1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6"/>
                <w:szCs w:val="16"/>
                <w:color w:val="auto"/>
              </w:rPr>
            </w:pP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14"/>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9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15"/>
                <w:szCs w:val="15"/>
                <w:color w:val="auto"/>
              </w:rPr>
            </w:pPr>
          </w:p>
        </w:tc>
        <w:tc>
          <w:tcPr>
            <w:tcW w:w="4820" w:type="dxa"/>
            <w:vAlign w:val="bottom"/>
            <w:tcBorders>
              <w:bottom w:val="single" w:sz="8" w:color="0000FF"/>
            </w:tcBorders>
            <w:gridSpan w:val="14"/>
          </w:tcPr>
          <w:p>
            <w:pPr>
              <w:spacing w:after="0" w:line="183"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Agreement and Plan of Merger, dated as of March 4, 2021, by and among</w:t>
              </w:r>
            </w:hyperlink>
          </w:p>
        </w:tc>
        <w:tc>
          <w:tcPr>
            <w:tcW w:w="300" w:type="dxa"/>
            <w:vAlign w:val="bottom"/>
            <w:gridSpan w:val="5"/>
          </w:tcPr>
          <w:p>
            <w:pPr>
              <w:spacing w:after="0"/>
              <w:rPr>
                <w:sz w:val="15"/>
                <w:szCs w:val="15"/>
                <w:color w:val="auto"/>
              </w:rPr>
            </w:pP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w w:val="99"/>
              </w:rPr>
              <w:t>2.1</w:t>
            </w:r>
          </w:p>
        </w:tc>
        <w:tc>
          <w:tcPr>
            <w:tcW w:w="1120" w:type="dxa"/>
            <w:vAlign w:val="bottom"/>
            <w:gridSpan w:val="2"/>
          </w:tcPr>
          <w:p>
            <w:pPr>
              <w:jc w:val="center"/>
              <w:ind w:left="59"/>
              <w:spacing w:after="0" w:line="183" w:lineRule="exact"/>
              <w:rPr>
                <w:sz w:val="20"/>
                <w:szCs w:val="20"/>
                <w:color w:val="auto"/>
              </w:rPr>
            </w:pPr>
            <w:r>
              <w:rPr>
                <w:rFonts w:ascii="Times New Roman" w:cs="Times New Roman" w:eastAsia="Times New Roman" w:hAnsi="Times New Roman"/>
                <w:sz w:val="16"/>
                <w:szCs w:val="16"/>
                <w:color w:val="auto"/>
              </w:rPr>
              <w:t>3/5/2021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40" w:type="dxa"/>
            <w:vAlign w:val="bottom"/>
            <w:tcBorders>
              <w:bottom w:val="single" w:sz="8" w:color="0000FF"/>
            </w:tcBorders>
            <w:gridSpan w:val="13"/>
          </w:tcPr>
          <w:p>
            <w:pPr>
              <w:spacing w:after="0" w:line="183"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Good Works Acquisition Corp., Currency Merger Sub, Inc. and Cipher</w:t>
              </w:r>
            </w:hyperlink>
          </w:p>
        </w:tc>
        <w:tc>
          <w:tcPr>
            <w:tcW w:w="480" w:type="dxa"/>
            <w:vAlign w:val="bottom"/>
            <w:gridSpan w:val="6"/>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Borders>
              <w:bottom w:val="single" w:sz="8" w:color="0000EE"/>
            </w:tcBorders>
            <w:gridSpan w:val="4"/>
          </w:tcPr>
          <w:p>
            <w:pPr>
              <w:spacing w:after="0" w:line="183"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Mining Technologies Inc.</w:t>
              </w:r>
            </w:hyperlink>
          </w:p>
        </w:tc>
        <w:tc>
          <w:tcPr>
            <w:tcW w:w="3420" w:type="dxa"/>
            <w:vAlign w:val="bottom"/>
            <w:gridSpan w:val="15"/>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1"/>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24"/>
                <w:szCs w:val="24"/>
                <w:color w:val="auto"/>
              </w:rPr>
            </w:pPr>
          </w:p>
        </w:tc>
        <w:tc>
          <w:tcPr>
            <w:tcW w:w="454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Second Amended and Restated Certificate of Incorporation of Cipher</w:t>
              </w:r>
            </w:hyperlink>
          </w:p>
        </w:tc>
        <w:tc>
          <w:tcPr>
            <w:tcW w:w="580" w:type="dxa"/>
            <w:vAlign w:val="bottom"/>
            <w:gridSpan w:val="7"/>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3.1</w:t>
            </w:r>
          </w:p>
        </w:tc>
        <w:tc>
          <w:tcPr>
            <w:tcW w:w="11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8/31/2021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20" w:type="dxa"/>
            <w:vAlign w:val="bottom"/>
            <w:gridSpan w:val="19"/>
          </w:tcPr>
          <w:p>
            <w:pPr>
              <w:spacing w:after="0" w:line="183"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Mining Inc.</w:t>
              </w:r>
            </w:hyperlink>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8"/>
                <w:szCs w:val="18"/>
                <w:color w:val="auto"/>
              </w:rPr>
            </w:pPr>
          </w:p>
        </w:tc>
        <w:tc>
          <w:tcPr>
            <w:tcW w:w="350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Amended and Restated Bylaws of Cipher Mining Inc.</w:t>
              </w:r>
            </w:hyperlink>
          </w:p>
        </w:tc>
        <w:tc>
          <w:tcPr>
            <w:tcW w:w="20" w:type="dxa"/>
            <w:vAlign w:val="bottom"/>
            <w:tcBorders>
              <w:bottom w:val="single" w:sz="8" w:color="0000EE"/>
            </w:tcBorders>
          </w:tcPr>
          <w:p>
            <w:pPr>
              <w:spacing w:after="0"/>
              <w:rPr>
                <w:sz w:val="18"/>
                <w:szCs w:val="18"/>
                <w:color w:val="auto"/>
              </w:rPr>
            </w:pPr>
          </w:p>
        </w:tc>
        <w:tc>
          <w:tcPr>
            <w:tcW w:w="1600" w:type="dxa"/>
            <w:vAlign w:val="bottom"/>
            <w:gridSpan w:val="13"/>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3.2</w:t>
            </w:r>
          </w:p>
        </w:tc>
        <w:tc>
          <w:tcPr>
            <w:tcW w:w="11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8/31/2021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18"/>
                <w:szCs w:val="18"/>
                <w:color w:val="auto"/>
              </w:rPr>
            </w:pPr>
          </w:p>
        </w:tc>
        <w:tc>
          <w:tcPr>
            <w:tcW w:w="416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Specimen Warrant Certificate of Good Works Acquisition Corp.</w:t>
              </w:r>
            </w:hyperlink>
          </w:p>
        </w:tc>
        <w:tc>
          <w:tcPr>
            <w:tcW w:w="20" w:type="dxa"/>
            <w:vAlign w:val="bottom"/>
            <w:tcBorders>
              <w:bottom w:val="single" w:sz="8" w:color="0000EE"/>
            </w:tcBorders>
          </w:tcPr>
          <w:p>
            <w:pPr>
              <w:spacing w:after="0"/>
              <w:rPr>
                <w:sz w:val="18"/>
                <w:szCs w:val="18"/>
                <w:color w:val="auto"/>
              </w:rPr>
            </w:pPr>
          </w:p>
        </w:tc>
        <w:tc>
          <w:tcPr>
            <w:tcW w:w="940" w:type="dxa"/>
            <w:vAlign w:val="bottom"/>
            <w:gridSpan w:val="9"/>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S-1/A</w:t>
            </w:r>
          </w:p>
        </w:tc>
        <w:tc>
          <w:tcPr>
            <w:tcW w:w="136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333-248333</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4.3</w:t>
            </w:r>
          </w:p>
        </w:tc>
        <w:tc>
          <w:tcPr>
            <w:tcW w:w="11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10/9/2020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8"/>
                <w:szCs w:val="18"/>
                <w:color w:val="auto"/>
              </w:rPr>
            </w:pPr>
          </w:p>
        </w:tc>
        <w:tc>
          <w:tcPr>
            <w:tcW w:w="436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Warrant Agreement, dated as of October 19, 2020, by and between</w:t>
              </w:r>
            </w:hyperlink>
          </w:p>
        </w:tc>
        <w:tc>
          <w:tcPr>
            <w:tcW w:w="760" w:type="dxa"/>
            <w:vAlign w:val="bottom"/>
            <w:gridSpan w:val="8"/>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001-39625</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4.1</w:t>
            </w:r>
          </w:p>
        </w:tc>
        <w:tc>
          <w:tcPr>
            <w:tcW w:w="11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10/28/2020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40" w:type="dxa"/>
            <w:vAlign w:val="bottom"/>
            <w:tcBorders>
              <w:bottom w:val="single" w:sz="8" w:color="0000FF"/>
            </w:tcBorders>
            <w:gridSpan w:val="16"/>
          </w:tcPr>
          <w:p>
            <w:pPr>
              <w:spacing w:after="0" w:line="183"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Continental Stock Transfer &amp; Trust Company and Good Works Acquisition</w:t>
              </w:r>
            </w:hyperlink>
          </w:p>
        </w:tc>
        <w:tc>
          <w:tcPr>
            <w:tcW w:w="18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Borders>
              <w:bottom w:val="single" w:sz="8" w:color="0000EE"/>
            </w:tcBorders>
          </w:tcPr>
          <w:p>
            <w:pPr>
              <w:spacing w:after="0" w:line="183"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Corp.</w:t>
              </w:r>
            </w:hyperlink>
          </w:p>
        </w:tc>
        <w:tc>
          <w:tcPr>
            <w:tcW w:w="4720" w:type="dxa"/>
            <w:vAlign w:val="bottom"/>
            <w:gridSpan w:val="18"/>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18"/>
                <w:szCs w:val="18"/>
                <w:color w:val="auto"/>
              </w:rPr>
            </w:pPr>
          </w:p>
        </w:tc>
        <w:tc>
          <w:tcPr>
            <w:tcW w:w="512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80" w:type="dxa"/>
            <w:vAlign w:val="bottom"/>
            <w:tcBorders>
              <w:top w:val="single" w:sz="8" w:color="0000FF"/>
            </w:tcBorders>
            <w:gridSpan w:val="5"/>
          </w:tcPr>
          <w:p>
            <w:pPr>
              <w:spacing w:after="0"/>
              <w:rPr>
                <w:sz w:val="15"/>
                <w:szCs w:val="15"/>
                <w:color w:val="auto"/>
              </w:rPr>
            </w:pPr>
          </w:p>
        </w:tc>
        <w:tc>
          <w:tcPr>
            <w:tcW w:w="118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18"/>
                <w:szCs w:val="18"/>
                <w:color w:val="auto"/>
              </w:rPr>
            </w:pPr>
          </w:p>
        </w:tc>
        <w:tc>
          <w:tcPr>
            <w:tcW w:w="512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40" w:type="dxa"/>
            <w:vAlign w:val="bottom"/>
            <w:tcBorders>
              <w:top w:val="single" w:sz="8" w:color="0000FF"/>
            </w:tcBorders>
            <w:gridSpan w:val="4"/>
          </w:tcPr>
          <w:p>
            <w:pPr>
              <w:spacing w:after="0"/>
              <w:rPr>
                <w:sz w:val="15"/>
                <w:szCs w:val="15"/>
                <w:color w:val="auto"/>
              </w:rPr>
            </w:pPr>
          </w:p>
        </w:tc>
        <w:tc>
          <w:tcPr>
            <w:tcW w:w="1220" w:type="dxa"/>
            <w:vAlign w:val="bottom"/>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18"/>
                <w:szCs w:val="18"/>
                <w:color w:val="auto"/>
              </w:rPr>
            </w:pPr>
          </w:p>
        </w:tc>
        <w:tc>
          <w:tcPr>
            <w:tcW w:w="512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18"/>
                <w:szCs w:val="18"/>
                <w:color w:val="auto"/>
              </w:rPr>
            </w:pPr>
          </w:p>
        </w:tc>
        <w:tc>
          <w:tcPr>
            <w:tcW w:w="49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w:t>
            </w:r>
          </w:p>
        </w:tc>
        <w:tc>
          <w:tcPr>
            <w:tcW w:w="16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40" w:type="dxa"/>
            <w:vAlign w:val="bottom"/>
          </w:tcPr>
          <w:p>
            <w:pPr>
              <w:spacing w:after="0"/>
              <w:rPr>
                <w:sz w:val="20"/>
                <w:szCs w:val="20"/>
                <w:color w:val="auto"/>
              </w:rPr>
            </w:pPr>
          </w:p>
        </w:tc>
        <w:tc>
          <w:tcPr>
            <w:tcW w:w="49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w:t>
            </w:r>
          </w:p>
        </w:tc>
        <w:tc>
          <w:tcPr>
            <w:tcW w:w="200" w:type="dxa"/>
            <w:vAlign w:val="bottom"/>
            <w:gridSpan w:val="4"/>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in the Interactive Data File because its XBRL tags are embedded within the</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40" w:type="dxa"/>
            <w:vAlign w:val="bottom"/>
          </w:tcPr>
          <w:p>
            <w:pPr>
              <w:spacing w:after="0"/>
              <w:rPr>
                <w:sz w:val="19"/>
                <w:szCs w:val="19"/>
                <w:color w:val="auto"/>
              </w:rPr>
            </w:pPr>
          </w:p>
        </w:tc>
        <w:tc>
          <w:tcPr>
            <w:tcW w:w="512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40" w:type="dxa"/>
            <w:vAlign w:val="bottom"/>
          </w:tcPr>
          <w:p>
            <w:pPr>
              <w:spacing w:after="0"/>
              <w:rPr>
                <w:sz w:val="19"/>
                <w:szCs w:val="19"/>
                <w:color w:val="auto"/>
              </w:rPr>
            </w:pPr>
          </w:p>
        </w:tc>
        <w:tc>
          <w:tcPr>
            <w:tcW w:w="512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40" w:type="dxa"/>
            <w:vAlign w:val="bottom"/>
          </w:tcPr>
          <w:p>
            <w:pPr>
              <w:spacing w:after="0"/>
              <w:rPr>
                <w:sz w:val="19"/>
                <w:szCs w:val="19"/>
                <w:color w:val="auto"/>
              </w:rPr>
            </w:pPr>
          </w:p>
        </w:tc>
        <w:tc>
          <w:tcPr>
            <w:tcW w:w="512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40" w:type="dxa"/>
            <w:vAlign w:val="bottom"/>
          </w:tcPr>
          <w:p>
            <w:pPr>
              <w:spacing w:after="0"/>
              <w:rPr>
                <w:sz w:val="19"/>
                <w:szCs w:val="19"/>
                <w:color w:val="auto"/>
              </w:rPr>
            </w:pPr>
          </w:p>
        </w:tc>
        <w:tc>
          <w:tcPr>
            <w:tcW w:w="512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40" w:type="dxa"/>
            <w:vAlign w:val="bottom"/>
          </w:tcPr>
          <w:p>
            <w:pPr>
              <w:spacing w:after="0"/>
              <w:rPr>
                <w:sz w:val="19"/>
                <w:szCs w:val="19"/>
                <w:color w:val="auto"/>
              </w:rPr>
            </w:pPr>
          </w:p>
        </w:tc>
        <w:tc>
          <w:tcPr>
            <w:tcW w:w="512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9"/>
                <w:szCs w:val="19"/>
                <w:color w:val="auto"/>
              </w:rPr>
            </w:pPr>
          </w:p>
        </w:tc>
        <w:tc>
          <w:tcPr>
            <w:tcW w:w="512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in Exhibit 101)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9512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38"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right="160" w:firstLine="8"/>
        <w:spacing w:after="0" w:line="260" w:lineRule="auto"/>
        <w:tabs>
          <w:tab w:leader="none" w:pos="45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6" w:name="page37"/>
    <w:bookmarkEnd w:id="36"/>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CIPHER MINING INC.</w:t>
      </w:r>
    </w:p>
    <w:p>
      <w:pPr>
        <w:spacing w:after="0" w:line="252" w:lineRule="exact"/>
        <w:rPr>
          <w:sz w:val="20"/>
          <w:szCs w:val="20"/>
          <w:color w:val="auto"/>
        </w:rPr>
      </w:pPr>
    </w:p>
    <w:p>
      <w:pPr>
        <w:ind w:left="20"/>
        <w:spacing w:after="0"/>
        <w:tabs>
          <w:tab w:leader="none" w:pos="5060" w:val="left"/>
          <w:tab w:leader="none" w:pos="7800" w:val="left"/>
        </w:tabs>
        <w:rPr>
          <w:sz w:val="20"/>
          <w:szCs w:val="20"/>
          <w:color w:val="auto"/>
        </w:rPr>
      </w:pPr>
      <w:r>
        <w:rPr>
          <w:rFonts w:ascii="Times New Roman" w:cs="Times New Roman" w:eastAsia="Times New Roman" w:hAnsi="Times New Roman"/>
          <w:sz w:val="18"/>
          <w:szCs w:val="18"/>
          <w:color w:val="auto"/>
        </w:rPr>
        <w:t>Date: May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26035</wp:posOffset>
            </wp:positionV>
            <wp:extent cx="37115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2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96" w:lineRule="exact"/>
        <w:rPr>
          <w:sz w:val="20"/>
          <w:szCs w:val="20"/>
          <w:color w:val="auto"/>
        </w:rPr>
      </w:pPr>
    </w:p>
    <w:p>
      <w:pPr>
        <w:ind w:left="20"/>
        <w:spacing w:after="0"/>
        <w:tabs>
          <w:tab w:leader="none" w:pos="5060" w:val="left"/>
          <w:tab w:leader="none" w:pos="7640" w:val="left"/>
        </w:tabs>
        <w:rPr>
          <w:sz w:val="20"/>
          <w:szCs w:val="20"/>
          <w:color w:val="auto"/>
        </w:rPr>
      </w:pPr>
      <w:r>
        <w:rPr>
          <w:rFonts w:ascii="Times New Roman" w:cs="Times New Roman" w:eastAsia="Times New Roman" w:hAnsi="Times New Roman"/>
          <w:sz w:val="18"/>
          <w:szCs w:val="18"/>
          <w:color w:val="auto"/>
        </w:rPr>
        <w:t>Date: May 9, 2023</w:t>
      </w:r>
      <w:r>
        <w:rPr>
          <w:sz w:val="20"/>
          <w:szCs w:val="20"/>
          <w:color w:val="auto"/>
        </w:rPr>
        <w:tab/>
      </w:r>
      <w:r>
        <w:rPr>
          <w:rFonts w:ascii="Times New Roman" w:cs="Times New Roman" w:eastAsia="Times New Roman" w:hAnsi="Times New Roman"/>
          <w:sz w:val="36"/>
          <w:szCs w:val="36"/>
          <w:color w:val="auto"/>
          <w:vertAlign w:val="superscript"/>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-8890</wp:posOffset>
            </wp:positionV>
            <wp:extent cx="37115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jc w:val="center"/>
        <w:ind w:left="538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7"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33" w:right="77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Tyler Page,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Mining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8120" w:val="left"/>
        </w:tabs>
        <w:rPr>
          <w:sz w:val="20"/>
          <w:szCs w:val="20"/>
          <w:color w:val="auto"/>
        </w:rPr>
      </w:pPr>
      <w:r>
        <w:rPr>
          <w:rFonts w:ascii="Times New Roman" w:cs="Times New Roman" w:eastAsia="Times New Roman" w:hAnsi="Times New Roman"/>
          <w:sz w:val="18"/>
          <w:szCs w:val="18"/>
          <w:color w:val="auto"/>
        </w:rPr>
        <w:t>Date: May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Farrell, certify that:</w:t>
      </w:r>
    </w:p>
    <w:p>
      <w:pPr>
        <w:spacing w:after="0" w:line="22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Mining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May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Cipher Mining Inc. (the “Company”) on Form 10-Q for the period ended March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8120" w:val="left"/>
        </w:tabs>
        <w:rPr>
          <w:sz w:val="20"/>
          <w:szCs w:val="20"/>
          <w:color w:val="auto"/>
        </w:rPr>
      </w:pPr>
      <w:r>
        <w:rPr>
          <w:rFonts w:ascii="Times New Roman" w:cs="Times New Roman" w:eastAsia="Times New Roman" w:hAnsi="Times New Roman"/>
          <w:sz w:val="18"/>
          <w:szCs w:val="18"/>
          <w:color w:val="auto"/>
        </w:rPr>
        <w:t>Date: May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Cipher Mining Inc. (the “Company”) on Form 10-Q for the period ended March 31,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May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lowerRoman"/>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lvl w:ilvl="1">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182" Type="http://schemas.openxmlformats.org/officeDocument/2006/relationships/hyperlink" Target="https://www.sec.gov/Archives/edgar/data/0001819989/000121390021013594/ea136931ex2-1_goodworks.htm" TargetMode="External"/><Relationship Id="rId183" Type="http://schemas.openxmlformats.org/officeDocument/2006/relationships/hyperlink" Target="https://www.sec.gov/Archives/edgar/data/0001819989/000119312521260900/d212090dex31.htm" TargetMode="External"/><Relationship Id="rId184" Type="http://schemas.openxmlformats.org/officeDocument/2006/relationships/hyperlink" Target="https://www.sec.gov/Archives/edgar/data/0001819989/000119312521260900/d212090dex32.htm" TargetMode="External"/><Relationship Id="rId185" Type="http://schemas.openxmlformats.org/officeDocument/2006/relationships/hyperlink" Target="https://www.sec.gov/Archives/edgar/data/0001819989/000121390020030737/ea128022ex4-3_goodworks.htm" TargetMode="External"/><Relationship Id="rId186" Type="http://schemas.openxmlformats.org/officeDocument/2006/relationships/hyperlink" Target="https://www.sec.gov/Archives/edgar/data/0001819989/000121390020033703/ea128955ex4-1_goodworksac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2023-05-09T08:05:47Z</dcterms:created>
  <dcterms:modified xsi:type="dcterms:W3CDTF">2023-05-09T08:05:47Z</dcterms:modified>
</cp:coreProperties>
</file>