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868680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894715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6"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7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94"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r>
      <w:tr>
        <w:trPr>
          <w:trHeight w:val="182"/>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9"/>
              </w:rPr>
              <w:t>1 Vanderbilt Avenue, Floor 54,</w:t>
            </w:r>
          </w:p>
        </w:tc>
        <w:tc>
          <w:tcPr>
            <w:tcW w:w="2960" w:type="dxa"/>
            <w:vAlign w:val="bottom"/>
          </w:tcPr>
          <w:p>
            <w:pPr>
              <w:spacing w:after="0"/>
              <w:rPr>
                <w:sz w:val="21"/>
                <w:szCs w:val="21"/>
                <w:color w:val="auto"/>
              </w:rPr>
            </w:pPr>
          </w:p>
        </w:tc>
      </w:tr>
      <w:tr>
        <w:trPr>
          <w:trHeight w:val="238"/>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0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N/A</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8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tcPr>
          <w:p>
            <w:pPr>
              <w:spacing w:after="0"/>
              <w:rPr>
                <w:sz w:val="15"/>
                <w:szCs w:val="15"/>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17"/>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CIFR</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33"/>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212"/>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CIFRW</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0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x</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2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208"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296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May 5, 2025, the registrant had 371,213,387 shares of Common Stock, $0.001 par value per share, outstanding.</w:t>
      </w:r>
    </w:p>
    <w:p>
      <w:pPr>
        <w:sectPr>
          <w:pgSz w:w="11900" w:h="17037" w:orient="portrait"/>
          <w:cols w:equalWidth="0" w:num="1">
            <w:col w:w="11240"/>
          </w:cols>
          <w:pgMar w:left="320" w:top="1440" w:right="339" w:bottom="0" w:gutter="0" w:footer="0" w:header="0"/>
        </w:sectPr>
      </w:pPr>
    </w:p>
    <w:bookmarkStart w:id="1" w:name="page2"/>
    <w:bookmarkEnd w:id="1"/>
    <w:p>
      <w:pPr>
        <w:spacing w:after="0" w:line="4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796290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132080</wp:posOffset>
            </wp:positionV>
            <wp:extent cx="7063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157480</wp:posOffset>
            </wp:positionV>
            <wp:extent cx="7063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1520" w:type="dxa"/>
            <w:vAlign w:val="bottom"/>
            <w:gridSpan w:val="2"/>
            <w:vMerge w:val="continue"/>
          </w:tcPr>
          <w:p>
            <w:pPr>
              <w:spacing w:after="0"/>
              <w:rPr>
                <w:sz w:val="24"/>
                <w:szCs w:val="24"/>
                <w:color w:val="auto"/>
              </w:rPr>
            </w:pPr>
          </w:p>
        </w:tc>
        <w:tc>
          <w:tcPr>
            <w:tcW w:w="2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8"/>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7"/>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Stockholders' Equity (Deficit)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80" w:type="dxa"/>
            <w:vAlign w:val="bottom"/>
            <w:tcBorders>
              <w:top w:val="single" w:sz="8" w:color="0000FF"/>
            </w:tcBorders>
            <w:gridSpan w:val="4"/>
          </w:tcPr>
          <w:p>
            <w:pPr>
              <w:spacing w:after="0"/>
              <w:rPr>
                <w:sz w:val="21"/>
                <w:szCs w:val="21"/>
                <w:color w:val="auto"/>
              </w:rPr>
            </w:pPr>
          </w:p>
        </w:tc>
        <w:tc>
          <w:tcPr>
            <w:tcW w:w="2920" w:type="dxa"/>
            <w:vAlign w:val="bottom"/>
            <w:gridSpan w:val="2"/>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4"/>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20" w:type="dxa"/>
            <w:vAlign w:val="bottom"/>
            <w:gridSpan w:val="2"/>
            <w:vMerge w:val="continue"/>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684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380" w:type="dxa"/>
            <w:vAlign w:val="bottom"/>
            <w:gridSpan w:val="5"/>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0" w:type="dxa"/>
            <w:vAlign w:val="bottom"/>
            <w:gridSpan w:val="10"/>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1"/>
                <w:szCs w:val="21"/>
                <w:color w:val="auto"/>
              </w:rPr>
            </w:pPr>
          </w:p>
        </w:tc>
        <w:tc>
          <w:tcPr>
            <w:tcW w:w="6960" w:type="dxa"/>
            <w:vAlign w:val="bottom"/>
            <w:gridSpan w:val="13"/>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about our beliefs and expectations regarding our future results of operations and financial position, planned business model and strategy, our bitcoin mining and high-performance compute (“HPC”) data center development, timing and likelihood of success, capacity, functionality and timing of operation of data centers, expectations regarding the operation of data centers, potential strategic initiatives, such as joint ventures and partnerships,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89" w:lineRule="exact"/>
        <w:rPr>
          <w:sz w:val="20"/>
          <w:szCs w:val="20"/>
          <w:color w:val="auto"/>
        </w:rPr>
      </w:pPr>
    </w:p>
    <w:p>
      <w:pPr>
        <w:ind w:left="1140" w:right="5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evolving industry and have an evolving business model and strategy, which includes our increasing focus on diversification into constructing and operating data centers for HPC companies, as well as bitcoin mining.</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hashrate, we may be unable to compete, and our results of operations could suffer.</w:t>
      </w:r>
    </w:p>
    <w:p>
      <w:pPr>
        <w:spacing w:after="0" w:line="117" w:lineRule="exact"/>
        <w:rPr>
          <w:rFonts w:ascii="Times New Roman" w:cs="Times New Roman" w:eastAsia="Times New Roman" w:hAnsi="Times New Roman"/>
          <w:sz w:val="18"/>
          <w:szCs w:val="18"/>
          <w:color w:val="auto"/>
        </w:rPr>
      </w:pPr>
    </w:p>
    <w:p>
      <w:pPr>
        <w:ind w:left="1140" w:right="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6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digital asset markets, including but not limited to, financing risk, risk of increased losses or impairments in our investments or other assets, risks of legal proceedings and government investigations, and risks from price declines or price volatility of digital assets.</w:t>
      </w:r>
    </w:p>
    <w:p>
      <w:pPr>
        <w:spacing w:after="0" w:line="67" w:lineRule="exact"/>
        <w:rPr>
          <w:rFonts w:ascii="Times New Roman" w:cs="Times New Roman" w:eastAsia="Times New Roman" w:hAnsi="Times New Roman"/>
          <w:sz w:val="18"/>
          <w:szCs w:val="18"/>
          <w:color w:val="auto"/>
        </w:rPr>
      </w:pPr>
    </w:p>
    <w:p>
      <w:pPr>
        <w:ind w:left="1140" w:right="1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trade restrictions, tariffs, or similar events could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140" w:right="2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67" w:lineRule="exact"/>
        <w:rPr>
          <w:rFonts w:ascii="Times New Roman" w:cs="Times New Roman" w:eastAsia="Times New Roman" w:hAnsi="Times New Roman"/>
          <w:sz w:val="18"/>
          <w:szCs w:val="18"/>
          <w:color w:val="auto"/>
        </w:rPr>
      </w:pPr>
    </w:p>
    <w:p>
      <w:pPr>
        <w:ind w:left="1140" w:right="52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and, thus, are particularly exposed to the performance of the Odessa Facility and changes in the regulatory environment, market conditions and natural disasters in Texas.</w:t>
      </w:r>
    </w:p>
    <w:p>
      <w:pPr>
        <w:spacing w:after="0" w:line="53" w:lineRule="exact"/>
        <w:rPr>
          <w:rFonts w:ascii="Times New Roman" w:cs="Times New Roman" w:eastAsia="Times New Roman" w:hAnsi="Times New Roman"/>
          <w:sz w:val="18"/>
          <w:szCs w:val="18"/>
          <w:color w:val="auto"/>
        </w:rPr>
      </w:pPr>
    </w:p>
    <w:p>
      <w:pPr>
        <w:jc w:val="both"/>
        <w:ind w:left="1140" w:right="12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electric grid operators, electric utility providers and manufacturers of certain critical and specialized equipment, and rely on components and raw materials that may be subject to price fluctuations or shortages, including application-specific integrated circuit (“ASIC”) chips that have been subject to periods of significant shortage and high innovation pace.</w:t>
      </w:r>
    </w:p>
    <w:p>
      <w:pPr>
        <w:spacing w:after="0" w:line="6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17" w:lineRule="exact"/>
        <w:rPr>
          <w:rFonts w:ascii="Times New Roman" w:cs="Times New Roman" w:eastAsia="Times New Roman" w:hAnsi="Times New Roman"/>
          <w:sz w:val="18"/>
          <w:szCs w:val="18"/>
          <w:color w:val="auto"/>
        </w:rPr>
      </w:pPr>
    </w:p>
    <w:p>
      <w:pPr>
        <w:ind w:left="1140" w:right="16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6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 and other necessary hardware are subject to malfunction, technological obsolescence and physical degradation.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 w:name="page5"/>
    <w:bookmarkEnd w:id="4"/>
    <w:p>
      <w:pPr>
        <w:ind w:left="1140" w:right="20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providers fail to protect confidential information and/or experience cybersecurity incidents, such as cyber-attacks, data breaches, hacking attacks or malware, there may be disruptions to our operations, triggering significant liability for us, which could harm our operating results and financial condition, and damage our reputation or otherwise materially harm our business.</w:t>
      </w:r>
    </w:p>
    <w:p>
      <w:pPr>
        <w:spacing w:after="0" w:line="67" w:lineRule="exact"/>
        <w:rPr>
          <w:rFonts w:ascii="Times New Roman" w:cs="Times New Roman" w:eastAsia="Times New Roman" w:hAnsi="Times New Roman"/>
          <w:sz w:val="18"/>
          <w:szCs w:val="18"/>
          <w:color w:val="auto"/>
        </w:rPr>
      </w:pPr>
    </w:p>
    <w:p>
      <w:pPr>
        <w:ind w:left="1140" w:right="52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bitcoin has historically been subject to wide swings, and our operating results may be adversely affected by our hedging activity.</w:t>
      </w:r>
    </w:p>
    <w:p>
      <w:pPr>
        <w:spacing w:after="0" w:line="53" w:lineRule="exact"/>
        <w:rPr>
          <w:rFonts w:ascii="Times New Roman" w:cs="Times New Roman" w:eastAsia="Times New Roman" w:hAnsi="Times New Roman"/>
          <w:sz w:val="18"/>
          <w:szCs w:val="18"/>
          <w:color w:val="auto"/>
        </w:rPr>
      </w:pPr>
    </w:p>
    <w:p>
      <w:pPr>
        <w:ind w:left="1140" w:right="16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bitcoin in a manner that adversely affects our business, prospects or operations.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sources of revenue are dependent on bitcoin and the Bitcoin ecosystem, which can be highly volatile.</w:t>
      </w:r>
    </w:p>
    <w:p>
      <w:pPr>
        <w:spacing w:after="0" w:line="117" w:lineRule="exact"/>
        <w:rPr>
          <w:rFonts w:ascii="Times New Roman" w:cs="Times New Roman" w:eastAsia="Times New Roman" w:hAnsi="Times New Roman"/>
          <w:sz w:val="18"/>
          <w:szCs w:val="18"/>
          <w:color w:val="auto"/>
        </w:rPr>
      </w:pPr>
    </w:p>
    <w:p>
      <w:pPr>
        <w:ind w:left="1140" w:right="16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use of emerging technologies like artificial intelligence, machine learning and generative artificial intelligence could lead to unintended consequences and result in reputational harm and litigation.</w:t>
      </w:r>
    </w:p>
    <w:p>
      <w:pPr>
        <w:spacing w:after="0" w:line="53" w:lineRule="exact"/>
        <w:rPr>
          <w:rFonts w:ascii="Times New Roman" w:cs="Times New Roman" w:eastAsia="Times New Roman" w:hAnsi="Times New Roman"/>
          <w:sz w:val="18"/>
          <w:szCs w:val="18"/>
          <w:color w:val="auto"/>
        </w:rPr>
      </w:pPr>
    </w:p>
    <w:p>
      <w:pPr>
        <w:ind w:left="114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67" w:lineRule="exact"/>
        <w:rPr>
          <w:rFonts w:ascii="Times New Roman" w:cs="Times New Roman" w:eastAsia="Times New Roman" w:hAnsi="Times New Roman"/>
          <w:sz w:val="18"/>
          <w:szCs w:val="18"/>
          <w:color w:val="auto"/>
        </w:rPr>
      </w:pPr>
    </w:p>
    <w:p>
      <w:pPr>
        <w:ind w:left="1140" w:right="12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important factors discussed in Part I, Item 1A, “Risk Factors” in our Annual Report on Form 10-K for the fiscal year ended December 31, 2024 filed with the Securities and Exchange Commission (the “SEC”) on February 25, 2025 (the “2024 Form 10-K”), and our other reports filed with the SEC.</w:t>
      </w:r>
    </w:p>
    <w:p>
      <w:pPr>
        <w:spacing w:after="0" w:line="1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Quarterly Report.</w:t>
      </w:r>
    </w:p>
    <w:p>
      <w:pPr>
        <w:spacing w:after="0" w:line="121" w:lineRule="exact"/>
        <w:rPr>
          <w:sz w:val="20"/>
          <w:szCs w:val="20"/>
          <w:color w:val="auto"/>
        </w:rPr>
      </w:pPr>
    </w:p>
    <w:p>
      <w:pPr>
        <w:jc w:val="both"/>
        <w:ind w:right="80"/>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7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6" w:name="page7"/>
    <w:bookmarkEnd w:id="6"/>
    <w:p>
      <w:pPr>
        <w:jc w:val="right"/>
        <w:ind w:right="29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2"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Bitcoin</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92,651</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Receivable for bitcoin collateral</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32,248</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Derivative asset</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42,835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31,648</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168,205</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480,865</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38,872</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53,908</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54,022</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12,561</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19,782</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0" w:type="dxa"/>
            <w:vAlign w:val="bottom"/>
          </w:tcPr>
          <w:p>
            <w:pPr>
              <w:spacing w:after="0"/>
              <w:rPr>
                <w:sz w:val="1"/>
                <w:szCs w:val="1"/>
                <w:color w:val="auto"/>
              </w:rPr>
            </w:pPr>
          </w:p>
        </w:tc>
      </w:tr>
      <w:tr>
        <w:trPr>
          <w:trHeight w:val="268"/>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913,792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22,699</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69,824</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Short-term borrowings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32,330</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131,778</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20,282</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9,833</w:t>
            </w:r>
          </w:p>
        </w:tc>
        <w:tc>
          <w:tcPr>
            <w:tcW w:w="0" w:type="dxa"/>
            <w:vAlign w:val="bottom"/>
          </w:tcPr>
          <w:p>
            <w:pPr>
              <w:spacing w:after="0"/>
              <w:rPr>
                <w:sz w:val="1"/>
                <w:szCs w:val="1"/>
                <w:color w:val="auto"/>
              </w:rPr>
            </w:pPr>
          </w:p>
        </w:tc>
      </w:tr>
      <w:tr>
        <w:trPr>
          <w:trHeight w:val="24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178,997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173,493</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13</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March 31,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 and December 31, 2024</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371,313,598 and 361,432,449 shares issued</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 of March 31, 2025 and December 31, 2024, respectively, and 370,857,699 and 350,783,817 shares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March 31, 2025, and December 31, 2024, respectively</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954,812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863,015</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(181,412)</w:t>
            </w: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par, 455,899 and 10,648,632 shares at March 31, 2025 and December 31, 2024,</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734,795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681,953</w:t>
            </w:r>
          </w:p>
        </w:tc>
        <w:tc>
          <w:tcPr>
            <w:tcW w:w="0" w:type="dxa"/>
            <w:vAlign w:val="bottom"/>
          </w:tcPr>
          <w:p>
            <w:pPr>
              <w:spacing w:after="0"/>
              <w:rPr>
                <w:sz w:val="1"/>
                <w:szCs w:val="1"/>
                <w:color w:val="auto"/>
              </w:rPr>
            </w:pPr>
          </w:p>
        </w:tc>
      </w:tr>
      <w:tr>
        <w:trPr>
          <w:trHeight w:val="268"/>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913,792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292" w:right="3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92" w:right="39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9019"/>
          </w:cols>
          <w:pgMar w:left="1440" w:top="1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4" w:right="1440"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9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48,137</w:t>
            </w:r>
          </w:p>
        </w:tc>
      </w:tr>
      <w:tr>
        <w:trPr>
          <w:trHeight w:val="213"/>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(14,820)</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(13,036)</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(17,244)</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income (losses) of equity investees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(losses) gains on fair value of bitcoin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40,556</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gains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(87,047)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3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Operating (loss) income</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46,786</w:t>
            </w:r>
          </w:p>
        </w:tc>
      </w:tr>
      <w:tr>
        <w:trPr>
          <w:trHeight w:val="229"/>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4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r>
      <w:tr>
        <w:trPr>
          <w:trHeight w:val="237"/>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expense</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before taxes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45,464</w:t>
            </w:r>
          </w:p>
        </w:tc>
      </w:tr>
      <w:tr>
        <w:trPr>
          <w:trHeight w:val="233"/>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46"/>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w:t>
            </w:r>
          </w:p>
        </w:tc>
      </w:tr>
      <w:tr>
        <w:trPr>
          <w:trHeight w:val="236"/>
        </w:trPr>
        <w:tc>
          <w:tcPr>
            <w:tcW w:w="7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income tax expense</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w:t>
            </w:r>
          </w:p>
        </w:tc>
      </w:tr>
      <w:tr>
        <w:trPr>
          <w:trHeight w:val="268"/>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income per share - basic and 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5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360,514,620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296,641,499</w:t>
            </w:r>
          </w:p>
        </w:tc>
      </w:tr>
      <w:tr>
        <w:trPr>
          <w:trHeight w:val="22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360,514,620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304,397,979</w:t>
            </w:r>
          </w:p>
        </w:tc>
      </w:tr>
    </w:tbl>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(DEFICIT)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ectPr>
          <w:pgSz w:w="11900" w:h="16838" w:orient="portrait"/>
          <w:cols w:equalWidth="0" w:num="1">
            <w:col w:w="11240"/>
          </w:cols>
          <w:pgMar w:left="320" w:top="1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p>
      <w:pPr>
        <w:spacing w:after="0" w:line="61" w:lineRule="exact"/>
        <w:rPr>
          <w:sz w:val="20"/>
          <w:szCs w:val="20"/>
          <w:color w:val="auto"/>
        </w:rPr>
      </w:pPr>
    </w:p>
    <w:p>
      <w:pPr>
        <w:ind w:left="60"/>
        <w:spacing w:after="0" w:line="280" w:lineRule="auto"/>
        <w:rPr>
          <w:sz w:val="20"/>
          <w:szCs w:val="20"/>
          <w:color w:val="auto"/>
        </w:rPr>
      </w:pPr>
      <w:r>
        <w:rPr>
          <w:rFonts w:ascii="Times New Roman" w:cs="Times New Roman" w:eastAsia="Times New Roman" w:hAnsi="Times New Roman"/>
          <w:sz w:val="16"/>
          <w:szCs w:val="16"/>
          <w:color w:val="auto"/>
        </w:rPr>
        <w:t>Issuance of common shares, net of offering costs - At-the-market offering</w:t>
      </w:r>
    </w:p>
    <w:p>
      <w:pPr>
        <w:spacing w:after="0" w:line="16" w:lineRule="exact"/>
        <w:rPr>
          <w:sz w:val="20"/>
          <w:szCs w:val="20"/>
          <w:color w:val="auto"/>
        </w:rPr>
      </w:pPr>
    </w:p>
    <w:p>
      <w:pPr>
        <w:ind w:left="60" w:right="360"/>
        <w:spacing w:after="0" w:line="280" w:lineRule="auto"/>
        <w:rPr>
          <w:sz w:val="20"/>
          <w:szCs w:val="20"/>
          <w:color w:val="auto"/>
        </w:rPr>
      </w:pPr>
      <w:r>
        <w:rPr>
          <w:rFonts w:ascii="Times New Roman" w:cs="Times New Roman" w:eastAsia="Times New Roman" w:hAnsi="Times New Roman"/>
          <w:sz w:val="16"/>
          <w:szCs w:val="16"/>
          <w:color w:val="auto"/>
        </w:rPr>
        <w:t>Treasury stock reissued for PIPE Investment</w:t>
      </w:r>
    </w:p>
    <w:p>
      <w:pPr>
        <w:spacing w:after="0" w:line="16" w:lineRule="exact"/>
        <w:rPr>
          <w:sz w:val="20"/>
          <w:szCs w:val="20"/>
          <w:color w:val="auto"/>
        </w:rPr>
      </w:pPr>
    </w:p>
    <w:p>
      <w:pPr>
        <w:ind w:left="60" w:right="20"/>
        <w:spacing w:after="0" w:line="260" w:lineRule="auto"/>
        <w:rPr>
          <w:sz w:val="20"/>
          <w:szCs w:val="20"/>
          <w:color w:val="auto"/>
        </w:rPr>
      </w:pPr>
      <w:r>
        <w:rPr>
          <w:rFonts w:ascii="Times New Roman" w:cs="Times New Roman" w:eastAsia="Times New Roman" w:hAnsi="Times New Roman"/>
          <w:sz w:val="16"/>
          <w:szCs w:val="16"/>
          <w:color w:val="auto"/>
        </w:rPr>
        <w:t>Delivery of common stock underlying restricted stock units, net of shares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2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361,432,449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863,015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(181,412)</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(10,648,632)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681,953</w:t>
            </w:r>
          </w:p>
        </w:tc>
      </w:tr>
      <w:tr>
        <w:trPr>
          <w:trHeight w:val="446"/>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9,149,447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34,178</w:t>
            </w:r>
          </w:p>
        </w:tc>
      </w:tr>
      <w:tr>
        <w:trPr>
          <w:trHeight w:val="446"/>
        </w:trPr>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10,438,413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-715645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-269875</wp:posOffset>
            </wp:positionV>
            <wp:extent cx="713232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2560" w:space="60"/>
            <w:col w:w="8620"/>
          </w:cols>
          <w:pgMar w:left="320" w:top="1292"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r>
      <w:tr>
        <w:trPr>
          <w:trHeight w:val="249"/>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8,782</w:t>
            </w:r>
          </w:p>
        </w:tc>
      </w:tr>
      <w:tr>
        <w:trPr>
          <w:trHeight w:val="237"/>
        </w:trPr>
        <w:tc>
          <w:tcPr>
            <w:tcW w:w="2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(38,975)</w:t>
            </w:r>
          </w:p>
        </w:tc>
      </w:tr>
      <w:tr>
        <w:trPr>
          <w:trHeight w:val="268"/>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371,313,598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954,812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(220,387)</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(455,899)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734,795</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680" w:type="dxa"/>
            <w:vAlign w:val="bottom"/>
          </w:tcPr>
          <w:p>
            <w:pPr>
              <w:spacing w:after="0"/>
              <w:rPr>
                <w:sz w:val="20"/>
                <w:szCs w:val="20"/>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(136,777)</w:t>
            </w:r>
          </w:p>
        </w:tc>
        <w:tc>
          <w:tcPr>
            <w:tcW w:w="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(5,318,674)</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r>
      <w:tr>
        <w:trPr>
          <w:trHeight w:val="216"/>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0"/>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 costs - At-the-market offering</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14,246,235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64,546</w:t>
            </w:r>
          </w:p>
        </w:tc>
      </w:tr>
      <w:tr>
        <w:trPr>
          <w:trHeight w:val="225"/>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189"/>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2,059,390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r>
      <w:tr>
        <w:trPr>
          <w:trHeight w:val="233"/>
        </w:trPr>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8,317</w:t>
            </w:r>
          </w:p>
        </w:tc>
      </w:tr>
      <w:tr>
        <w:trPr>
          <w:trHeight w:val="246"/>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39,900</w:t>
            </w: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312,649,102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697,494</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(96,877)</w:t>
            </w:r>
          </w:p>
        </w:tc>
        <w:tc>
          <w:tcPr>
            <w:tcW w:w="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(6,105,772)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600,924</w:t>
            </w:r>
          </w:p>
        </w:tc>
      </w:tr>
      <w:tr>
        <w:trPr>
          <w:trHeight w:val="20"/>
        </w:trPr>
        <w:tc>
          <w:tcPr>
            <w:tcW w:w="2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79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39,900</w:t>
            </w:r>
          </w:p>
        </w:tc>
      </w:tr>
      <w:tr>
        <w:trPr>
          <w:trHeight w:val="253"/>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(used in) operating activities: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17,097</w:t>
            </w:r>
          </w:p>
        </w:tc>
      </w:tr>
      <w:tr>
        <w:trPr>
          <w:trHeight w:val="253"/>
        </w:trPr>
        <w:tc>
          <w:tcPr>
            <w:tcW w:w="7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33"/>
        </w:trPr>
        <w:tc>
          <w:tcPr>
            <w:tcW w:w="7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53"/>
        </w:trPr>
        <w:tc>
          <w:tcPr>
            <w:tcW w:w="7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8,317</w:t>
            </w:r>
          </w:p>
        </w:tc>
      </w:tr>
      <w:tr>
        <w:trPr>
          <w:trHeight w:val="233"/>
        </w:trPr>
        <w:tc>
          <w:tcPr>
            <w:tcW w:w="7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in losses (gains) of equity investees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53"/>
        </w:trPr>
        <w:tc>
          <w:tcPr>
            <w:tcW w:w="7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lease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5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r>
      <w:tr>
        <w:trPr>
          <w:trHeight w:val="233"/>
        </w:trPr>
        <w:tc>
          <w:tcPr>
            <w:tcW w:w="7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5,564</w:t>
            </w:r>
          </w:p>
        </w:tc>
      </w:tr>
      <w:tr>
        <w:trPr>
          <w:trHeight w:val="25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consideration received for services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(48,079)</w:t>
            </w:r>
          </w:p>
        </w:tc>
      </w:tr>
      <w:tr>
        <w:trPr>
          <w:trHeight w:val="233"/>
        </w:trPr>
        <w:tc>
          <w:tcPr>
            <w:tcW w:w="7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w:t>
            </w:r>
          </w:p>
        </w:tc>
      </w:tr>
      <w:tr>
        <w:trPr>
          <w:trHeight w:val="253"/>
        </w:trPr>
        <w:tc>
          <w:tcPr>
            <w:tcW w:w="7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33"/>
        </w:trPr>
        <w:tc>
          <w:tcPr>
            <w:tcW w:w="7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bitcoin collateral</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bitcoin loan</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loss (gains) on fair value of bitcoin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(40,556)</w:t>
            </w:r>
          </w:p>
        </w:tc>
      </w:tr>
      <w:tr>
        <w:trPr>
          <w:trHeight w:val="253"/>
        </w:trPr>
        <w:tc>
          <w:tcPr>
            <w:tcW w:w="7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33"/>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53"/>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33"/>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Security deposits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non-current assets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r>
      <w:tr>
        <w:trPr>
          <w:trHeight w:val="25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w:t>
            </w:r>
          </w:p>
        </w:tc>
      </w:tr>
      <w:tr>
        <w:trPr>
          <w:trHeight w:val="237"/>
        </w:trPr>
        <w:tc>
          <w:tcPr>
            <w:tcW w:w="79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Lease liabilities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4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(26,636)</w:t>
            </w:r>
          </w:p>
        </w:tc>
      </w:tr>
      <w:tr>
        <w:trPr>
          <w:trHeight w:val="233"/>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Deposits on equipment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w:t>
            </w:r>
          </w:p>
        </w:tc>
      </w:tr>
      <w:tr>
        <w:trPr>
          <w:trHeight w:val="2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(7,902)</w:t>
            </w:r>
          </w:p>
        </w:tc>
      </w:tr>
      <w:tr>
        <w:trPr>
          <w:trHeight w:val="233"/>
        </w:trPr>
        <w:tc>
          <w:tcPr>
            <w:tcW w:w="7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Purchases and development of software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46"/>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(18,319)</w:t>
            </w:r>
          </w:p>
        </w:tc>
      </w:tr>
      <w:tr>
        <w:trPr>
          <w:trHeight w:val="233"/>
        </w:trPr>
        <w:tc>
          <w:tcPr>
            <w:tcW w:w="7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(30,957)</w:t>
            </w:r>
          </w:p>
        </w:tc>
      </w:tr>
      <w:tr>
        <w:trPr>
          <w:trHeight w:val="253"/>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treasury stock reissued for PIPE investment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66,171</w:t>
            </w:r>
          </w:p>
        </w:tc>
      </w:tr>
      <w:tr>
        <w:trPr>
          <w:trHeight w:val="233"/>
        </w:trPr>
        <w:tc>
          <w:tcPr>
            <w:tcW w:w="7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Offering costs paid for the issuance of common stock</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2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r>
      <w:tr>
        <w:trPr>
          <w:trHeight w:val="236"/>
        </w:trPr>
        <w:tc>
          <w:tcPr>
            <w:tcW w:w="7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Principal payments on financing lease</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r>
      <w:tr>
        <w:trPr>
          <w:trHeight w:val="236"/>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82,124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60,163</w:t>
            </w:r>
          </w:p>
        </w:tc>
      </w:tr>
      <w:tr>
        <w:trPr>
          <w:trHeight w:val="233"/>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r>
      <w:tr>
        <w:trPr>
          <w:trHeight w:val="246"/>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86,105</w:t>
            </w:r>
          </w:p>
        </w:tc>
      </w:tr>
      <w:tr>
        <w:trPr>
          <w:trHeight w:val="243"/>
        </w:trPr>
        <w:tc>
          <w:tcPr>
            <w:tcW w:w="7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37,565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88,675</w:t>
            </w:r>
          </w:p>
        </w:tc>
      </w:tr>
      <w:tr>
        <w:trPr>
          <w:trHeight w:val="20"/>
        </w:trPr>
        <w:tc>
          <w:tcPr>
            <w:tcW w:w="7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292" w:right="3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92" w:right="39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80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Bitcoin received as a loan</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Bitcoin loan payments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33"/>
        </w:trPr>
        <w:tc>
          <w:tcPr>
            <w:tcW w:w="8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Bitcoin transferred for rehypothecated collateral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reissued for PIPE investment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 of related party payable related to master services and supply agreement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r>
      <w:tr>
        <w:trPr>
          <w:trHeight w:val="25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r>
    </w:tbl>
    <w:p>
      <w:pPr>
        <w:spacing w:after="0" w:line="3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Consolidated Balance Sheets to the sum of the same such amounts shown in the Consolidated Statements of Cash Flows.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tcBorders>
              <w:bottom w:val="single" w:sz="8" w:color="auto"/>
            </w:tcBorders>
          </w:tcPr>
          <w:p>
            <w:pPr>
              <w:spacing w:after="0"/>
              <w:rPr>
                <w:sz w:val="19"/>
                <w:szCs w:val="19"/>
                <w:color w:val="auto"/>
              </w:rPr>
            </w:pPr>
          </w:p>
        </w:tc>
      </w:tr>
      <w:tr>
        <w:trPr>
          <w:trHeight w:val="237"/>
        </w:trPr>
        <w:tc>
          <w:tcPr>
            <w:tcW w:w="79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88,675</w:t>
            </w:r>
          </w:p>
        </w:tc>
      </w:tr>
      <w:tr>
        <w:trPr>
          <w:trHeight w:val="236"/>
        </w:trPr>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88,675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Cipher Mining Inc. (“Cipher” or the “Company”) is focused on the development and operation of industrial-scale data centers for bitcoin mining and high-performance compute (“HPC”) hosting. The Company operates one wholly-owned bitcoin mining data center, and has equity investments in three partially-owned joint venture bitcoin mining data centers. The Company’s portfolio as of March 31, 2025 also includes four wholly-owned sites which have not commenced operations, and options to acquire three additional wholly-owned sites.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8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however, proceeds from sales of bitcoin are categorized as cash flows from investing activities to the extent bitcoin is sold after seven days of receipt. As of March 31, 2025, the Company had approximate balances of cash and cash equivalents of $23.2 million, working capital of $15.8 million, total stockholders’ equity of $734.8 million and an accumulated deficit of $220.4 million. The Company uses a combination of proceeds from sales of bitcoin earned by or received from its bitcoin mining data centers, short-term financing arrangements, and strategic sales of shares through “at-the-market” offerings to support its operating expenses and capital expenditures.</w:t>
      </w:r>
    </w:p>
    <w:p>
      <w:pPr>
        <w:spacing w:after="0" w:line="14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$47.2 million of cash was used for operating activities during the three months ended March 31, 2025.</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bitcoin for proceeds of approximately $90.0 million, paid approximately $75.1 million for deposits on equipment primarily related to new miner purchases, and paid approximately $24.6 million for property and equipment primarily related to the build-out of the Black Pearl Facility.</w:t>
      </w:r>
    </w:p>
    <w:p>
      <w:pPr>
        <w:spacing w:after="0" w:line="135"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 xml:space="preserve">The Company has a master loan agreement with Coinbase Credit, Inc., as Lender, and Coinbase, Inc., as Lending Service Provider (the “Coinbase Master Loan Agreement”). Pursuant to the master loan agreement, the Company has a secured line of credit up to $25.0 million (the “Coinbase Overnight Credit Facility”), and a term loan facility with Coinbase with a limit of $35.0 million and maximum period of one year (the “Term Loan Facility”). As described in more detail in </w:t>
      </w:r>
      <w:r>
        <w:rPr>
          <w:rFonts w:ascii="Times New Roman" w:cs="Times New Roman" w:eastAsia="Times New Roman" w:hAnsi="Times New Roman"/>
          <w:sz w:val="17"/>
          <w:szCs w:val="17"/>
          <w:i w:val="1"/>
          <w:iCs w:val="1"/>
          <w:color w:val="auto"/>
        </w:rPr>
        <w:t>Note 18. Short-term borrowings</w:t>
      </w:r>
      <w:r>
        <w:rPr>
          <w:rFonts w:ascii="Times New Roman" w:cs="Times New Roman" w:eastAsia="Times New Roman" w:hAnsi="Times New Roman"/>
          <w:sz w:val="17"/>
          <w:szCs w:val="17"/>
          <w:color w:val="auto"/>
        </w:rPr>
        <w:t>, the borrowings are collateralized by bitcoin transferred to the Lending Service Provider’s platform.</w:t>
      </w:r>
    </w:p>
    <w:p>
      <w:pPr>
        <w:spacing w:after="0" w:line="1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combined with projected cash and bitcoin inflows from its data centers, its ability to sell bitcoin received or earned, and its intent and ability to sell common stock through at-the-market offerings will be sufficient to enable the Company to meet its operating and capital requirements for at least 12 months from the date these condensed consolidated financial statements are 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U.S. (“GAAP”) as determined by the FASB and pursuant to the accounting and disclosure rules and regulations of the Securities and Exchange Commission (“SEC”).</w:t>
      </w:r>
    </w:p>
    <w:p>
      <w:pPr>
        <w:spacing w:after="0" w:line="14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subsidiaries. All intercompany transactions and balances have been eliminated.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Effective for the year ended December 31, 2024, the Company changed the presentation of its consolidated income statement to separately disclose Unrealized (losses) gains on fair value of bitcoin and Realized gains on sale of bitcoin. The Company believes this presentation provides increased transparency on the nature of the respective financial statement line items. As a result, the Company reported $40.6 million, and $0.0 million as Unrealized (losses) gains on fair value of bitcoin and Realized gains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sale of bitcoin, respectively, for the three months ended March 31, 2024, which was previously reported aggregated in Gains on fair value of bitcoin.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its derivative asset, useful lives of property 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detailed description of the Company’s significant accounting policies is included in the Company’s 2024 Form 10-K. You should read the unaudited condensed consolidated financial statements in conjunction with the Company’s audited consolidated financial statements and accompanying notes in the Company’s 2024 Form 10-K. There have been no material change in the information disclosed in the notes to the Company’s audited consolidated financial statements included in the Company’s 2024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the same day that the control of the contracted service of providing hashrate transfers to the mining pool operator, which is the same day as contract inception. The noncash consideration received in the form of bitcoin is measured at 0:00:00 Coordinated Universal Time (“UTC”) using the Company’s principal market for bitcoin.</w:t>
      </w:r>
    </w:p>
    <w:p>
      <w:pPr>
        <w:spacing w:after="0" w:line="135"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 compensation due the Company. Given the terms of the contract, and the Company’s customary business practice, the contract effectively provides the Company with a contract that continuously renews throughout the day.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segment, Bitcoin Mining, which through operations produce bitcoin to generate revenue. The Chief Operating Decision Maker (“CODM”) for the Company consists of the chief executive officer (“CEO”), and chief financial officer (“CFO”). The CODM reviews the performance of its segment primarily based on operating income when deciding on allocating resources between reinvesting in Bitcoin Mining or exploring alternative deployment of resources.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Restricted cash represents amounts pledged as collateral to Luminant ET Services Company LLC (“Luminant”, and Vistra Operations Company, LLC (“Vistra”), a Luminant affiliate, primarily related to the Luminant Power Agreement (defined below in </w:t>
      </w:r>
      <w:r>
        <w:rPr>
          <w:rFonts w:ascii="Times New Roman" w:cs="Times New Roman" w:eastAsia="Times New Roman" w:hAnsi="Times New Roman"/>
          <w:sz w:val="18"/>
          <w:szCs w:val="18"/>
          <w:i w:val="1"/>
          <w:iCs w:val="1"/>
          <w:color w:val="auto"/>
        </w:rPr>
        <w:t>Note 4. Derivative Asset)</w:t>
      </w:r>
      <w:r>
        <w:rPr>
          <w:rFonts w:ascii="Times New Roman" w:cs="Times New Roman" w:eastAsia="Times New Roman" w:hAnsi="Times New Roman"/>
          <w:sz w:val="18"/>
          <w:szCs w:val="18"/>
          <w:color w:val="auto"/>
        </w:rPr>
        <w:t>. The collateral restrictions related to the Luminant Power Agreement will lapse upon termination of the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8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allocated to common shareholders by the weighted average number of common shares outstanding during the period. Diluted earnings (loss) per common share adjusts net income (loss) and net income (loss) per common share for the effect of all potentially dilutive shares of Common Stock. Potentially dilutive common shares consist of the Company’s outstanding warrants to purchase Common Stock, as well as unvested restricted stock units (“RSUs”).</w:t>
      </w:r>
    </w:p>
    <w:p>
      <w:pPr>
        <w:spacing w:after="0" w:line="15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dilutive effect of RSUs was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common shares have been excluded from the computation of diluted net loss per common share when the effect would be to reduce the net loss per common share, or increase the 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earnings (loss) per share computations for the periods indicated below:</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225"/>
        </w:trPr>
        <w:tc>
          <w:tcPr>
            <w:tcW w:w="38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38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3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360,514,620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296,641,499</w:t>
            </w:r>
          </w:p>
        </w:tc>
      </w:tr>
      <w:tr>
        <w:trPr>
          <w:trHeight w:val="25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6"/>
        </w:trPr>
        <w:tc>
          <w:tcPr>
            <w:tcW w:w="3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RSUs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7,756,480</w:t>
            </w:r>
          </w:p>
        </w:tc>
      </w:tr>
      <w:tr>
        <w:trPr>
          <w:trHeight w:val="268"/>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4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360,514,620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304,397,979</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65"/>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 - basic and diluted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-179070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-33655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-376555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-539115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-1165225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 equivalents that are excluded from the computation of diluted earnings (loss) per common share at March 31, 2025 and 2024, because including them would have been antidilutive.</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202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237"/>
        </w:trPr>
        <w:tc>
          <w:tcPr>
            <w:tcW w:w="8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8,613,980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8,613,980</w:t>
            </w:r>
          </w:p>
        </w:tc>
      </w:tr>
      <w:tr>
        <w:trPr>
          <w:trHeight w:val="23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29,298,979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2"/>
        </w:trPr>
        <w:tc>
          <w:tcPr>
            <w:tcW w:w="8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37,912,959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8,613,980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seeks to improve transparency of income tax disclosures by requiring consistent categories and greater disaggregation of information in the rate reconciliation and income taxes paid disclosures. The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adopted this standard on January 1, 2025 and it did not have a significant impact on its condensed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41" w:lineRule="exact"/>
        <w:rPr>
          <w:sz w:val="20"/>
          <w:szCs w:val="20"/>
          <w:color w:val="auto"/>
        </w:rPr>
      </w:pPr>
    </w:p>
    <w:tbl>
      <w:tblPr>
        <w:tblLayout w:type="fixed"/>
        <w:tblInd w:w="720" w:type="dxa"/>
        <w:tblCellMar>
          <w:top w:w="0" w:type="dxa"/>
          <w:left w:w="0" w:type="dxa"/>
          <w:bottom w:w="0" w:type="dxa"/>
          <w:right w:w="0" w:type="dxa"/>
        </w:tblCellMar>
      </w:tblPr>
      <w:tr>
        <w:trPr>
          <w:trHeight w:val="225"/>
        </w:trPr>
        <w:tc>
          <w:tcPr>
            <w:tcW w:w="5760" w:type="dxa"/>
            <w:vAlign w:val="bottom"/>
          </w:tcPr>
          <w:p>
            <w:pPr>
              <w:spacing w:after="0"/>
              <w:rPr>
                <w:sz w:val="19"/>
                <w:szCs w:val="19"/>
                <w:color w:val="auto"/>
              </w:rPr>
            </w:pPr>
          </w:p>
        </w:tc>
        <w:tc>
          <w:tcPr>
            <w:tcW w:w="4060" w:type="dxa"/>
            <w:vAlign w:val="bottom"/>
            <w:tcBorders>
              <w:bottom w:val="single" w:sz="8" w:color="auto"/>
            </w:tcBorders>
            <w:gridSpan w:val="5"/>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37"/>
        </w:trPr>
        <w:tc>
          <w:tcPr>
            <w:tcW w:w="57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40" w:type="dxa"/>
            <w:vAlign w:val="bottom"/>
            <w:tcBorders>
              <w:bottom w:val="single" w:sz="8" w:color="CCEEFF"/>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r>
      <w:tr>
        <w:trPr>
          <w:trHeight w:val="243"/>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7"/>
        </w:trPr>
        <w:tc>
          <w:tcPr>
            <w:tcW w:w="5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48,079</w:t>
            </w:r>
          </w:p>
        </w:tc>
      </w:tr>
      <w:tr>
        <w:trPr>
          <w:trHeight w:val="243"/>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loan payments</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on sales of bitcoin, net</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gains on bitcoin</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40,556</w:t>
            </w:r>
          </w:p>
        </w:tc>
      </w:tr>
      <w:tr>
        <w:trPr>
          <w:trHeight w:val="27"/>
        </w:trPr>
        <w:tc>
          <w:tcPr>
            <w:tcW w:w="5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transferred to collateral, net</w:t>
            </w:r>
          </w:p>
        </w:tc>
        <w:tc>
          <w:tcPr>
            <w:tcW w:w="1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40" w:type="dxa"/>
            <w:vAlign w:val="bottom"/>
            <w:tcBorders>
              <w:top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52,024</w:t>
            </w:r>
          </w:p>
        </w:tc>
        <w:tc>
          <w:tcPr>
            <w:tcW w:w="100" w:type="dxa"/>
            <w:vAlign w:val="bottom"/>
          </w:tcPr>
          <w:p>
            <w:pPr>
              <w:spacing w:after="0"/>
              <w:rPr>
                <w:sz w:val="22"/>
                <w:szCs w:val="22"/>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0</wp:posOffset>
            </wp:positionV>
            <wp:extent cx="623189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1890" cy="162560"/>
                    </a:xfrm>
                    <a:prstGeom prst="rect">
                      <a:avLst/>
                    </a:prstGeom>
                    <a:noFill/>
                  </pic:spPr>
                </pic:pic>
              </a:graphicData>
            </a:graphic>
          </wp:anchor>
        </w:drawing>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(1) Realized losses from sale of bitcoin was immaterial in all periods presented.</w:t>
      </w:r>
    </w:p>
    <w:p>
      <w:pPr>
        <w:spacing w:after="0" w:line="3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held approximately 630 and 994 bitcoin at March 31, 2025, and December 31, 2024, respectively. The associated fair value and cost basis of bitcoin held was $52.0 million, and $59.2 million, respectively, at March 31, 2025, and $92.7 million, and $79.8 million, respectively at December 31, 2024. Fair value of bitcoin is estimated using the closing price at 23:59:59 UTC in the Company’s principal market, which is a Level 1 input (i.e., an observable input such as a quoted price in an active market for an identical asset). The Company accounts for bitcoin on a first-in-first-out (“FIFO”) basis.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March 31, 2025, 394 bitcoin with a fair value of $32.5 million were pledged as collateral related to the Coinbase Overnight Credit Facility. As of December 31, 2024, 345 bitcoin with a fair value of $32.2 million were pledged as collateral related to the Coinbase Overnight Credit Facility. Restrictions on this bitcoin pledged as collateral will lapse upon repayment of the outstanding balance drawn on this facility. The collateral pledged related to the Coinbase Overnight Credit Facility can be rehypothecated and therefore is derecognized from the Company’s ending bitcoin balance, and recorded in Receivable for bitcoin collateral on the Company’s consolidated balance sheet. Any difference in cost basis of the bitcoin transferred is recorded in Realized gains on sale of bitcoin on the Company’s consolidated statement of operations.</w:t>
      </w:r>
    </w:p>
    <w:p>
      <w:pPr>
        <w:spacing w:after="0" w:line="16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Additionally, the Company may pledge bitcoin as collateral related to bitcoin trading strategies. As of March 31, 2025, we had 15 bitcoin with a fair value of $1.2 million pledged relating to bitcoin trading strategies. Restrictions on this collateral will lapse in June 2025. As of December 31, 2024 the Company had no bitcoin pledged as part of trading strategies.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2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which was subsequently amended and restated on July 9, 2021, and further amended on February 28, 2022, August 26, 2022, and August 23, 2023</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determined that the Luminant Power Agreement meets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Accordingly, the Luminant Power Agreement is recorded at its estimated fair value each reporting period with the change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recorded in change in fair value of derivative asset in the consolidated statements of operations. See additional information regarding valuation of the Luminant Power Agreement derivative in </w:t>
      </w:r>
      <w:r>
        <w:rPr>
          <w:rFonts w:ascii="Times New Roman" w:cs="Times New Roman" w:eastAsia="Times New Roman" w:hAnsi="Times New Roman"/>
          <w:sz w:val="18"/>
          <w:szCs w:val="18"/>
          <w:i w:val="1"/>
          <w:iCs w:val="1"/>
          <w:color w:val="auto"/>
        </w:rPr>
        <w:t>Note 17. Fair Value Measurements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may opportunistically sell electricity in the ERCOT market in exchange for cash payments, rather than utilizing the power to mine for bitcoin at the Odessa Facility to manage the Company’s operating costs. From Power sales, the Company earned approximately $1.0 million and $1.2 million for the three months ended March 31, 2025, and 2024, respectively, and recorded this amount within Costs and operating (expenses) income on the condensed consolidated statement of operations, with the corresponding cost of the power sold recorded in Cost of revenue.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6"/>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342,111</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137,582</w:t>
            </w: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49,021</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28,166</w:t>
            </w: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82,017</w:t>
            </w:r>
          </w:p>
        </w:tc>
      </w:tr>
      <w:tr>
        <w:trPr>
          <w:trHeight w:val="27"/>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678,217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639,503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(158,638)</w:t>
            </w:r>
          </w:p>
        </w:tc>
      </w:tr>
      <w:tr>
        <w:trPr>
          <w:trHeight w:val="27"/>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477,972</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480,865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has added approximately $120.2 million of construction-in-progress related to the build-out of the Black Pearl Facility.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$43.3 million and $17.1 million, respectively, for the three months ended March 31, 2025 and 2024, respectively, and included approximately $0.5 million and $0.8 million for the three months ended March 31, 2025 and 2024, of accretion expense related to the Company’s asset retirement obligation for the Odessa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2023, the Company entered into an agreement with Bitmain to purchase 7.1 EH/s of miners to be delivered in the first half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Sales and Purchase Agreement”). The Company has a deposit of $1.1 million remaining on this order. In addition to amending the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5, 2024 (such amendment, the “Supplemental Agreement”) to upgrade the miners and accelerate the delivery from the first half of 2025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of 2024, the Future Sales and Purchase Agreement also has an option to purchase an additional 8.7 EH/s in 2024. The Company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million upon signing the agreement in the fourth quarter of 2023 as a deposit, which can be used towards purchases under this option. On July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Company entered into an agreement to further amend the Future Sales and Purchase agreement (the “Amendment Agreement”). The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upgraded the miners to be purchased under the option, and extended the option expiration from December 31, 2024 to June 30,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subsequently executed the option under this agreement and has paid nonrefundable deposits of $93.4 million for this order as of March 31,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second quarter of 2024, the Company entered into an agreement with Canaan to purchase 1.25 EH/s of miners to be delivered in the fourth quarter of 2024, all of which have been delivered with no remaining amount to be paid. Additionally, the contract included an option to purchase 160 MW of miners which the Company can exercise on or before June 30, 2025. The Company paid a deposit of $5.3 million associated with the option.</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2024, the Company made a nonrefundable deposit with American Electric Power Company, Inc. (“AEP”) for $5.3 million related to construction costs to energize a wholly-owned site in LaSalle, Texas (the “Reveille Facility”), as a Contributions in Aid of Construction (“CIAC”) payment.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EQUITY INVESTEES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accounts for its 49% equity ownership in each of Alborz LLC, Bear LLC and Chief Mountain LLC (the “Data Center LLCs”) using the equity method of accounting. The Company’s joint venture partner holds the remaining equity in each Data Center LLC entity.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fiscal year 2022, the Company contributed miners and mining equipment to the Data Center LLCs. The contributed miners had a fair value that was below the cost paid by the Company to obtain them. As such, the Company recognized a loss at the time of the contributions, resulting in basis differences of the miners between the Company and the Data Center LLCs, which recorded the contributions of equipment from the Company at historical cost. The Company accretes these basis differences over the life of the miners and records the accretion amount for each reporting period within Equity in losses of equity investees on its statements of operations. As of March 31, 2025, the Company had remaining basis differences totaling approximately $7.8 million that have not yet been accreted.</w:t>
      </w:r>
    </w:p>
    <w:p>
      <w:pPr>
        <w:spacing w:after="0" w:line="16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Activity in the Company’s investments in equity investees during the three months ended March 31, 2025, and 2024, consisted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gridSpan w:val="9"/>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8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6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4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intangible assets consisted of the following (in thousands):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CFF"/>
            </w:tcBorders>
          </w:tcPr>
          <w:p>
            <w:pPr>
              <w:spacing w:after="0"/>
              <w:rPr>
                <w:sz w:val="2"/>
                <w:szCs w:val="2"/>
                <w:color w:val="auto"/>
              </w:rPr>
            </w:pPr>
          </w:p>
        </w:tc>
        <w:tc>
          <w:tcPr>
            <w:tcW w:w="8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940" w:type="dxa"/>
            <w:vAlign w:val="bottom"/>
            <w:tcBorders>
              <w:bottom w:val="single" w:sz="8" w:color="CCECFF"/>
            </w:tcBorders>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CFF"/>
            </w:tcBorders>
            <w:gridSpan w:val="2"/>
            <w:shd w:val="clear" w:color="auto" w:fill="CCECFF"/>
          </w:tcPr>
          <w:p>
            <w:pPr>
              <w:jc w:val="center"/>
              <w:ind w:left="850"/>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tcBorders>
              <w:bottom w:val="single" w:sz="8" w:color="CCECFF"/>
            </w:tcBorders>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3,005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CFF"/>
            </w:tcBorders>
          </w:tcPr>
          <w:p>
            <w:pPr>
              <w:spacing w:after="0"/>
              <w:rPr>
                <w:sz w:val="2"/>
                <w:szCs w:val="2"/>
                <w:color w:val="auto"/>
              </w:rPr>
            </w:pPr>
          </w:p>
        </w:tc>
        <w:tc>
          <w:tcPr>
            <w:tcW w:w="8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3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shd w:val="clear" w:color="auto" w:fill="CCECFF"/>
          </w:tcPr>
          <w:p>
            <w:pPr>
              <w:spacing w:after="0"/>
              <w:rPr>
                <w:sz w:val="24"/>
                <w:szCs w:val="24"/>
                <w:color w:val="auto"/>
              </w:rPr>
            </w:pP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bottom w:val="single" w:sz="8" w:color="CCEC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4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4"/>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-33655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-33655</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-565150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9"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$0.2 million for the three months ended March 31, 2025, and $0.1 million for the three months ended March 31, 2024. The Company expects to record amortization expense as follows over the next five subsequent years:</w:t>
      </w:r>
    </w:p>
    <w:p>
      <w:pPr>
        <w:spacing w:after="0" w:line="1" w:lineRule="exact"/>
        <w:rPr>
          <w:sz w:val="20"/>
          <w:szCs w:val="20"/>
          <w:color w:val="auto"/>
        </w:rPr>
      </w:pPr>
    </w:p>
    <w:tbl>
      <w:tblPr>
        <w:tblLayout w:type="fixed"/>
        <w:tblInd w:w="234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0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Remaining Year Ended December 31, 2025</w:t>
            </w:r>
          </w:p>
        </w:tc>
        <w:tc>
          <w:tcPr>
            <w:tcW w:w="2080" w:type="dxa"/>
            <w:vAlign w:val="bottom"/>
            <w:tcBorders>
              <w:bottom w:val="single" w:sz="8" w:color="CCECFF"/>
            </w:tcBorders>
            <w:shd w:val="clear" w:color="auto" w:fill="CCEC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2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7"/>
        </w:trPr>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208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2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7"/>
        </w:trPr>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43"/>
        </w:trPr>
        <w:tc>
          <w:tcPr>
            <w:tcW w:w="4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2080" w:type="dxa"/>
            <w:vAlign w:val="bottom"/>
            <w:shd w:val="clear" w:color="auto" w:fill="CCEC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7"/>
        </w:trPr>
        <w:tc>
          <w:tcPr>
            <w:tcW w:w="4060" w:type="dxa"/>
            <w:vAlign w:val="bottom"/>
            <w:shd w:val="clear" w:color="auto" w:fill="CCECFF"/>
          </w:tcPr>
          <w:p>
            <w:pPr>
              <w:spacing w:after="0"/>
              <w:rPr>
                <w:sz w:val="2"/>
                <w:szCs w:val="2"/>
                <w:color w:val="auto"/>
              </w:rPr>
            </w:pPr>
          </w:p>
        </w:tc>
        <w:tc>
          <w:tcPr>
            <w:tcW w:w="2080" w:type="dxa"/>
            <w:vAlign w:val="bottom"/>
            <w:shd w:val="clear" w:color="auto" w:fill="CCECFF"/>
          </w:tcPr>
          <w:p>
            <w:pPr>
              <w:spacing w:after="0"/>
              <w:rPr>
                <w:sz w:val="2"/>
                <w:szCs w:val="2"/>
                <w:color w:val="auto"/>
              </w:rPr>
            </w:pPr>
          </w:p>
        </w:tc>
        <w:tc>
          <w:tcPr>
            <w:tcW w:w="420" w:type="dxa"/>
            <w:vAlign w:val="bottom"/>
            <w:shd w:val="clear" w:color="auto" w:fill="CCEC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0"/>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Black Pearl Facility</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Barber Lake Facility</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r>
      <w:tr>
        <w:trPr>
          <w:trHeight w:val="27"/>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Stingray Facility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7"/>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security deposits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-33655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-908050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As part of various transactions to acquire wholly-owned sites, the Company has paid deposits to Oncor Electric Delivery Company LLC (“Oncor”) to construct infrastructure to provide the ability to energize each data center. These deposits are eligible to be returned to the Company if the data centers energize an agreed upon capacity within an agreed upon timeframe. As of March 31, 2025 the Company believes these deposits will be returned.</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part of the asset acquisition to acquire the Barber Lake Facility, the Company acquired a deposit with Oncor of $8.3 million which had previously been paid by the seller. As part of the transaction, the Company must remit the deposit to the seller upon receipt. As such the Company has recorded a corresponding liability in Accrued expenses and other liabilities on the condensed consolidated balance sheet as of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20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were $3.0 million and $3.4 million as of March 31, 2025 and December 31, 2024, respectively, primarily consisting of prepaid insurance as of March 31, 2025, and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0"/>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payments for miners in service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30,221</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Barber Lake site deposit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costs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5"/>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-33655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-1585595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Company recorded related party receivables of approximately $0.3 million and $2.1 million, as of March 31, 2025 and December 31, 2024, respectively, representing amounts owed to the Company from its equity method investees.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Odessa Facility Lease</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 The Combined Luminant Lease Agreement is classified as a finance lease.</w:t>
      </w:r>
    </w:p>
    <w:p>
      <w:pPr>
        <w:spacing w:after="0" w:line="16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 Pearl Facility Lease</w:t>
      </w:r>
    </w:p>
    <w:p>
      <w:pPr>
        <w:spacing w:after="0" w:line="20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subsidiary, Cipher Black Pearl LLC (“Black Pearl”), assumed a lease for a 70 acre plot of land in Winkler County, Texas, for the purpose of constructing a data center, and ancillary infrastructure to construct the Black Pearl Facility. The initial term of the lease is ten years, and includes four years consecutive renewal options for ten years each.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Reveille Facility Lease</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subsidiary, Cipher Reveille LLC (“Reveille”), assumed a lease for a 52 acre plot of land in LaSalle, Texas, for the purpose of constructing a data center, and ancillary infrastructure to construct the Reveille Facility. The initial term of the lease is ten years, and includes two consecutive renewal options for ten years each.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for its headquarters in New York, New York, and office space in Charleston, South Carolina, and Denver, Colorado.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office leases are classified as operating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41" w:lineRule="exact"/>
        <w:rPr>
          <w:sz w:val="20"/>
          <w:szCs w:val="20"/>
          <w:color w:val="auto"/>
        </w:rPr>
      </w:pPr>
    </w:p>
    <w:tbl>
      <w:tblPr>
        <w:tblLayout w:type="fixed"/>
        <w:tblInd w:w="174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r>
      <w:tr>
        <w:trPr>
          <w:trHeight w:val="236"/>
        </w:trPr>
        <w:tc>
          <w:tcPr>
            <w:tcW w:w="4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0"/>
                <w:szCs w:val="20"/>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7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(1)</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3"/>
                <w:szCs w:val="23"/>
                <w:color w:val="auto"/>
              </w:rPr>
            </w:pPr>
          </w:p>
        </w:tc>
        <w:tc>
          <w:tcPr>
            <w:tcW w:w="114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7"/>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7"/>
        </w:trPr>
        <w:tc>
          <w:tcPr>
            <w:tcW w:w="4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7"/>
        </w:trPr>
        <w:tc>
          <w:tcPr>
            <w:tcW w:w="4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3"/>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64"/>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140" w:type="dxa"/>
            <w:vAlign w:val="bottom"/>
            <w:tcBorders>
              <w:top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22"/>
                <w:szCs w:val="22"/>
                <w:color w:val="auto"/>
              </w:rPr>
            </w:pPr>
          </w:p>
        </w:tc>
        <w:tc>
          <w:tcPr>
            <w:tcW w:w="114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0</wp:posOffset>
            </wp:positionV>
            <wp:extent cx="492061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20615" cy="17145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-359410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-1397000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160" w:hanging="393"/>
        <w:spacing w:after="0"/>
        <w:tabs>
          <w:tab w:leader="none" w:pos="216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Amortization of finance lease ROU asset is included within depreciation expense.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any of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82"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5"/>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50"/>
        </w:trPr>
        <w:tc>
          <w:tcPr>
            <w:tcW w:w="20" w:type="dxa"/>
            <w:vAlign w:val="bottom"/>
            <w:tcBorders>
              <w:bottom w:val="single" w:sz="8" w:color="CCEEFF"/>
            </w:tcBorders>
          </w:tcPr>
          <w:p>
            <w:pPr>
              <w:spacing w:after="0"/>
              <w:rPr>
                <w:sz w:val="21"/>
                <w:szCs w:val="21"/>
                <w:color w:val="auto"/>
              </w:rPr>
            </w:pPr>
          </w:p>
        </w:tc>
        <w:tc>
          <w:tcPr>
            <w:tcW w:w="62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533"/>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0"/>
        </w:trPr>
        <w:tc>
          <w:tcPr>
            <w:tcW w:w="20" w:type="dxa"/>
            <w:vAlign w:val="bottom"/>
          </w:tcPr>
          <w:p>
            <w:pPr>
              <w:spacing w:after="0"/>
              <w:rPr>
                <w:sz w:val="21"/>
                <w:szCs w:val="21"/>
                <w:color w:val="auto"/>
              </w:rPr>
            </w:pPr>
          </w:p>
        </w:tc>
        <w:tc>
          <w:tcPr>
            <w:tcW w:w="6280" w:type="dxa"/>
            <w:vAlign w:val="bottom"/>
            <w:tcBorders>
              <w:top w:val="single" w:sz="8" w:color="CCECFF"/>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200" w:type="dxa"/>
            <w:vAlign w:val="bottom"/>
            <w:tcBorders>
              <w:top w:val="single" w:sz="8" w:color="auto"/>
              <w:bottom w:val="single" w:sz="8" w:color="CCECFF"/>
            </w:tcBorders>
            <w:shd w:val="clear" w:color="auto" w:fill="CCECFF"/>
          </w:tcPr>
          <w:p>
            <w:pPr>
              <w:spacing w:after="0"/>
              <w:rPr>
                <w:sz w:val="21"/>
                <w:szCs w:val="21"/>
                <w:color w:val="auto"/>
              </w:rPr>
            </w:pPr>
          </w:p>
        </w:tc>
        <w:tc>
          <w:tcPr>
            <w:tcW w:w="160" w:type="dxa"/>
            <w:vAlign w:val="bottom"/>
            <w:tcBorders>
              <w:top w:val="single" w:sz="8" w:color="auto"/>
              <w:bottom w:val="single" w:sz="8" w:color="CCECFF"/>
            </w:tcBorders>
            <w:shd w:val="clear" w:color="auto" w:fill="CCECFF"/>
          </w:tcPr>
          <w:p>
            <w:pPr>
              <w:spacing w:after="0"/>
              <w:rPr>
                <w:sz w:val="21"/>
                <w:szCs w:val="21"/>
                <w:color w:val="auto"/>
              </w:rPr>
            </w:pPr>
          </w:p>
        </w:tc>
        <w:tc>
          <w:tcPr>
            <w:tcW w:w="158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100" w:type="dxa"/>
            <w:vAlign w:val="bottom"/>
            <w:tcBorders>
              <w:top w:val="single" w:sz="8" w:color="auto"/>
              <w:bottom w:val="single" w:sz="8" w:color="CCECFF"/>
            </w:tcBorders>
            <w:shd w:val="clear" w:color="auto" w:fill="CCECFF"/>
          </w:tcPr>
          <w:p>
            <w:pPr>
              <w:spacing w:after="0"/>
              <w:rPr>
                <w:sz w:val="21"/>
                <w:szCs w:val="21"/>
                <w:color w:val="auto"/>
              </w:rPr>
            </w:pPr>
          </w:p>
        </w:tc>
        <w:tc>
          <w:tcPr>
            <w:tcW w:w="160" w:type="dxa"/>
            <w:vAlign w:val="bottom"/>
            <w:tcBorders>
              <w:top w:val="single" w:sz="8" w:color="auto"/>
              <w:bottom w:val="single" w:sz="8" w:color="CCECFF"/>
            </w:tcBorders>
            <w:shd w:val="clear" w:color="auto" w:fill="CCECFF"/>
          </w:tcPr>
          <w:p>
            <w:pPr>
              <w:spacing w:after="0"/>
              <w:rPr>
                <w:sz w:val="21"/>
                <w:szCs w:val="21"/>
                <w:color w:val="auto"/>
              </w:rPr>
            </w:pPr>
          </w:p>
        </w:tc>
        <w:tc>
          <w:tcPr>
            <w:tcW w:w="168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2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2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6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43"/>
        </w:trPr>
        <w:tc>
          <w:tcPr>
            <w:tcW w:w="2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Finance lease ROU assets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CFF"/>
          </w:tcPr>
          <w:p>
            <w:pPr>
              <w:spacing w:after="0"/>
              <w:rPr>
                <w:sz w:val="23"/>
                <w:szCs w:val="23"/>
                <w:color w:val="auto"/>
              </w:rPr>
            </w:pPr>
          </w:p>
        </w:tc>
        <w:tc>
          <w:tcPr>
            <w:tcW w:w="1580" w:type="dxa"/>
            <w:vAlign w:val="bottom"/>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7,356</w:t>
            </w:r>
          </w:p>
        </w:tc>
        <w:tc>
          <w:tcPr>
            <w:tcW w:w="100" w:type="dxa"/>
            <w:vAlign w:val="bottom"/>
            <w:shd w:val="clear" w:color="auto" w:fill="CCECFF"/>
          </w:tcPr>
          <w:p>
            <w:pPr>
              <w:spacing w:after="0"/>
              <w:rPr>
                <w:sz w:val="23"/>
                <w:szCs w:val="23"/>
                <w:color w:val="auto"/>
              </w:rPr>
            </w:pPr>
          </w:p>
        </w:tc>
        <w:tc>
          <w:tcPr>
            <w:tcW w:w="2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8"/>
                <w:szCs w:val="18"/>
                <w:color w:val="auto"/>
              </w:rPr>
              <w:t>8,117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-1388110</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7" w:lineRule="exact"/>
        <w:rPr>
          <w:sz w:val="20"/>
          <w:szCs w:val="20"/>
          <w:color w:val="auto"/>
        </w:rPr>
      </w:pPr>
    </w:p>
    <w:p>
      <w:pPr>
        <w:ind w:left="360" w:hanging="352"/>
        <w:spacing w:after="0" w:line="232" w:lineRule="auto"/>
        <w:tabs>
          <w:tab w:leader="none" w:pos="349"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March 31, 2025, the Company recorded accumulated amortization of $5.1 million for the finance lease ROU asset. Finance lease ROU assets are recorded within property and equipment, net on the Company’s consolidated balance sheets.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future minimum lease payments during the next five years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Year Ended December 31,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March 31, 2025, 510,000,000 shares with a par value of $0.001 per share are authorized, of which, 500,000,000 shares are designated as Common Stock and 10,000,000 shares are designated as preferred stock (“Preferred Stock”).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731,702 shares of Common Stock to officers, employees and consultants in settlement of an equal number of fully vested RSUs awarded to these individuals pursuant to grants made under the Cipher Mining Inc. 2021 Incentive Award Plan (the “Incentive Award Plan”). The Company immediately repurchased 245,680 of these shares of Common Stock from officers and employees, with a fair value of approximately $1.1 million, to cover taxes related to the settlement of vested RSUs, as permitted by the Incentive Award Plan. The Company placed the repurchased shares in treasury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w:t>
      </w:r>
    </w:p>
    <w:p>
      <w:pPr>
        <w:spacing w:after="0" w:line="189"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among the Original Agents, Stifel, Nicolaus &amp; Company, Incorporated (“Stifel”) and Virtu Americas LLC (“Virtu”). The Amendment modifies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to include Stifel and Virtu as additional agents under the Amended Sales Agreement. On March 6, 2024, the Company also filed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Prospectus Supplement (i) increasing the dollar amount of shares available to be sold pursuant to the Amended Sales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$296,560,661, which consists of $96,560,661 remaining as originally authorized under the Prospectus Supplement and an additional $200,000,000,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Stifel and Virtu as additional agents.</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3, 2024, the Company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Sales Agreement, the Company may offer and sell, from time to time through or to the Agents, shares of the Company’s Common Stock, for aggregate gross proceeds of up to $725.7 million (the “Shares”), which consists of (i) up to $125.7 million remaining as authorized under the Company’s Registration Statement, the base prospectus contained within the Registration Statement, and the Prospectus Supplement, as amended on September 3, 2024 and (ii) up to $600.0 million of Shares, which can be issued and sold pursuant to the Company’s shelf registration statement on Form S-3ASR, filed with the SEC on September 3, 2024, which became immediately effective upon filing, and a prospectus supplement dated September 3, 2024, filed by the Company with the SEC.</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Sales Agreement, the Agent selected by the Company (such Agent, the “Designated Agent”) may sell the Shares in sales deemed to be “at-the-market offerings” as defined in Rule 415(a)(4) promulgated under the Securities Act. The Company has no obligation to sell any of the Shares under the Amended and Restated Sales Agreement and may at any time suspend or terminate the offering of the Shares pursuant to the Amended and Restated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Amended and Restated Sales Agreement, the Company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agreed to pay the Designated Agent a commission up to 3.0% of the aggregate gross proceeds from any Shares sold through such Designated Agent pursuant to the Amended and Restated Sales Agreement. In addition, the Company agreed to reimburse certain expenses incurred by the Agents in connection with the Amended and Restated Sales Agreement. During the three months ended March 31, 2025, in connection with the Amended and Restated Sales Agreement, the Company received proceeds of $34,178,334, net of issuance costs, from the sale of 9,149,447 shares of common stock, with an average net selling price of $3.74 per share.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WARRANTS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8,613,980 Public Warrants and no Private Placement Warrants outstanding as of December 31, 2024, and March 31, 2025.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SHARE-BASED COMPENSATION</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Award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2025, this resulted in an increase of 10,523,515 shares of Common Stock available for issuance under the Incentive Award Plan. As of March 31, 2025, 12,678,674 shares of Common Stock were available for issuance under the Incentive Award Plan.</w:t>
      </w:r>
    </w:p>
    <w:p>
      <w:pPr>
        <w:spacing w:after="0" w:line="1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in Compensation and benefits on the condensed consolidated statements of operations for the following categories of awards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0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3460" w:type="dxa"/>
            <w:vAlign w:val="bottom"/>
            <w:tcBorders>
              <w:top w:val="single" w:sz="8" w:color="CCECFF"/>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920" w:type="dxa"/>
            <w:vAlign w:val="bottom"/>
            <w:tcBorders>
              <w:top w:val="single" w:sz="8" w:color="CCECFF"/>
              <w:bottom w:val="single" w:sz="8" w:color="CCECFF"/>
            </w:tcBorders>
            <w:shd w:val="clear" w:color="auto" w:fill="CCEC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tcPr>
          <w:p>
            <w:pPr>
              <w:spacing w:after="0"/>
              <w:rPr>
                <w:sz w:val="23"/>
                <w:szCs w:val="23"/>
                <w:color w:val="auto"/>
              </w:rPr>
            </w:pPr>
          </w:p>
        </w:tc>
        <w:tc>
          <w:tcPr>
            <w:tcW w:w="34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fully-vested</w:t>
            </w:r>
          </w:p>
        </w:tc>
        <w:tc>
          <w:tcPr>
            <w:tcW w:w="920" w:type="dxa"/>
            <w:vAlign w:val="bottom"/>
            <w:tcBorders>
              <w:bottom w:val="single" w:sz="8" w:color="CCECFF"/>
            </w:tcBorders>
            <w:shd w:val="clear" w:color="auto" w:fill="CCEC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740" w:type="dxa"/>
            <w:vAlign w:val="bottom"/>
          </w:tcPr>
          <w:p>
            <w:pPr>
              <w:spacing w:after="0"/>
              <w:rPr>
                <w:sz w:val="22"/>
                <w:szCs w:val="22"/>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20" w:type="dxa"/>
            <w:vAlign w:val="bottom"/>
            <w:vMerge w:val="restart"/>
          </w:tcPr>
          <w:p>
            <w:pPr>
              <w:jc w:val="right"/>
              <w:ind w:right="315"/>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7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4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-1396365</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three months ended March 31, 2025 is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r>
      <w:tr>
        <w:trPr>
          <w:trHeight w:val="239"/>
        </w:trPr>
        <w:tc>
          <w:tcPr>
            <w:tcW w:w="636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15,922,220</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4,246,129</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6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(731,702)</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2025</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19,436,647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6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5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 Does not include RSUs that have not settled as of March 31, 2025</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r>
      <w:tr>
        <w:trPr>
          <w:trHeight w:val="36"/>
        </w:trPr>
        <w:tc>
          <w:tcPr>
            <w:tcW w:w="63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bl>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$31.4 million of unrecognized compensation expense related to unvested Service-Based RSUs, which is expected to be recognized over a weighted-average vesting period of approximately 1.4 years.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not fully vested upon grant, service-based RSUs awarded generally vest over a period ranging from three to four years in installments as determined by the Board.</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(unless otherwise specified in the agreement between the award recipient and the Company).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CEO remains in continuous service through such achievement, any then-unvested service-based RSUs awarded to the CEO will also vest.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2021, the Company issued 4,257,710 performance-based RSUs (the “2021 Performance-Based RSUs”) at a weighted average grant date fair value of $7.76. None of the 2021 Performance-Based RSUs were vested as of March 31, 2025. There was no unrecognized compensation expense related to unvested performance-based RSUs at March 31, 2025.</w:t>
      </w:r>
    </w:p>
    <w:p>
      <w:pPr>
        <w:spacing w:after="0" w:line="1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One-third of the outstanding 2021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2021 Performance-Based RSUs that do not vest prior to the CEO’s termination of service or, if earlier, in connection with a change in control will be forfeited for no consideration.</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26, 2025, the Company issued an additional 2,490,943 Performance-Based RSUs (the “2025 Performance-Based RSUs”) to the Company’s senior management team under the Incentive Award Plan at a weighted average grant date fair value of $5.01. None of the 2025 Performance-Based RSUs were vested as of March 31, 2025. There was approximately $11.6 million in unrecognized compensation expense related to the 2025 Performance-Based RSUs at March 31, 2025, which is expected to be recognized over a weighted-average vesting period of approximately 1.5 years, regardless of whether the market conditions required for vesting are achieved.</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December 31, 2025 the Company will calculate the number of PSUs expected to vest (the “Earned PSUs”), based upon the Company’s common stock achieving certain Total Shareholder Return (TSR) relative to the TSR of peer companies identified in the grant agreements and the overall TSR of the Company for the 2025 calendar year. The number of Earned PSUs will range from 0% to 225% of the number of 2025 Performance-Based RSU’s originally granted. Subject to the employee’s continuous service through the vesting date, one-third of the Earned PSUs will vest on December 31, 2025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remaining two-thirds of the Earned PSUs will vest in equal quarterly installments over the following two years with the first such vesting date occurring on March 31,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of the 2025 Performance-Based RSUs was measured using a Monte Carlo simulation model based on the following assumptions:</w:t>
      </w:r>
    </w:p>
    <w:p>
      <w:pPr>
        <w:spacing w:after="0" w:line="284" w:lineRule="exact"/>
        <w:rPr>
          <w:sz w:val="20"/>
          <w:szCs w:val="20"/>
          <w:color w:val="auto"/>
        </w:rPr>
      </w:pPr>
    </w:p>
    <w:tbl>
      <w:tblPr>
        <w:tblLayout w:type="fixed"/>
        <w:tblInd w:w="3580" w:type="dxa"/>
        <w:tblCellMar>
          <w:top w:w="0" w:type="dxa"/>
          <w:left w:w="0" w:type="dxa"/>
          <w:bottom w:w="0" w:type="dxa"/>
          <w:right w:w="0" w:type="dxa"/>
        </w:tblCellMar>
      </w:tblPr>
      <w:tr>
        <w:trPr>
          <w:trHeight w:val="27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4.14%</w:t>
            </w:r>
          </w:p>
        </w:tc>
      </w:tr>
      <w:tr>
        <w:trPr>
          <w:trHeight w:val="24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111.5%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Fair Value Measured as of March 31, 2025</w:t>
            </w:r>
          </w:p>
        </w:tc>
        <w:tc>
          <w:tcPr>
            <w:tcW w:w="860" w:type="dxa"/>
            <w:vAlign w:val="bottom"/>
            <w:tcBorders>
              <w:bottom w:val="single" w:sz="8" w:color="auto"/>
            </w:tcBorders>
          </w:tcPr>
          <w:p>
            <w:pPr>
              <w:spacing w:after="0"/>
              <w:rPr>
                <w:sz w:val="19"/>
                <w:szCs w:val="19"/>
                <w:color w:val="auto"/>
              </w:rPr>
            </w:pPr>
          </w:p>
        </w:tc>
      </w:tr>
      <w:tr>
        <w:trPr>
          <w:trHeight w:val="236"/>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52,024</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for bitcoin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32,497</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68,574</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194,071</w:t>
            </w: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w:t>
            </w: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-719455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-719455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-719455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-2468245</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-2468245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-2468245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2024</w:t>
            </w:r>
          </w:p>
        </w:tc>
        <w:tc>
          <w:tcPr>
            <w:tcW w:w="800" w:type="dxa"/>
            <w:vAlign w:val="bottom"/>
            <w:tcBorders>
              <w:bottom w:val="single" w:sz="8" w:color="auto"/>
            </w:tcBorders>
          </w:tcPr>
          <w:p>
            <w:pPr>
              <w:spacing w:after="0"/>
              <w:rPr>
                <w:sz w:val="19"/>
                <w:szCs w:val="19"/>
                <w:color w:val="auto"/>
              </w:rPr>
            </w:pPr>
          </w:p>
        </w:tc>
      </w:tr>
      <w:tr>
        <w:trPr>
          <w:trHeight w:val="236"/>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for bitcoin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111,953</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229,871</w:t>
            </w: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asset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derivative asset, related to the Luminant Power Agreement, is divided between current and noncurrent assets, and was initially recorded on its consolidated balance sheets on the derivative asset’s effective date of July 1, 2022, with an offsetting amount recorded to change in fair value of derivative asset in costs and operating expenses on the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and a remaining term of approximately 2.3 years. The valuations performed by the third-party valuation firm engaged by the Company utilized pre-tax discount rates of 5.86% and 5.96% as of March 31, 2025 and December 31, 2024,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6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three months ended March 31, 2025 and 2024 (amounts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328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7960" w:type="dxa"/>
            <w:vAlign w:val="bottom"/>
            <w:tcBorders>
              <w:bottom w:val="single" w:sz="8" w:color="CCEC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000" w:type="dxa"/>
            <w:vAlign w:val="bottom"/>
            <w:tcBorders>
              <w:bottom w:val="single" w:sz="8" w:color="CCEEFF"/>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93,591</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r>
      <w:tr>
        <w:trPr>
          <w:trHeight w:val="27"/>
        </w:trPr>
        <w:tc>
          <w:tcPr>
            <w:tcW w:w="7960" w:type="dxa"/>
            <w:vAlign w:val="bottom"/>
            <w:tcBorders>
              <w:bottom w:val="single" w:sz="8" w:color="CCEC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00" w:type="dxa"/>
            <w:vAlign w:val="bottom"/>
            <w:tcBorders>
              <w:bottom w:val="single" w:sz="8" w:color="auto"/>
            </w:tcBorders>
            <w:shd w:val="clear" w:color="auto" w:fill="CCEC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100,950</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CCECFF"/>
              <w:bottom w:val="single" w:sz="8" w:color="auto"/>
            </w:tcBorders>
          </w:tcPr>
          <w:p>
            <w:pPr>
              <w:spacing w:after="0" w:line="20" w:lineRule="exact"/>
              <w:rPr>
                <w:sz w:val="1"/>
                <w:szCs w:val="1"/>
                <w:color w:val="auto"/>
              </w:rPr>
            </w:pPr>
          </w:p>
        </w:tc>
        <w:tc>
          <w:tcPr>
            <w:tcW w:w="60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18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The Company’s Private Placement Warrants (as defined in </w:t>
      </w:r>
      <w:r>
        <w:rPr>
          <w:rFonts w:ascii="Times New Roman" w:cs="Times New Roman" w:eastAsia="Times New Roman" w:hAnsi="Times New Roman"/>
          <w:sz w:val="18"/>
          <w:szCs w:val="18"/>
          <w:i w:val="1"/>
          <w:iCs w:val="1"/>
          <w:color w:val="auto"/>
        </w:rPr>
        <w:t>Note 15. Warrants</w:t>
      </w:r>
      <w:r>
        <w:rPr>
          <w:rFonts w:ascii="Times New Roman" w:cs="Times New Roman" w:eastAsia="Times New Roman" w:hAnsi="Times New Roman"/>
          <w:sz w:val="18"/>
          <w:szCs w:val="18"/>
          <w:color w:val="auto"/>
        </w:rPr>
        <w:t>) were its only liability classified within Level 3 of the fair value hierarchy because the fair value is based on significant inputs that are unobservable in the market.</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valuation of the Private Placement Warrants used assumptions and estimates the Company believes would be made by a market participant in making the same valuation. As of March 31, 2024, all Private Placement Warrants were converted to Public Warrants, and as such no Private Placement Warrants were outstanding as of March 31, 2025.</w:t>
      </w:r>
    </w:p>
    <w:p>
      <w:pPr>
        <w:spacing w:after="0" w:line="14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Common Stock. The following table presents significant assumptions utilized in the valuations of the Private Placement Warrants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980" w:type="dxa"/>
            <w:vAlign w:val="bottom"/>
            <w:tcBorders>
              <w:bottom w:val="single" w:sz="8" w:color="CCEC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8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540" w:type="dxa"/>
            <w:vAlign w:val="bottom"/>
            <w:tcBorders>
              <w:bottom w:val="single" w:sz="8" w:color="CCECFF"/>
            </w:tcBorders>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8"/>
                <w:szCs w:val="18"/>
                <w:color w:val="auto"/>
                <w:w w:val="98"/>
              </w:rPr>
              <w:t>4.00%</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0.00%</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tcBorders>
              <w:bottom w:val="single" w:sz="8" w:color="CCECFF"/>
            </w:tcBorders>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8"/>
                <w:szCs w:val="18"/>
                <w:color w:val="auto"/>
              </w:rPr>
              <w:t>124.0%</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2.7</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540" w:type="dxa"/>
            <w:vAlign w:val="bottom"/>
            <w:tcBorders>
              <w:bottom w:val="single" w:sz="8" w:color="CCECFF"/>
            </w:tcBorders>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8"/>
                <w:szCs w:val="18"/>
                <w:color w:val="auto"/>
              </w:rPr>
              <w:t>$11.50</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following table presents changes in the estimated fair value of the Private Placement Warrants (amounts in thousands):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8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54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80" w:type="dxa"/>
            <w:vAlign w:val="bottom"/>
            <w:tcBorders>
              <w:bottom w:val="single" w:sz="8" w:color="CCEEFF"/>
            </w:tcBorders>
            <w:gridSpan w:val="3"/>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5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880" w:type="dxa"/>
            <w:vAlign w:val="bottom"/>
            <w:tcBorders>
              <w:top w:val="single" w:sz="8" w:color="CCEEFF"/>
            </w:tcBorders>
            <w:gridSpan w:val="3"/>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54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8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8880" w:type="dxa"/>
            <w:vAlign w:val="bottom"/>
            <w:tcBorders>
              <w:bottom w:val="single" w:sz="8" w:color="CCEEFF"/>
            </w:tcBorders>
            <w:gridSpan w:val="3"/>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5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8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18. SHORT-TERM BORROWINGS</w:t>
            </w:r>
          </w:p>
        </w:tc>
        <w:tc>
          <w:tcPr>
            <w:tcW w:w="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88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Coinbase Master Loan Agreement</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the Coinbase Master Loan Agreement, under which the Company established the Coinbase Overnight Credit Facility of $25.0 million. The Company will not incur commitment fees for unused portions of the Coinbase Overnight Credit Facility. The borrowing rate on amounts drawn against the Credit Facility is determined based on the Federal Funds Target Rate - Upper Bound, plus 2.5%, calculated daily based on a 365-day year and payable monthly for the duration of the loan, and market demand. Borrowings under the Coinbase Overnight Credit Facility are available on demand, open term, and collateralized by bitcoin transferred to the Lending Service Provider’s platform. Since the Lender has the right to rehypothecate the bitcoin held as collateral, the Company derecognized the bitcoin transferred. The Company has the right to receive the bitcoin back from the Lender upon repayment of the Coinbase Overnight Credit Facility, and as such recognized a receivable for bitcoin collateral measured at fair value of the bitcoin to be received upon repayment. The Company may also withdraw bitcoin if the loan becomes over-collateralized due to increases in bitcoin price.</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Coinbase Master Loan Agreement, the Company also established the “Term Loan Facility” with a limit of $35.0 million and maximum period of one year, with an interest rate to be determined upon drawdown. Coinbase has the right to terminate loans under the Term Loan Facility if the price of bitcoin falls below $40,000.</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$25.0 million outstanding on the Coinbase Overnight Credit Facility, at a weighted average interest rate of 8.8%. The Company had $25.0 million balance outstanding on the Coinbase Overnight Credit Facility as of December 31, 2024. The Company had no balance outstanding on the Term Loan Facility as of March 31, 2025 or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Luxor Purchase and Sale Agreement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the ability to enter into agreements with Luxor Technology Corporation (“Luxor”) to borrow bitcoin to be repaid at a fixed amount of bitcoin per day over fixed periods. The Company records the outstanding balance at fair value in Short-term borrowings based on the current bitcoin price, with changes in fair value recorded in Other income.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9" w:name="page30"/>
    <w:bookmarkEnd w:id="2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owed approximately 128.2 bitcoin valued at $10.5 million related to these agreements. As of December 31, 2024 the Company owed approximately 80.3 bitcoin valued at $7.3 million related to this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one operating segment, Bitcoin Mining, which through operations produce bitcoin to generate revenue. The Chief Operating Decision Maker (“CODM”) for the Company consists of the CEO and CFO. The CODM reviews the performance of its segment primarily based on operating income when deciding on allocating resources between reinvesting in Bitcoin Mining or exploring alternative deployment of resources. Asset information is not regularly provided to the CODM for resource allocation as a large portion of assets are property and equipment that cannot be repurposed for other revenue streams.</w:t>
      </w:r>
    </w:p>
    <w:p>
      <w:pPr>
        <w:spacing w:after="0" w:line="14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three months ended March 31, 2025 and 2024 is summarized in the following table (in thousands):</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30" w:name="page31"/>
    <w:bookmarkEnd w:id="3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900" w:type="dxa"/>
        <w:tblCellMar>
          <w:top w:w="0" w:type="dxa"/>
          <w:left w:w="0" w:type="dxa"/>
          <w:bottom w:w="0" w:type="dxa"/>
          <w:right w:w="0" w:type="dxa"/>
        </w:tblCellMar>
      </w:tblP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48,959</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6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(38,831)</w:t>
            </w:r>
          </w:p>
        </w:tc>
        <w:tc>
          <w:tcPr>
            <w:tcW w:w="0" w:type="dxa"/>
            <w:vAlign w:val="bottom"/>
          </w:tcPr>
          <w:p>
            <w:pPr>
              <w:spacing w:after="0"/>
              <w:rPr>
                <w:sz w:val="1"/>
                <w:szCs w:val="1"/>
                <w:color w:val="auto"/>
              </w:rPr>
            </w:pPr>
          </w:p>
        </w:tc>
      </w:tr>
      <w:tr>
        <w:trPr>
          <w:trHeight w:val="21"/>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48,137</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6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80" w:hanging="263"/>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Bitcoin Mining include Power sales, and Other gains.</w:t>
      </w:r>
    </w:p>
    <w:p>
      <w:pPr>
        <w:spacing w:after="0" w:line="63" w:lineRule="exact"/>
        <w:rPr>
          <w:rFonts w:ascii="Times New Roman" w:cs="Times New Roman" w:eastAsia="Times New Roman" w:hAnsi="Times New Roman"/>
          <w:sz w:val="18"/>
          <w:szCs w:val="18"/>
          <w:color w:val="auto"/>
        </w:rPr>
      </w:pPr>
    </w:p>
    <w:p>
      <w:pPr>
        <w:ind w:left="1180" w:hanging="263"/>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items included in adjustments include Compensation and benefits, and General and administrative.</w:t>
      </w:r>
    </w:p>
    <w:p>
      <w:pPr>
        <w:spacing w:after="0" w:line="63" w:lineRule="exact"/>
        <w:rPr>
          <w:rFonts w:ascii="Times New Roman" w:cs="Times New Roman" w:eastAsia="Times New Roman" w:hAnsi="Times New Roman"/>
          <w:sz w:val="18"/>
          <w:szCs w:val="18"/>
          <w:color w:val="auto"/>
        </w:rPr>
      </w:pPr>
    </w:p>
    <w:p>
      <w:pPr>
        <w:ind w:left="1180" w:hanging="263"/>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non-operating items include Change in fair value of warrant liability, and Other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INCOME TAXES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determination of income tax expense in the unaudited condensed consolidated statements of operations is based upon the estimated effective tax rate for the year, adjusted for the impact of any discrete items which are accounted for in the</w:t>
      </w:r>
    </w:p>
    <w:p>
      <w:pPr>
        <w:sectPr>
          <w:pgSz w:w="11900" w:h="16838" w:orient="portrait"/>
          <w:cols w:equalWidth="0" w:num="1">
            <w:col w:w="11020"/>
          </w:cols>
          <w:pgMar w:left="320" w:top="225" w:right="5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25" w:right="559" w:bottom="1440" w:gutter="0" w:footer="0" w:header="0"/>
          <w:type w:val="continuous"/>
        </w:sectPr>
      </w:pPr>
    </w:p>
    <w:bookmarkStart w:id="31" w:name="page32"/>
    <w:bookmarkEnd w:id="3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period in which they occur. The Company recorded an income tax expense of approximately 0.4% of loss before taxes for the three months ended March 31, 2025 and 12.2% of income before taxes for the three months ended March 31,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consolidated financial statements through the date of this report. No subsequent events have been identified other than those disclosed in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25" w:right="599" w:bottom="1440" w:gutter="0" w:footer="0" w:header="0"/>
        </w:sectPr>
      </w:pPr>
    </w:p>
    <w:bookmarkStart w:id="32" w:name="page33"/>
    <w:bookmarkEnd w:id="3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Part II, Item 1A, “Risk Factors” and other factors set forth in other parts of this Quarterly Report.</w:t>
      </w:r>
    </w:p>
    <w:p>
      <w:pPr>
        <w:spacing w:after="0" w:line="156"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“Cipher Mining,” “we,” “us” or “our” refers to Cipher Mining Inc. and its consolidated subsidiaries,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develop and operate industrial-scale data centers. Our active portfolio and development pipeline is expected to consist of more than 3.0 GW of capacity across 11 sites. We currently operate one wholly-owned 207 MW bitcoin mining data center, have equity investments in three partially-owned 40 MW bitcoin mining data centers, and have a pipeline of approximately 2.8 GW across seven additional sites in Texas, including one 300 MW data center at which we plan to energize 150 MW of bitcoin mining in 2025. As we develop the sites in our pipeline and source future sites, locations and partnerships, we evaluate their suitability for either bitcoin mining or high-performance computing (“HPC”).</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current intention is to continue expanding our business by developing and operating industrial-scale data centers for bitcoin mining and HPC, expanding capacity at our current data centers, continuing to execute our treasury management strategy and entering into other strategic arrangements, such as joint ventures, data center hosting and leasing agreements, or software licensing arrangements. We aim to be a market leader in innovation, including in bitcoin mining growth, data center construction and as a hosting partner to HPC companies.</w:t>
      </w:r>
    </w:p>
    <w:p>
      <w:pPr>
        <w:spacing w:after="0" w:line="15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April 30, 2025, the hashrate capacity of the Odessa Facility was 11.3 EH/s. Our joint ventures, in which we have a 49% equity interest, have a hashrate capacity of 4.4 EH/s.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Affecting Our Results of Operations” in the “Management’s Discussion and Analysis of Financial Condition and Results of Operations” section of our 2024 Form 10-K. Our financial position and results of operations depend to a significant extent on those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Inventory</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inventory for the three months ended March 31, 2025, including bitcoin production and sales of bitcoin (dollar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w w:val="98"/>
              </w:rPr>
              <w:t>Quantity</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0" w:type="dxa"/>
            <w:vAlign w:val="bottom"/>
          </w:tcPr>
          <w:p>
            <w:pPr>
              <w:spacing w:after="0"/>
              <w:rPr>
                <w:sz w:val="1"/>
                <w:szCs w:val="1"/>
                <w:color w:val="auto"/>
              </w:rPr>
            </w:pPr>
          </w:p>
        </w:tc>
      </w:tr>
      <w:tr>
        <w:trPr>
          <w:trHeight w:val="243"/>
        </w:trPr>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w:t>
            </w:r>
          </w:p>
        </w:tc>
        <w:tc>
          <w:tcPr>
            <w:tcW w:w="0" w:type="dxa"/>
            <w:vAlign w:val="bottom"/>
          </w:tcPr>
          <w:p>
            <w:pPr>
              <w:spacing w:after="0"/>
              <w:rPr>
                <w:sz w:val="1"/>
                <w:szCs w:val="1"/>
                <w:color w:val="auto"/>
              </w:rPr>
            </w:pPr>
          </w:p>
        </w:tc>
      </w:tr>
      <w:tr>
        <w:trPr>
          <w:trHeight w:val="243"/>
        </w:trPr>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payments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0" w:type="dxa"/>
            <w:vAlign w:val="bottom"/>
          </w:tcPr>
          <w:p>
            <w:pPr>
              <w:spacing w:after="0"/>
              <w:rPr>
                <w:sz w:val="1"/>
                <w:szCs w:val="1"/>
                <w:color w:val="auto"/>
              </w:rPr>
            </w:pPr>
          </w:p>
        </w:tc>
      </w:tr>
      <w:tr>
        <w:trPr>
          <w:trHeight w:val="243"/>
        </w:trPr>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losses on bitcoin</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transferred to collateral, net</w:t>
            </w: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6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52,024</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79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components of our results of operations, refer to the “Management’s Discussion and Analysis of Financial Condition and Results of Operations” section of our 2024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 (in thousands):</w:t>
      </w:r>
    </w:p>
    <w:p>
      <w:pPr>
        <w:spacing w:after="0" w:line="241" w:lineRule="exact"/>
        <w:rPr>
          <w:sz w:val="20"/>
          <w:szCs w:val="20"/>
          <w:color w:val="auto"/>
        </w:rPr>
      </w:pPr>
    </w:p>
    <w:tbl>
      <w:tblPr>
        <w:tblLayout w:type="fixed"/>
        <w:tblInd w:w="184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9"/>
                <w:szCs w:val="19"/>
                <w:color w:val="auto"/>
              </w:rPr>
            </w:pPr>
          </w:p>
        </w:tc>
      </w:tr>
      <w:tr>
        <w:trPr>
          <w:trHeight w:val="237"/>
        </w:trPr>
        <w:tc>
          <w:tcPr>
            <w:tcW w:w="4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 bitcoin mining</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48,959</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48,137</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5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revenue</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(14,820)</w:t>
            </w:r>
          </w:p>
        </w:tc>
      </w:tr>
      <w:tr>
        <w:trPr>
          <w:trHeight w:val="233"/>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(13,036)</w:t>
            </w:r>
          </w:p>
        </w:tc>
      </w:tr>
      <w:tr>
        <w:trPr>
          <w:trHeight w:val="25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r>
      <w:tr>
        <w:trPr>
          <w:trHeight w:val="233"/>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(17,244)</w:t>
            </w:r>
          </w:p>
        </w:tc>
      </w:tr>
      <w:tr>
        <w:trPr>
          <w:trHeight w:val="25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w:t>
            </w:r>
          </w:p>
        </w:tc>
      </w:tr>
      <w:tr>
        <w:trPr>
          <w:trHeight w:val="233"/>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Power sales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5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in income (losses) of equity investees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33"/>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(losses) gains on fair value of bitcoin</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40,556</w:t>
            </w:r>
          </w:p>
        </w:tc>
      </w:tr>
      <w:tr>
        <w:trPr>
          <w:trHeight w:val="25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Other gains</w:t>
            </w: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(87,047)</w:t>
            </w: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3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(38,088)</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46,786</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3"/>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5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33"/>
        </w:trPr>
        <w:tc>
          <w:tcPr>
            <w:tcW w:w="4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46"/>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expense</w:t>
            </w:r>
          </w:p>
        </w:tc>
        <w:tc>
          <w:tcPr>
            <w:tcW w:w="10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r>
      <w:tr>
        <w:trPr>
          <w:trHeight w:val="236"/>
        </w:trPr>
        <w:tc>
          <w:tcPr>
            <w:tcW w:w="4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taxes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45,464</w:t>
            </w:r>
          </w:p>
        </w:tc>
      </w:tr>
      <w:tr>
        <w:trPr>
          <w:trHeight w:val="23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4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0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w:t>
            </w:r>
          </w:p>
        </w:tc>
      </w:tr>
      <w:tr>
        <w:trPr>
          <w:trHeight w:val="237"/>
        </w:trPr>
        <w:tc>
          <w:tcPr>
            <w:tcW w:w="4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w:t>
            </w:r>
          </w:p>
        </w:tc>
      </w:tr>
      <w:tr>
        <w:trPr>
          <w:trHeight w:val="26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5580"/>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Comparative Results for the Three Months Ended March 31, 2025 and 2024 </w:t>
      </w:r>
      <w:r>
        <w:rPr>
          <w:rFonts w:ascii="Times New Roman" w:cs="Times New Roman" w:eastAsia="Times New Roman" w:hAnsi="Times New Roman"/>
          <w:sz w:val="18"/>
          <w:szCs w:val="18"/>
          <w:i w:val="1"/>
          <w:iCs w:val="1"/>
          <w:color w:val="auto"/>
        </w:rPr>
        <w:t>Revenue</w:t>
      </w: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March 31, 2025 was $49.0 million, compared to $48.1 million for the three months ended March 31, 2024, and was generated entirely from bitcoin mining operations at the Odessa Facility. The increase year over year was primarily driven by an increase in the average bitcoin price in the current year, partially offset by a decrease in the amount of bitcoin mined as a result of the bitcoin halving in April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the three months ended March 31, 2025 was $14.9 million, compared with $14.8 million for the three months ended March 31, 2024, and consisted primarily of power costs at the Odessa Facility. The consistency is primarily due to our fixed cost of power under our Power Purchase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for the three months ended March 31, 2025 was $14.3 million, an increase of $1.3 million compared to $13.0 million for the three months ended March 31, 2024. The increase was primarily due to an increase in headcount year-over-year.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2025 was $9.0 million, an increase of $2.9 million compared to $6.1 million for the three months ended March 31, 2024. The increase was primarily driven by an increase in legal fees related to strategic initiatives, and professional fees related to SOX 404 compliance as a result of losing Emerging Growth Company status during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months ended March 31, 2025 was $43.5 million, an increase of $26.3 million compared to Depreciation and amortization of $17.2 million for the three months ended March 31, 2024. The increase was primarily due to increased miners, and mining equipment at the Odessa Facility, as well as the change in the estimated useful life of our miners from five years to three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asset was a $7.3 million decrease for the three months ended March 31, 2025 and was driven by the fair value of the Luminant Power Agreement. The estimated fair value of our derivative asset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At our Odessa Facility, we sell excess electricity that was available under the Luminant Power Agreement, but not needed in our mining operations, back to the ERCOT market through Luminant. We sold power for proceeds of $1.0 million and $1.2 million for the three months ended March 31, 2025, and 2024, respectively. Power sales fluctuate each period based on power and bitcoin prices, which are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income (losses) of equity investees</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Equity in losses of equity investees totaled $5.3 million for the three months ended March 31, 2025 compared to income of $0.7 million for the three months ended March 31, 2024. Equity in losses of equity investees consists of our 49% share in the earnings (losses) generated by our three partially-owned mining sites, and the accretion of the basis differences in our investments in the equity investees that resulted from contributions of miners during the year ended December 31, 2022. We are accreting these basis differences over the five-year useful life of the miners. For the three months ended March 31, 2025, we recognized roughly $4 million as our 49% share of a one-time impairment charge on the miners of Alborz LLC, net of accretion.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 gains on fair value of bitcoin</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Unrealized losses on fair value of bitcoin totaled $20.2 million for the three months ended March 31, 2025, compared to Unrealized gains on fair value of bitcoin of $40.6 million for the three months ended March 31, 2024. Unrealized (losses) gains on fair value of bitcoin is driven by the cost of bitcoin mined compared to the price of bitcoin at the end of the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on sale of bitcoin</w:t>
      </w:r>
    </w:p>
    <w:p>
      <w:pPr>
        <w:spacing w:after="0" w:line="20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Realized gains on sale of bitcoin totaled $12.2 million for the three months ended March 31, 2025. In the current period this was related to gains recognized on bitcoin sales. We did not sell bitcoin in the prior year period.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8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Other expense totaled $0.7 million for the three months ended March 31, 2025, compared to $1.3 million of Other expense for the three months ended March 31, 2024. In the prior year period we experienced losses from hedging strategies as part of treasury management.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0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we recorded a provision for income taxes of $0.1 million as a result of projected income for the current year in the jurisdictions which we operate. For the three months ended March 31, 2024, we recorded a provision for income taxes of $5.6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had cash used in operations of $47.2 million for the three months ended March 31, 2025. As of March 31, 2025, we had cash and cash equivalents of $23.2 million, total stockholders’ equity of $734.8 million and an accumulated deficit of $220.4 million. We fund operations primarily through a combination of at-the-market stock issuances and bitcoin sales.</w:t>
      </w:r>
    </w:p>
    <w:p>
      <w:pPr>
        <w:spacing w:after="0" w:line="14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established an at-the-market sales agreement with Cantor Fitzgerald &amp; Co., Canaccord Genuity LLC, Needham &amp; Company, LLC, Compass Point Research &amp; Trading, LLC, Keefe, Bruyette &amp; Woods, Inc., Virtu Americas LLC, and BTIG, LLC (each, an “Agent” and, together, the “Agents”), pursuant to which we may, from time to time, sell shares of our common stock having an aggregate offering price of up to $725.7 million. For the three months ended March 31, 2025, we received net proceeds on sales of 9.1 million shares of common stock under the Amended and Restated Sales Agreement of approximately $34.2 million (net of commissions and expenses) at an average net selling price of $3.74 per share. For more information on our at-the-market sales agreement and our at-the-market offerings, see “Note 14, </w:t>
      </w:r>
      <w:r>
        <w:rPr>
          <w:rFonts w:ascii="Times New Roman" w:cs="Times New Roman" w:eastAsia="Times New Roman" w:hAnsi="Times New Roman"/>
          <w:sz w:val="18"/>
          <w:szCs w:val="18"/>
          <w:i w:val="1"/>
          <w:iCs w:val="1"/>
          <w:color w:val="auto"/>
        </w:rPr>
        <w:t>Stockholders’ Equity — At-the-Market Sales Agreement</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August 14, 2023, we entered into a master loan agreement with Coinbase Credit, Inc., as lender, and Coinbase, Inc., as lending service provider. Pursuant to the master loan agreement, we currently have a secured line of credit up to $25.0 million (the “Coinbase Overnight Credit Facility”). We will not incur commitment fees for unused portions of the Coinbase Overnight Credit Facility. The borrowing rate on amounts drawn against the Coinbase Overnight Credit Facility is determined on the basis of the Federal Funds Target Rate - Upper Bound, plus 2.5%, calculated daily based on a 365-day year and payable monthly for the duration of the loan. Borrowings under the Coinbase Overnight Credit Facility are available on demand, open term, and collateralized by bitcoin transferred to the lending service provider’s platform. As of March 31, 2025 we had $25.0 million drawn from the Coinbase Overnight Credit Facility, $15 million of which was repaid prior to February 25, 2025. Additionally, we established a term loan facility with Coinbase with a limit of $35.0 million and maximum period of one year (the “Term Loan Facility”). Coinbase has the right to terminate loans under the Term Loan Facility if the price of bitcoin falls below $40,000. As of March 31, 2025, we were in compliance with the covenants under the Coinbase Overnight Credit Facility.</w:t>
      </w:r>
    </w:p>
    <w:p>
      <w:pPr>
        <w:spacing w:after="0" w:line="1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enter into agreements with Luxor Technology Corporation (“Luxor”) when needed to borrow bitcoin for short-term periods, which we are able to use as a source of short-term financing.</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our intent and ability to sell bitcoin received or earned, and our intent and ability to sell common stock through at-the-market offerings will be sufficient to enable us to meet our operating and capital requirements for at least 12 months from the date the condensed consolidated financial statements included in this Quarterly Report are issued and the foreseeable future.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2"/>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 (in thousands):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6"/>
        </w:trPr>
        <w:tc>
          <w:tcPr>
            <w:tcW w:w="7640" w:type="dxa"/>
            <w:vAlign w:val="bottom"/>
          </w:tcPr>
          <w:p>
            <w:pPr>
              <w:spacing w:after="0"/>
              <w:rPr>
                <w:sz w:val="24"/>
                <w:szCs w:val="24"/>
                <w:color w:val="auto"/>
              </w:rPr>
            </w:pPr>
          </w:p>
        </w:tc>
        <w:tc>
          <w:tcPr>
            <w:tcW w:w="358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40" w:type="dxa"/>
            <w:vAlign w:val="bottom"/>
            <w:tcBorders>
              <w:bottom w:val="single" w:sz="8" w:color="CCEC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bottom w:val="single" w:sz="8" w:color="CCECFF"/>
            </w:tcBorders>
            <w:shd w:val="clear" w:color="auto" w:fill="CCEC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(47,238)</w:t>
            </w:r>
          </w:p>
        </w:tc>
        <w:tc>
          <w:tcPr>
            <w:tcW w:w="10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CCECFF"/>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(26,636)</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w:t>
            </w:r>
          </w:p>
        </w:tc>
      </w:tr>
      <w:tr>
        <w:trPr>
          <w:trHeight w:val="27"/>
        </w:trPr>
        <w:tc>
          <w:tcPr>
            <w:tcW w:w="7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bottom w:val="single" w:sz="8" w:color="CCECFF"/>
            </w:tcBorders>
            <w:shd w:val="clear" w:color="auto" w:fill="CCECFF"/>
          </w:tcPr>
          <w:p>
            <w:pPr>
              <w:spacing w:after="0"/>
              <w:rPr>
                <w:sz w:val="23"/>
                <w:szCs w:val="23"/>
                <w:color w:val="auto"/>
              </w:rPr>
            </w:pPr>
          </w:p>
        </w:tc>
        <w:tc>
          <w:tcPr>
            <w:tcW w:w="6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6"/>
              </w:rPr>
              <w:t>82,124</w:t>
            </w:r>
          </w:p>
        </w:tc>
        <w:tc>
          <w:tcPr>
            <w:tcW w:w="100" w:type="dxa"/>
            <w:vAlign w:val="bottom"/>
            <w:tcBorders>
              <w:bottom w:val="single" w:sz="8" w:color="CCECFF"/>
            </w:tcBorders>
            <w:shd w:val="clear" w:color="auto" w:fill="CCECFF"/>
          </w:tcPr>
          <w:p>
            <w:pPr>
              <w:spacing w:after="0"/>
              <w:rPr>
                <w:sz w:val="23"/>
                <w:szCs w:val="23"/>
                <w:color w:val="auto"/>
              </w:rPr>
            </w:pPr>
          </w:p>
        </w:tc>
        <w:tc>
          <w:tcPr>
            <w:tcW w:w="400" w:type="dxa"/>
            <w:vAlign w:val="bottom"/>
            <w:tcBorders>
              <w:bottom w:val="single" w:sz="8" w:color="CCECFF"/>
            </w:tcBorders>
            <w:shd w:val="clear" w:color="auto" w:fill="CCECFF"/>
          </w:tcPr>
          <w:p>
            <w:pPr>
              <w:spacing w:after="0"/>
              <w:rPr>
                <w:sz w:val="23"/>
                <w:szCs w:val="23"/>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60,163</w:t>
            </w:r>
          </w:p>
        </w:tc>
      </w:tr>
      <w:tr>
        <w:trPr>
          <w:trHeight w:val="237"/>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8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17,588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7"/>
        </w:trPr>
        <w:tc>
          <w:tcPr>
            <w:tcW w:w="7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increased by $20.6 million to $47.2 million for the three months ended March 31, 2025 from $26.6 million for the three months ended March 31, 2024. We incurred a net loss of $39.0 million for the three months ended March 31, 2025, compared to net income of $39.9 million for the three months ended March 31, 2024, representing a decrease of $78.9 million. Cash flows used in operating activities was impacted by a $78.9 million decrease in Net income, and $75.9 million increase in non-cash items, primarily driven a $48.5 million increase in gains on the fair value of bitcoin, and a $26.2 million increase in Depreciation. Additionally, changes in assets and liabilities resulted in an increase in cash used of $17.6 million between the three months ended March 31, 2025 and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decreased by $13.7 million to $17.3 million of net cash used in investing activities for the three months ended March 31, 2025 compared to $31.0 million of net cash used in investing activities for the three months ended March 31, 2024. This change primarily related to $90.0 million of proceeds from sale of Bitcoin, an $11.0 million decrease in contributions to equity investees related to capital expenditures and operations at the Alborz, Bear and Chief facilities, partially offset by a $70.6 million increase in deposits related to new miner purchases, and a $16.7 million increase in purchases of Property and equipment related to building out the Black Pearl facility.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Cash flows provided by financing activities increased by $22.0 million to $82.1 million net cash provided by financing activities for the three months ended March 31, 2025 from $60.2 million net cash provided by financing activities for the three months ended March 31, 2024. This change was primarily driven by a $50.0 million increase in proceeds from treasury stock reissued for PIPE investment, partially offset by a $31.6 million decrease in proceeds from the issuance of common stock during the three months ended March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0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December 17, 2021, we entered into a lease agreement for office space, amended in the second quarter of 2024, with a term through May 2029. Monthly rent payments associated with the amended lease are approximately $0.2 million.</w:t>
      </w:r>
    </w:p>
    <w:p>
      <w:pPr>
        <w:spacing w:after="0" w:line="121"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We also entered into a series of agreements with affiliates of Luminant ET Services Company LLC (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3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consolidated balance sheet.</w:t>
      </w:r>
    </w:p>
    <w:p>
      <w:pPr>
        <w:spacing w:after="0" w:line="1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condensed consolidated financial statements.</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are providing supplemental financial measures for Adjusted Earnings (Loss) and Adjusted Earnings (Loss) per share - diluted, in each case that exclude the impact of (i) the non-cash change in fair value of derivative asset, (ii) share-based compensation expense, (iii) depreciation and amortization, (iv) deferred income tax expense, (v) nonrecurring gains and losses and (vi) the non-cash change in fair value of warrant liability. These supplemental financial measures are not measurements of financial performance under accounting principles generally accepted in the United Stated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 by excluding certain items that vary in our industry based on company policy.</w:t>
      </w:r>
    </w:p>
    <w:p>
      <w:pPr>
        <w:spacing w:after="0" w:line="1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condensed consolidated financial statements included elsewhere in this Quarterly Report, which have been prepared in accordance with GAAP. We rely primarily on such condensed consolidated financial statements to understand, manage and evaluate our business performance and use the non-GAAP financial measures only supplementally.</w:t>
      </w:r>
    </w:p>
    <w:p>
      <w:pPr>
        <w:spacing w:after="0" w:line="165"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to the most directly comparable GAAP measure for the periods indicated (in thousands):</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r>
      <w:tr>
        <w:trPr>
          <w:trHeight w:val="237"/>
        </w:trPr>
        <w:tc>
          <w:tcPr>
            <w:tcW w:w="60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0"/>
                <w:szCs w:val="20"/>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w:t>
            </w:r>
          </w:p>
        </w:tc>
        <w:tc>
          <w:tcPr>
            <w:tcW w:w="10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(38,975)</w:t>
            </w:r>
          </w:p>
        </w:tc>
        <w:tc>
          <w:tcPr>
            <w:tcW w:w="140" w:type="dxa"/>
            <w:vAlign w:val="bottom"/>
          </w:tcPr>
          <w:p>
            <w:pPr>
              <w:spacing w:after="0"/>
              <w:rPr>
                <w:sz w:val="21"/>
                <w:szCs w:val="21"/>
                <w:color w:val="auto"/>
              </w:rPr>
            </w:pP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43,467</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losses - nonrecurring</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6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(loss) earnings</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(loss) per share - diluted to the most directly comparable GAAP measure for the periods indicated: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75" w:lineRule="exact"/>
        <w:rPr>
          <w:sz w:val="20"/>
          <w:szCs w:val="20"/>
          <w:color w:val="auto"/>
        </w:rPr>
      </w:pPr>
    </w:p>
    <w:tbl>
      <w:tblPr>
        <w:tblLayout w:type="fixed"/>
        <w:tblInd w:w="88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9"/>
                <w:szCs w:val="19"/>
                <w:color w:val="auto"/>
              </w:rPr>
            </w:pPr>
          </w:p>
        </w:tc>
      </w:tr>
      <w:tr>
        <w:trPr>
          <w:trHeight w:val="237"/>
        </w:trPr>
        <w:tc>
          <w:tcPr>
            <w:tcW w:w="60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20"/>
                <w:szCs w:val="20"/>
                <w:color w:val="auto"/>
              </w:rPr>
            </w:pPr>
          </w:p>
        </w:tc>
      </w:tr>
      <w:tr>
        <w:trPr>
          <w:trHeight w:val="23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 per share - diluted:</w:t>
            </w: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21"/>
                <w:szCs w:val="21"/>
                <w:color w:val="auto"/>
              </w:rPr>
            </w:pPr>
          </w:p>
        </w:tc>
        <w:tc>
          <w:tcPr>
            <w:tcW w:w="11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per diluted share</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 per diluted share</w:t>
            </w:r>
          </w:p>
        </w:tc>
        <w:tc>
          <w:tcPr>
            <w:tcW w:w="10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 nonrecurring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per diluted share</w:t>
            </w:r>
          </w:p>
        </w:tc>
        <w:tc>
          <w:tcPr>
            <w:tcW w:w="10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8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(loss) earnings per diluted share</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our policies regarding our critical accounting estimates, see "Critical Accounting Policies and Estimates" of Part II, Item 7 "Management's Discussion and Analysis of Financial Condition and Results of Operations" in our 2024 Form 10-K. During the three months ended March 31, 2025, there were no significant changes in our critical accounting policies and estimates or the application or the results of the application of those policies to our unaudited condensed consolidated financial statements from those previously disclosed in our 2024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adopted and not yet adopted as of the date of this report, is included in Note 2 to our unaudited condensed consolidated financial statements located in “Part I - Financial Information, Item 1. Financial Statements” in this Quarterly Report.</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of our market risks involves forward-looking statements. Actual results could differ materially from those projected in our forward-looking statements. For more information regarding the forward-looking statements used in this section and elsewhere in this Quarterly Report, see the Cautionary Note Regarding Forward-Looking Statements at the forepart of this Quarterly Report.</w:t>
      </w:r>
    </w:p>
    <w:p>
      <w:pPr>
        <w:spacing w:after="0" w:line="13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primary market risks are described below. We use various strategies to manage these risks; however, they may still from time to time impact our condensed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Price Risk</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hold bitcoin on our inventory at fair value, and as such we are exposed to the impact of the change in bitcoin price. As of March 31, 2025, we had 630 bitcoin in inventory, of which 150 bitcoin were hedged through trading strategies. A 10% decrease in the price of bitcoin would result in an estimated $3.9 million increase in Net loss for the three months ended March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Price Risk</w:t>
      </w:r>
    </w:p>
    <w:p>
      <w:pPr>
        <w:spacing w:after="0" w:line="200"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estimated fair value of our Derivative asset related to our power purchase agreement is derived from Level 2 and Level 3 inputs. Specifically, the discounted cash flow estimation models contain quoted spot and forward prices for electricity. A 10% decrease in power prices would result in an estimated $17.1 million decrease in the estimated fair value of the Derivative asset and increase in Net loss for the three months ended March 31,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as defined by Rules 13a-15(e) and 15d-15(e) of the Exchange Act, as of March 31, 2025, the end of the period covered by this Quarterly Report. This evaluation was done under the supervision and with the participation of management, including our Chief Executive Officer and Chief Financial Officer.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March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noted in the 2024 Form 10-K, during management’s assessment of internal controls over financial reporting, a material weakness was identified related to certain Information Technology General Controls (“ITGCs”) over change management controls.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the material weakness related to certain ITGCs over change management controls and lack of related compensating automated process-level and manual controls was identified, management began implementing and has continued to implement and refine measures designed to ensure that control deficiencies contributing to the material weakness are remediated, such that these controls are designed, implemented, and operating effectively. During the three months ended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40" w:name="page41"/>
    <w:bookmarkEnd w:id="40"/>
    <w:p>
      <w:pPr>
        <w:ind w:right="140"/>
        <w:spacing w:after="0" w:line="266" w:lineRule="auto"/>
        <w:rPr>
          <w:sz w:val="20"/>
          <w:szCs w:val="20"/>
          <w:color w:val="auto"/>
        </w:rPr>
      </w:pPr>
      <w:r>
        <w:rPr>
          <w:rFonts w:ascii="Times New Roman" w:cs="Times New Roman" w:eastAsia="Times New Roman" w:hAnsi="Times New Roman"/>
          <w:sz w:val="18"/>
          <w:szCs w:val="18"/>
          <w:color w:val="auto"/>
        </w:rPr>
        <w:t>March 31, 2025, management enhanced its existing program change management controls for certain systems impacting the Company’s processes around revenue recognition and design of manual key reconciliation processes. The Company made progress but work remains to ensure reliability of such controls. Our plan includes the following, and management will continue to assess additional opportunities for remediation on an ongoing basis:</w:t>
      </w:r>
    </w:p>
    <w:p>
      <w:pPr>
        <w:spacing w:after="0" w:line="176" w:lineRule="exact"/>
        <w:rPr>
          <w:sz w:val="20"/>
          <w:szCs w:val="20"/>
          <w:color w:val="auto"/>
        </w:rPr>
      </w:pPr>
    </w:p>
    <w:p>
      <w:pPr>
        <w:ind w:left="1300" w:right="180" w:hanging="942"/>
        <w:spacing w:after="0" w:line="282" w:lineRule="auto"/>
        <w:tabs>
          <w:tab w:leader="none" w:pos="1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2025 in key financial reporting and information technology areas, including hiring additional employees.</w:t>
      </w:r>
    </w:p>
    <w:p>
      <w:pPr>
        <w:spacing w:after="0" w:line="53" w:lineRule="exact"/>
        <w:rPr>
          <w:rFonts w:ascii="Times New Roman" w:cs="Times New Roman" w:eastAsia="Times New Roman" w:hAnsi="Times New Roman"/>
          <w:sz w:val="18"/>
          <w:szCs w:val="18"/>
          <w:color w:val="auto"/>
        </w:rPr>
      </w:pPr>
    </w:p>
    <w:p>
      <w:pPr>
        <w:ind w:left="1300" w:right="260" w:hanging="942"/>
        <w:spacing w:after="0" w:line="282" w:lineRule="auto"/>
        <w:tabs>
          <w:tab w:leader="none" w:pos="1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using an external third-party internal audit and SOX 404 implementation consulting firm to improve the Company’s controls related to the material weakness described above.</w:t>
      </w:r>
    </w:p>
    <w:p>
      <w:pPr>
        <w:spacing w:after="0" w:line="53" w:lineRule="exact"/>
        <w:rPr>
          <w:rFonts w:ascii="Times New Roman" w:cs="Times New Roman" w:eastAsia="Times New Roman" w:hAnsi="Times New Roman"/>
          <w:sz w:val="18"/>
          <w:szCs w:val="18"/>
          <w:color w:val="auto"/>
        </w:rPr>
      </w:pPr>
    </w:p>
    <w:p>
      <w:pPr>
        <w:ind w:left="1300" w:right="400" w:hanging="942"/>
        <w:spacing w:after="0" w:line="282" w:lineRule="auto"/>
        <w:tabs>
          <w:tab w:leader="none" w:pos="1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that the material weakness in our internal control over financial reporting will not be considered remediated until the remediated controls operate for a sufficient period of time and can be tested and concluded by management to be designed and operating 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Rules 13a-15(f) and 15d-15(f) under the Exchange Act)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41" w:name="page42"/>
    <w:bookmarkEnd w:id="41"/>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 outcome of any such claims or proceedings, regardless of the merits, is inherently uncertain. There have been no material changes to such proceedings previously disclosed in our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operating results can be affected by a number of factors, whether currently known or unknown, including but not limited to the risk factors as previously disclosed in Part I, Item 1A, “Risk Factors” of our 2024 Form 10-K, which is incorporated herein by reference. There have been no material changes to the risk factors previously disclosed in our 2024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other unregistered sales of our securities except as previously reported in our Current Reports on Form 8-K.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1300" w:right="5580" w:hanging="644"/>
        <w:spacing w:after="0" w:line="453" w:lineRule="auto"/>
        <w:tabs>
          <w:tab w:leader="none" w:pos="8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1300" w:right="2020" w:hanging="644"/>
        <w:spacing w:after="0" w:line="461" w:lineRule="auto"/>
        <w:tabs>
          <w:tab w:leader="none" w:pos="9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85" w:lineRule="exact"/>
        <w:rPr>
          <w:sz w:val="20"/>
          <w:szCs w:val="20"/>
          <w:color w:val="auto"/>
        </w:rPr>
      </w:pPr>
    </w:p>
    <w:p>
      <w:pPr>
        <w:ind w:left="660" w:right="40" w:firstLine="648"/>
        <w:spacing w:after="0" w:line="254" w:lineRule="auto"/>
        <w:rPr>
          <w:sz w:val="20"/>
          <w:szCs w:val="20"/>
          <w:color w:val="auto"/>
        </w:rPr>
      </w:pPr>
      <w:r>
        <w:rPr>
          <w:rFonts w:ascii="Times New Roman" w:cs="Times New Roman" w:eastAsia="Times New Roman" w:hAnsi="Times New Roman"/>
          <w:sz w:val="18"/>
          <w:szCs w:val="18"/>
          <w:color w:val="auto"/>
        </w:rPr>
        <w:t>Our officers and directors from time to time may adopt trading plans to transact in our common stock for a variety of reasons, including tax considerations, investment diversification, or other personal reasons. During the three months ended March 31, 2025, certain of our officers and directors adopted a pre-arranged stock trading plan intended to satisfy the affirmative defense of Rule 10b5-1(c) under the Securities Exchange Act of 1934, as amended (each such plan, a “Rule 10b5-1 Plan”), as described below. On March 14, 2025, Tyler Page, Chief Executive Officer and director, adopted a Rule 10b5-1 Plan that is intended to satisfy the affirmative defense of Rule 10b5-1(c) for the sale of up to 900,000 shares of our common stock until November 13, 2025. No other directors or “officers” (as defined in Section 16a-1(f) of the Securities Exchange Act of 1934, as amended) adopted, terminated, or modified a “Rule 10b5-1 trading arrangement” or a “non-Rule 10b5-1 trading arrangement,” as each term is defined in Item 408(a) of Regulation S-K, during the three months ended March 31, 2025.</w:t>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gridSpan w:val="18"/>
          </w:tcPr>
          <w:p>
            <w:pPr>
              <w:ind w:left="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4"/>
                <w:szCs w:val="24"/>
                <w:color w:val="auto"/>
              </w:rPr>
            </w:pPr>
          </w:p>
        </w:tc>
        <w:tc>
          <w:tcPr>
            <w:tcW w:w="43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Agreement and Plan of Merger, dated as of March 4, 2021, by and</w:t>
              </w:r>
            </w:hyperlink>
          </w:p>
        </w:tc>
        <w:tc>
          <w:tcPr>
            <w:tcW w:w="440" w:type="dxa"/>
            <w:vAlign w:val="bottom"/>
            <w:gridSpan w:val="7"/>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2"/>
          </w:tcPr>
          <w:p>
            <w:pPr>
              <w:spacing w:after="0" w:line="183"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among Good Works Acquisition Corp., Currency Merger Sub, Inc. and</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Cipher Mining Technologies Inc.</w:t>
              </w:r>
            </w:hyperlink>
          </w:p>
        </w:tc>
        <w:tc>
          <w:tcPr>
            <w:tcW w:w="14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Second Amended and Restated Certificate of Incorporation of Cipher</w:t>
              </w:r>
            </w:hyperlink>
          </w:p>
        </w:tc>
        <w:tc>
          <w:tcPr>
            <w:tcW w:w="240" w:type="dxa"/>
            <w:vAlign w:val="bottom"/>
            <w:gridSpan w:val="5"/>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2"/>
          </w:tcPr>
          <w:p>
            <w:pPr>
              <w:spacing w:after="0" w:line="183"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Mining Inc.</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0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Amended and Restated Bylaws of Cipher Mining Inc.</w:t>
              </w:r>
            </w:hyperlink>
          </w:p>
        </w:tc>
        <w:tc>
          <w:tcPr>
            <w:tcW w:w="1240" w:type="dxa"/>
            <w:vAlign w:val="bottom"/>
            <w:gridSpan w:val="14"/>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Specimen Warrant Certificate of Good Works Acquisition Corp.</w:t>
              </w:r>
            </w:hyperlink>
          </w:p>
        </w:tc>
        <w:tc>
          <w:tcPr>
            <w:tcW w:w="580" w:type="dxa"/>
            <w:vAlign w:val="bottom"/>
            <w:gridSpan w:val="9"/>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333-248333</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10/9/21</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2"/>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Warrant Agreement, dated as of October 19, 2020, by and between</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10/28/20</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top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Continental Stock Transfer &amp; Trust Company and Good Works</w:t>
              </w:r>
            </w:hyperlink>
          </w:p>
        </w:tc>
        <w:tc>
          <w:tcPr>
            <w:tcW w:w="420" w:type="dxa"/>
            <w:vAlign w:val="bottom"/>
            <w:gridSpan w:val="6"/>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Acquisition Corp.</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2"/>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Subscription Agreement, dated January 30, 2025, by and between</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1/30/25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Cipher Mining Inc. and Star Beacon LLC</w:t>
              </w:r>
            </w:hyperlink>
          </w:p>
        </w:tc>
        <w:tc>
          <w:tcPr>
            <w:tcW w:w="1560" w:type="dxa"/>
            <w:vAlign w:val="bottom"/>
            <w:tcBorders>
              <w:top w:val="single" w:sz="8" w:color="0000FF"/>
            </w:tcBorders>
            <w:gridSpan w:val="8"/>
          </w:tcPr>
          <w:p>
            <w:pPr>
              <w:spacing w:after="0"/>
              <w:rPr>
                <w:sz w:val="15"/>
                <w:szCs w:val="15"/>
                <w:color w:val="auto"/>
              </w:rPr>
            </w:pPr>
          </w:p>
        </w:tc>
        <w:tc>
          <w:tcPr>
            <w:tcW w:w="48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Registration Rights Agreement, dated January 30, 2025, by and</w:t>
              </w:r>
            </w:hyperlink>
          </w:p>
        </w:tc>
        <w:tc>
          <w:tcPr>
            <w:tcW w:w="620" w:type="dxa"/>
            <w:vAlign w:val="bottom"/>
            <w:gridSpan w:val="10"/>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1/30/25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Borders>
              <w:bottom w:val="single" w:sz="8" w:color="0000FF"/>
            </w:tcBorders>
            <w:gridSpan w:val="7"/>
          </w:tcPr>
          <w:p>
            <w:pPr>
              <w:spacing w:after="0" w:line="183"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between Cipher Mining Inc. and Star Beacon LLC</w:t>
              </w:r>
            </w:hyperlink>
          </w:p>
        </w:tc>
        <w:tc>
          <w:tcPr>
            <w:tcW w:w="1460" w:type="dxa"/>
            <w:vAlign w:val="bottom"/>
            <w:gridSpan w:val="15"/>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6"/>
          </w:tcPr>
          <w:p>
            <w:pPr>
              <w:spacing w:after="0"/>
              <w:rPr>
                <w:sz w:val="15"/>
                <w:szCs w:val="15"/>
                <w:color w:val="auto"/>
              </w:rPr>
            </w:pPr>
          </w:p>
        </w:tc>
        <w:tc>
          <w:tcPr>
            <w:tcW w:w="820" w:type="dxa"/>
            <w:vAlign w:val="bottom"/>
            <w:gridSpan w:val="8"/>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00" w:type="dxa"/>
            <w:vAlign w:val="bottom"/>
            <w:tcBorders>
              <w:top w:val="single" w:sz="8" w:color="0000FF"/>
            </w:tcBorders>
            <w:gridSpan w:val="5"/>
          </w:tcPr>
          <w:p>
            <w:pPr>
              <w:spacing w:after="0"/>
              <w:rPr>
                <w:sz w:val="15"/>
                <w:szCs w:val="15"/>
                <w:color w:val="auto"/>
              </w:rPr>
            </w:pPr>
          </w:p>
        </w:tc>
        <w:tc>
          <w:tcPr>
            <w:tcW w:w="860" w:type="dxa"/>
            <w:vAlign w:val="bottom"/>
            <w:gridSpan w:val="9"/>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18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160" w:type="dxa"/>
            <w:vAlign w:val="bottom"/>
            <w:gridSpan w:val="1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w:t>
            </w:r>
          </w:p>
        </w:tc>
        <w:tc>
          <w:tcPr>
            <w:tcW w:w="22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80" w:type="dxa"/>
            <w:vAlign w:val="bottom"/>
            <w:gridSpan w:val="2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1"/>
                <w:szCs w:val="21"/>
                <w:color w:val="auto"/>
              </w:rPr>
            </w:pPr>
          </w:p>
        </w:tc>
        <w:tc>
          <w:tcPr>
            <w:tcW w:w="474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1"/>
                <w:szCs w:val="21"/>
                <w:color w:val="auto"/>
              </w:rPr>
            </w:pPr>
          </w:p>
        </w:tc>
        <w:tc>
          <w:tcPr>
            <w:tcW w:w="474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120" w:right="4720" w:hanging="1094"/>
        <w:spacing w:after="0" w:line="298" w:lineRule="auto"/>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center"/>
        <w:ind w:right="200"/>
        <w:spacing w:after="0" w:line="283" w:lineRule="auto"/>
        <w:rPr>
          <w:sz w:val="20"/>
          <w:szCs w:val="20"/>
          <w:color w:val="auto"/>
        </w:rPr>
      </w:pPr>
      <w:r>
        <w:rPr>
          <w:rFonts w:ascii="Times New Roman" w:cs="Times New Roman" w:eastAsia="Times New Roman" w:hAnsi="Times New Roman"/>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-2540</wp:posOffset>
            </wp:positionV>
            <wp:extent cx="7200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324" w:lineRule="exact"/>
        <w:rPr>
          <w:sz w:val="20"/>
          <w:szCs w:val="20"/>
          <w:color w:val="auto"/>
        </w:rPr>
      </w:pPr>
    </w:p>
    <w:p>
      <w:pPr>
        <w:sectPr>
          <w:pgSz w:w="11900" w:h="16838" w:orient="portrait"/>
          <w:cols w:equalWidth="0" w:num="2">
            <w:col w:w="10020" w:space="340"/>
            <w:col w:w="820"/>
          </w:cols>
          <w:pgMar w:left="320" w:top="1292" w:right="3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1" w:lineRule="exact"/>
        <w:rPr>
          <w:sz w:val="20"/>
          <w:szCs w:val="20"/>
          <w:color w:val="auto"/>
        </w:rPr>
      </w:pPr>
    </w:p>
    <w:p>
      <w:pPr>
        <w:jc w:val="both"/>
        <w:ind w:left="180" w:hanging="172"/>
        <w:spacing w:after="0" w:line="239" w:lineRule="auto"/>
        <w:tabs>
          <w:tab w:leader="none" w:pos="1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pursuant to Item 601(b)(10)(iv) of Regulation S-K because such information is (i) non-material, (ii) is of the type that the registrant customarily and actually treats as private or confidential and (iii) would be competitively harmful if publicly disclosed.</w:t>
      </w:r>
    </w:p>
    <w:p>
      <w:pPr>
        <w:spacing w:after="0" w:line="2" w:lineRule="exact"/>
        <w:rPr>
          <w:sz w:val="20"/>
          <w:szCs w:val="20"/>
          <w:color w:val="auto"/>
        </w:rPr>
      </w:pPr>
    </w:p>
    <w:p>
      <w:pPr>
        <w:ind w:left="180" w:right="20" w:hanging="172"/>
        <w:spacing w:after="0" w:line="260" w:lineRule="auto"/>
        <w:tabs>
          <w:tab w:leader="none" w:pos="1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undertakes to provide copies of any of the omitted schedules or exhibits upon request by the Securities and Exchange Commission.</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type w:val="continuous"/>
        </w:sectPr>
      </w:pPr>
    </w:p>
    <w:bookmarkStart w:id="43" w:name="page44"/>
    <w:bookmarkEnd w:id="4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29"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80"/>
          </w:cols>
          <w:pgMar w:left="320" w:top="1292" w:right="3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52" w:lineRule="exact"/>
        <w:rPr>
          <w:sz w:val="20"/>
          <w:szCs w:val="20"/>
          <w:color w:val="auto"/>
        </w:rPr>
      </w:pPr>
    </w:p>
    <w:p>
      <w:pPr>
        <w:ind w:left="1140" w:hanging="113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65" w:lineRule="exact"/>
        <w:rPr>
          <w:rFonts w:ascii="Times New Roman" w:cs="Times New Roman" w:eastAsia="Times New Roman" w:hAnsi="Times New Roman"/>
          <w:sz w:val="18"/>
          <w:szCs w:val="18"/>
          <w:color w:val="auto"/>
        </w:rPr>
      </w:pPr>
    </w:p>
    <w:p>
      <w:pPr>
        <w:ind w:left="1140" w:right="100" w:hanging="1132"/>
        <w:spacing w:after="0" w:line="305"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1140" w:right="380" w:hanging="1132"/>
        <w:spacing w:after="0" w:line="36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1140" w:hanging="113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49" w:lineRule="exact"/>
        <w:rPr>
          <w:rFonts w:ascii="Times New Roman" w:cs="Times New Roman" w:eastAsia="Times New Roman" w:hAnsi="Times New Roman"/>
          <w:sz w:val="18"/>
          <w:szCs w:val="18"/>
          <w:color w:val="auto"/>
        </w:rPr>
      </w:pPr>
    </w:p>
    <w:p>
      <w:pPr>
        <w:ind w:left="1140"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305" w:lineRule="auto"/>
        <w:tabs>
          <w:tab w:leader="none" w:pos="22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2280" w:right="440" w:hanging="1138"/>
        <w:spacing w:after="0" w:line="338" w:lineRule="auto"/>
        <w:tabs>
          <w:tab w:leader="none" w:pos="227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7"/>
          <w:szCs w:val="17"/>
          <w:color w:val="auto"/>
        </w:rPr>
      </w:pPr>
    </w:p>
    <w:p>
      <w:pPr>
        <w:ind w:left="2280" w:hanging="1138"/>
        <w:spacing w:after="0"/>
        <w:tabs>
          <w:tab w:leader="none" w:pos="2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49" w:lineRule="exact"/>
        <w:rPr>
          <w:rFonts w:ascii="Times New Roman" w:cs="Times New Roman" w:eastAsia="Times New Roman" w:hAnsi="Times New Roman"/>
          <w:sz w:val="18"/>
          <w:szCs w:val="18"/>
          <w:color w:val="auto"/>
        </w:rPr>
      </w:pPr>
    </w:p>
    <w:p>
      <w:pPr>
        <w:ind w:left="2280" w:righ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305" w:lineRule="auto"/>
        <w:tabs>
          <w:tab w:leader="none" w:pos="22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w:t>
      </w:r>
    </w:p>
    <w:p>
      <w:pPr>
        <w:spacing w:after="0" w:line="49" w:lineRule="exact"/>
        <w:rPr>
          <w:rFonts w:ascii="Times New Roman" w:cs="Times New Roman" w:eastAsia="Times New Roman" w:hAnsi="Times New Roman"/>
          <w:sz w:val="18"/>
          <w:szCs w:val="18"/>
          <w:color w:val="auto"/>
        </w:rPr>
      </w:pPr>
    </w:p>
    <w:p>
      <w:pPr>
        <w:ind w:left="1140"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305" w:lineRule="auto"/>
        <w:tabs>
          <w:tab w:leader="none" w:pos="22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41" w:right="339" w:bottom="1440" w:gutter="0" w:footer="0" w:header="0"/>
        </w:sectPr>
      </w:pPr>
    </w:p>
    <w:bookmarkStart w:id="45" w:name="page46"/>
    <w:bookmarkEnd w:id="45"/>
    <w:p>
      <w:pPr>
        <w:ind w:left="2260" w:hanging="1138"/>
        <w:spacing w:after="0" w:line="329" w:lineRule="auto"/>
        <w:tabs>
          <w:tab w:leader="none" w:pos="2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5640" w:val="left"/>
          <w:tab w:leader="none" w:pos="814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51435</wp:posOffset>
            </wp:positionV>
            <wp:extent cx="32404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15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600"/>
          </w:cols>
          <w:pgMar w:left="340" w:top="1161" w:right="9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52" w:lineRule="exact"/>
        <w:rPr>
          <w:sz w:val="20"/>
          <w:szCs w:val="20"/>
          <w:color w:val="auto"/>
        </w:rPr>
      </w:pPr>
    </w:p>
    <w:p>
      <w:pPr>
        <w:ind w:left="1140" w:hanging="113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65" w:lineRule="exact"/>
        <w:rPr>
          <w:rFonts w:ascii="Times New Roman" w:cs="Times New Roman" w:eastAsia="Times New Roman" w:hAnsi="Times New Roman"/>
          <w:sz w:val="18"/>
          <w:szCs w:val="18"/>
          <w:color w:val="auto"/>
        </w:rPr>
      </w:pPr>
    </w:p>
    <w:p>
      <w:pPr>
        <w:ind w:left="1140" w:right="100" w:hanging="1132"/>
        <w:spacing w:after="0" w:line="305"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1140" w:right="380" w:hanging="1132"/>
        <w:spacing w:after="0" w:line="362"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1140" w:hanging="113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49" w:lineRule="exact"/>
        <w:rPr>
          <w:rFonts w:ascii="Times New Roman" w:cs="Times New Roman" w:eastAsia="Times New Roman" w:hAnsi="Times New Roman"/>
          <w:sz w:val="18"/>
          <w:szCs w:val="18"/>
          <w:color w:val="auto"/>
        </w:rPr>
      </w:pPr>
    </w:p>
    <w:p>
      <w:pPr>
        <w:ind w:left="1140"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305" w:lineRule="auto"/>
        <w:tabs>
          <w:tab w:leader="none" w:pos="2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2280" w:right="440" w:hanging="1138"/>
        <w:spacing w:after="0" w:line="338" w:lineRule="auto"/>
        <w:tabs>
          <w:tab w:leader="none" w:pos="227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7"/>
          <w:szCs w:val="17"/>
          <w:color w:val="auto"/>
        </w:rPr>
      </w:pPr>
    </w:p>
    <w:p>
      <w:pPr>
        <w:ind w:left="2280" w:hanging="1138"/>
        <w:spacing w:after="0"/>
        <w:tabs>
          <w:tab w:leader="none" w:pos="2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49" w:lineRule="exact"/>
        <w:rPr>
          <w:rFonts w:ascii="Times New Roman" w:cs="Times New Roman" w:eastAsia="Times New Roman" w:hAnsi="Times New Roman"/>
          <w:sz w:val="18"/>
          <w:szCs w:val="18"/>
          <w:color w:val="auto"/>
        </w:rPr>
      </w:pPr>
    </w:p>
    <w:p>
      <w:pPr>
        <w:ind w:left="2280" w:righ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305" w:lineRule="auto"/>
        <w:tabs>
          <w:tab w:leader="none" w:pos="2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w:t>
      </w:r>
    </w:p>
    <w:p>
      <w:pPr>
        <w:spacing w:after="0" w:line="49" w:lineRule="exact"/>
        <w:rPr>
          <w:rFonts w:ascii="Times New Roman" w:cs="Times New Roman" w:eastAsia="Times New Roman" w:hAnsi="Times New Roman"/>
          <w:sz w:val="18"/>
          <w:szCs w:val="18"/>
          <w:color w:val="auto"/>
        </w:rPr>
      </w:pPr>
    </w:p>
    <w:p>
      <w:pPr>
        <w:ind w:left="1140"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305" w:lineRule="auto"/>
        <w:tabs>
          <w:tab w:leader="none" w:pos="2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41" w:right="339" w:bottom="1440" w:gutter="0" w:footer="0" w:header="0"/>
        </w:sectPr>
      </w:pPr>
    </w:p>
    <w:bookmarkStart w:id="47" w:name="page48"/>
    <w:bookmarkEnd w:id="47"/>
    <w:p>
      <w:pPr>
        <w:ind w:left="2260" w:hanging="1138"/>
        <w:spacing w:after="0" w:line="329" w:lineRule="auto"/>
        <w:tabs>
          <w:tab w:leader="none" w:pos="2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5640" w:val="left"/>
          <w:tab w:leader="none" w:pos="798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51435</wp:posOffset>
            </wp:positionV>
            <wp:extent cx="32404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15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600"/>
          </w:cols>
          <w:pgMar w:left="340" w:top="1161" w:right="9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340" w:firstLine="1134"/>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Mining Inc. (the “Company”) for the period ended March 31, 2025 as filed with the Securities and Exchange Commission on the date hereof (the “Report”), I, Tyler Page, principal executive officer, certify, pursuant to 18 U.S.C. § 1350, as adopted pursuant to § 906 of the Sarbanes-Oxley Act of 2002, that to the best of my knowledge:</w:t>
      </w:r>
    </w:p>
    <w:p>
      <w:pPr>
        <w:spacing w:after="0" w:line="169" w:lineRule="exact"/>
        <w:rPr>
          <w:sz w:val="20"/>
          <w:szCs w:val="20"/>
          <w:color w:val="auto"/>
        </w:rPr>
      </w:pPr>
    </w:p>
    <w:p>
      <w:pPr>
        <w:ind w:left="2260" w:hanging="1118"/>
        <w:spacing w:after="0"/>
        <w:tabs>
          <w:tab w:leader="none" w:pos="2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280" w:right="560" w:hanging="1138"/>
        <w:spacing w:after="0" w:line="313" w:lineRule="auto"/>
        <w:tabs>
          <w:tab w:leader="none" w:pos="22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4" w:lineRule="exact"/>
        <w:rPr>
          <w:sz w:val="20"/>
          <w:szCs w:val="20"/>
          <w:color w:val="auto"/>
        </w:rPr>
      </w:pPr>
    </w:p>
    <w:p>
      <w:pPr>
        <w:ind w:left="20"/>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51435</wp:posOffset>
            </wp:positionV>
            <wp:extent cx="32404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15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134"/>
        <w:spacing w:after="0" w:line="329"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305"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94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right="180" w:firstLine="1134"/>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Mining Inc. (the “Company”) for the period ended March 31, 2025 as filed with the Securities and Exchange Commission on the date hereof (the “Report”), I, Edward Farrell, principal financial officer, certify, pursuant to 18 U.S.C. § 1350, as adopted pursuant to § 906 of the Sarbanes-Oxley Act of 2002, that to the best of my knowledge:</w:t>
      </w:r>
    </w:p>
    <w:p>
      <w:pPr>
        <w:spacing w:after="0" w:line="169" w:lineRule="exact"/>
        <w:rPr>
          <w:sz w:val="20"/>
          <w:szCs w:val="20"/>
          <w:color w:val="auto"/>
        </w:rPr>
      </w:pPr>
    </w:p>
    <w:p>
      <w:pPr>
        <w:ind w:left="2260" w:hanging="1118"/>
        <w:spacing w:after="0"/>
        <w:tabs>
          <w:tab w:leader="none" w:pos="2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280" w:right="560" w:hanging="1138"/>
        <w:spacing w:after="0" w:line="313" w:lineRule="auto"/>
        <w:tabs>
          <w:tab w:leader="none" w:pos="2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4" w:lineRule="exact"/>
        <w:rPr>
          <w:sz w:val="20"/>
          <w:szCs w:val="20"/>
          <w:color w:val="auto"/>
        </w:rPr>
      </w:pPr>
    </w:p>
    <w:p>
      <w:pPr>
        <w:ind w:left="20"/>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51435</wp:posOffset>
            </wp:positionV>
            <wp:extent cx="32404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15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134"/>
        <w:spacing w:after="0" w:line="329"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305"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04"/>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85" Type="http://schemas.openxmlformats.org/officeDocument/2006/relationships/hyperlink" Target="https://www.sec.gov/Archives/edgar/data/0001819989/000121390021013594/ea136931ex2-1_goodworks.htm" TargetMode="External"/><Relationship Id="rId86" Type="http://schemas.openxmlformats.org/officeDocument/2006/relationships/hyperlink" Target="https://www.sec.gov/Archives/edgar/data/1819989/000119312521260900/d212090dex31.htm" TargetMode="External"/><Relationship Id="rId87" Type="http://schemas.openxmlformats.org/officeDocument/2006/relationships/hyperlink" Target="https://www.sec.gov/Archives/edgar/data/1819989/000119312521260900/d212090dex32.htm" TargetMode="External"/><Relationship Id="rId88" Type="http://schemas.openxmlformats.org/officeDocument/2006/relationships/hyperlink" Target="https://www.sec.gov/Archives/edgar/data/1819989/000121390020030737/ea128022ex4-3_goodworks.htm" TargetMode="External"/><Relationship Id="rId89" Type="http://schemas.openxmlformats.org/officeDocument/2006/relationships/hyperlink" Target="https://www.sec.gov/Archives/edgar/data/1819989/000121390020033703/ea128955ex4-1_goodworksacq.htm" TargetMode="External"/><Relationship Id="rId90" Type="http://schemas.openxmlformats.org/officeDocument/2006/relationships/hyperlink" Target="https://www.sec.gov/Archives/edgar/data/1819989/000119312525017265/d896808dex101.htm" TargetMode="External"/><Relationship Id="rId91" Type="http://schemas.openxmlformats.org/officeDocument/2006/relationships/hyperlink" Target="https://www.sec.gov/Archives/edgar/data/1819989/000119312525017265/d89680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2025-05-06T08:17:34Z</dcterms:created>
  <dcterms:modified xsi:type="dcterms:W3CDTF">2025-05-06T08:17:34Z</dcterms:modified>
</cp:coreProperties>
</file>