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91500110.xml.htm"/>
      <w:bookmarkStart w:id="1" w:name="kswkform4a_17915001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Page Tyler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CIPHER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VANDERBILT AVENUE, FLOOR 54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Cipher Digital Inc.</w:t>
              </w:r>
            </w:hyperlink>
            <w:r>
              <w:rPr/>
              <w:t xml:space="preserve"> [ </w:t>
            </w:r>
            <w:r>
              <w:rPr>
                <w:rFonts w:ascii="Times;serif" w:hAnsi="Times;serif"/>
                <w:color w:val="0000FF"/>
                <w:sz w:val="24"/>
                <w:shd w:fill="FFFFFF" w:val="clear"/>
              </w:rPr>
              <w:t>CIFR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10/02/2026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6"/>
        <w:gridCol w:w="899"/>
        <w:gridCol w:w="771"/>
        <w:gridCol w:w="597"/>
        <w:gridCol w:w="339"/>
        <w:gridCol w:w="998"/>
        <w:gridCol w:w="431"/>
        <w:gridCol w:w="741"/>
        <w:gridCol w:w="1247"/>
        <w:gridCol w:w="968"/>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113,225</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9,084,950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57,802</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15.83</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9,027,148</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105,285</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9,132,433</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53,748</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15.83</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9,078,685</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254,756</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9,333,441</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130,053</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15.83</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9,203,388</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262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113,225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113,225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3,186,373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105,285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3,081,088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254,756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254,756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1,273,776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stock unit ("PSU") represents a contingent right to receive one share of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May 12, 2026, the Reporting Person transferred 400,000 shares of the Issuers Common Stock to Impa Holdings LLC. The Reporting Person serves as the managing member of Impa Holdings LLC, and 100% of its membership interests are held by a trust for the benefit of certain members of the Reporting Persons immediate family over which the Reporting Person has investment authority.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equal quarterly installments over a three-year period, on March 31, June 30, September 30 and December 15 of each year, subject to the Reporting Person's continuous service on the applicable vesting date. The first vesting date occurred on March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in equal quarterly installments over a three-year period, on March 31, June 30, September 30 and December 15 of each year, subject to the Reporting Person's continuous service on the applicable vesting date. The first vesting date occurred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1,019,022 earned PSUs vested on December 19, 2025, and the remaining earned PSUs vest in substantially equal quarterly installments, subject to the Reporting Person's continuous service on each vesting date. The first such vesting date occurred on March 31, 2026. These earned PSUs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being amended to include shares withheld to satisfy tax withholding obligations.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Iwaschuk, Attorney-in-Fact for Tyler Page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623" TargetMode="External"/><Relationship Id="rId5" Type="http://schemas.openxmlformats.org/officeDocument/2006/relationships/hyperlink" Target="http://www.sec.gov/cgi-bin/browse-edgar?action=getcompany&amp;CIK=000181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924</Words>
  <Characters>4933</Characters>
  <CharactersWithSpaces>5702</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