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57"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580"/>
        <w:spacing w:after="0"/>
        <w:tabs>
          <w:tab w:leader="none" w:pos="674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3804920</wp:posOffset>
            </wp:positionH>
            <wp:positionV relativeFrom="paragraph">
              <wp:posOffset>-5080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c>
          <w:tcPr>
            <w:tcW w:w="0" w:type="dxa"/>
            <w:vAlign w:val="bottom"/>
          </w:tcPr>
          <w:p>
            <w:pPr>
              <w:spacing w:after="0"/>
              <w:rPr>
                <w:sz w:val="1"/>
                <w:szCs w:val="1"/>
                <w:color w:val="auto"/>
              </w:rPr>
            </w:pPr>
          </w:p>
        </w:tc>
      </w:tr>
      <w:tr>
        <w:trPr>
          <w:trHeight w:val="135"/>
        </w:trPr>
        <w:tc>
          <w:tcPr>
            <w:tcW w:w="4780" w:type="dxa"/>
            <w:vAlign w:val="bottom"/>
          </w:tcPr>
          <w:p>
            <w:pPr>
              <w:jc w:val="center"/>
              <w:ind w:right="176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800" w:type="dxa"/>
            <w:vAlign w:val="bottom"/>
          </w:tcPr>
          <w:p>
            <w:pPr>
              <w:jc w:val="center"/>
              <w:ind w:left="17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91"/>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1 Vanderbilt Avenue, Floor 54, Suite C</w:t>
            </w:r>
          </w:p>
        </w:tc>
        <w:tc>
          <w:tcPr>
            <w:tcW w:w="2800" w:type="dxa"/>
            <w:vAlign w:val="bottom"/>
            <w:vMerge w:val="restart"/>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c>
          <w:tcPr>
            <w:tcW w:w="0" w:type="dxa"/>
            <w:vAlign w:val="bottom"/>
          </w:tcPr>
          <w:p>
            <w:pPr>
              <w:spacing w:after="0"/>
              <w:rPr>
                <w:sz w:val="1"/>
                <w:szCs w:val="1"/>
                <w:color w:val="auto"/>
              </w:rPr>
            </w:pPr>
          </w:p>
        </w:tc>
      </w:tr>
      <w:tr>
        <w:trPr>
          <w:trHeight w:val="218"/>
        </w:trPr>
        <w:tc>
          <w:tcPr>
            <w:tcW w:w="4780" w:type="dxa"/>
            <w:vAlign w:val="bottom"/>
          </w:tcPr>
          <w:p>
            <w:pPr>
              <w:jc w:val="center"/>
              <w:ind w:right="176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CIFR</w:t>
            </w:r>
          </w:p>
        </w:tc>
        <w:tc>
          <w:tcPr>
            <w:tcW w:w="120" w:type="dxa"/>
            <w:vAlign w:val="bottom"/>
          </w:tcPr>
          <w:p>
            <w:pPr>
              <w:spacing w:after="0"/>
              <w:rPr>
                <w:sz w:val="15"/>
                <w:szCs w:val="15"/>
                <w:color w:val="auto"/>
              </w:rPr>
            </w:pPr>
          </w:p>
        </w:tc>
        <w:tc>
          <w:tcPr>
            <w:tcW w:w="50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75"/>
        </w:trPr>
        <w:tc>
          <w:tcPr>
            <w:tcW w:w="4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12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CIFRW</w:t>
            </w:r>
          </w:p>
        </w:tc>
        <w:tc>
          <w:tcPr>
            <w:tcW w:w="120" w:type="dxa"/>
            <w:vAlign w:val="bottom"/>
          </w:tcPr>
          <w:p>
            <w:pPr>
              <w:spacing w:after="0"/>
              <w:rPr>
                <w:sz w:val="15"/>
                <w:szCs w:val="15"/>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2022, the registrant had 247,489,579,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20" w:type="dxa"/>
            <w:vAlign w:val="bottom"/>
            <w:tcBorders>
              <w:top w:val="single" w:sz="8" w:color="0000EE"/>
            </w:tcBorders>
          </w:tcPr>
          <w:p>
            <w:pPr>
              <w:spacing w:after="0"/>
              <w:rPr>
                <w:sz w:val="15"/>
                <w:szCs w:val="15"/>
                <w:color w:val="auto"/>
              </w:rPr>
            </w:pP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6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 of Changes in</w:t>
            </w:r>
          </w:p>
        </w:tc>
        <w:tc>
          <w:tcPr>
            <w:tcW w:w="56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Stockholder Deficit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8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w:t>
      </w:r>
    </w:p>
    <w:p>
      <w:pPr>
        <w:spacing w:after="0" w:line="73"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buildout of cryptocurrency mining sites;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industry and business trends, equity compensation, business strategy, plans, market growth and our objectives for future operations;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partnerships and supply agreements;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and warrants on Nasdaq, and the potential liquidity and trading of such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regulation on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business or political conditions, such as the global coronavirus (“COVID-19”) pandemic and the disruption caused by various countermeasures to reduce its spread;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and volatility of Bitcoin and other cryptocurrencies;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other sections of this Quarterly Report, including the section titled “Risk Factors.”</w:t>
      </w:r>
    </w:p>
    <w:p>
      <w:pPr>
        <w:spacing w:after="0" w:line="2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year ended December 31, 2021 filed with the Securities and Exchange Commission (the “SEC”) on March 4, 2022 *(the “2021 Form 10-K”), Part II, Item 1A, “Risk Factors” in this Quarterly Report and our future reports filed with the SEC.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62"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9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0"/>
                <w:szCs w:val="20"/>
                <w:color w:val="auto"/>
              </w:rPr>
            </w:pPr>
          </w:p>
        </w:tc>
      </w:tr>
      <w:tr>
        <w:trPr>
          <w:trHeight w:val="209"/>
        </w:trPr>
        <w:tc>
          <w:tcPr>
            <w:tcW w:w="70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ind w:right="47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209,841</w:t>
            </w: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Cryptocurrencies</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111,086</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223,660</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Deposits on equipment</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207,164</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114,857</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equity investee</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investment costs</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r>
      <w:tr>
        <w:trPr>
          <w:trHeight w:val="249"/>
        </w:trPr>
        <w:tc>
          <w:tcPr>
            <w:tcW w:w="7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357,881</w:t>
            </w:r>
          </w:p>
        </w:tc>
        <w:tc>
          <w:tcPr>
            <w:tcW w:w="2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354,167</w:t>
            </w:r>
          </w:p>
        </w:tc>
        <w:tc>
          <w:tcPr>
            <w:tcW w:w="80" w:type="dxa"/>
            <w:vAlign w:val="bottom"/>
            <w:tcBorders>
              <w:bottom w:val="single" w:sz="8" w:color="CCECFF"/>
            </w:tcBorders>
            <w:shd w:val="clear" w:color="auto" w:fill="CCECFF"/>
          </w:tcPr>
          <w:p>
            <w:pPr>
              <w:spacing w:after="0"/>
              <w:rPr>
                <w:sz w:val="21"/>
                <w:szCs w:val="21"/>
                <w:color w:val="auto"/>
              </w:rPr>
            </w:pPr>
          </w:p>
        </w:tc>
      </w:tr>
      <w:tr>
        <w:trPr>
          <w:trHeight w:val="197"/>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r>
      <w:tr>
        <w:trPr>
          <w:trHeight w:val="210"/>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r>
      <w:tr>
        <w:trPr>
          <w:trHeight w:val="210"/>
        </w:trPr>
        <w:tc>
          <w:tcPr>
            <w:tcW w:w="7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CFF"/>
          </w:tcPr>
          <w:p>
            <w:pPr>
              <w:spacing w:after="0"/>
              <w:rPr>
                <w:sz w:val="18"/>
                <w:szCs w:val="18"/>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26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-1696720</wp:posOffset>
            </wp:positionV>
            <wp:extent cx="142303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1631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14541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0" w:right="660"/>
        <w:spacing w:after="0" w:line="226" w:lineRule="auto"/>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as of March 31, 2022 and December 31, 2021</w:t>
      </w:r>
    </w:p>
    <w:p>
      <w:pPr>
        <w:ind w:left="120"/>
        <w:spacing w:after="0" w:line="223" w:lineRule="auto"/>
        <w:rPr>
          <w:sz w:val="20"/>
          <w:szCs w:val="20"/>
          <w:color w:val="auto"/>
        </w:rPr>
      </w:pPr>
      <w:r>
        <w:rPr>
          <w:rFonts w:ascii="Times New Roman" w:cs="Times New Roman" w:eastAsia="Times New Roman" w:hAnsi="Times New Roman"/>
          <w:sz w:val="18"/>
          <w:szCs w:val="18"/>
          <w:color w:val="auto"/>
        </w:rPr>
        <w:t>Common stock, $0.001 par value, 500,000,000 shares authorized, 253,685,763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ind w:left="120" w:right="660"/>
        <w:spacing w:after="0" w:line="228" w:lineRule="auto"/>
        <w:rPr>
          <w:sz w:val="20"/>
          <w:szCs w:val="20"/>
          <w:color w:val="auto"/>
        </w:rPr>
      </w:pPr>
      <w:r>
        <w:rPr>
          <w:rFonts w:ascii="Times New Roman" w:cs="Times New Roman" w:eastAsia="Times New Roman" w:hAnsi="Times New Roman"/>
          <w:sz w:val="18"/>
          <w:szCs w:val="18"/>
          <w:color w:val="auto"/>
        </w:rPr>
        <w:t>252,131,679 shares issued as of March 31, 2022 and December 31, 2021, respectively, and 250,174,273 and 249,279,420 shares outstanding as of March 31, 2022 and December 31, 2021, respectively</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20" w:right="940"/>
        <w:spacing w:after="0" w:line="226" w:lineRule="auto"/>
        <w:rPr>
          <w:sz w:val="20"/>
          <w:szCs w:val="20"/>
          <w:color w:val="auto"/>
        </w:rPr>
      </w:pPr>
      <w:r>
        <w:rPr>
          <w:rFonts w:ascii="Times New Roman" w:cs="Times New Roman" w:eastAsia="Times New Roman" w:hAnsi="Times New Roman"/>
          <w:sz w:val="18"/>
          <w:szCs w:val="18"/>
          <w:color w:val="auto"/>
        </w:rPr>
        <w:t>Treasury stock, at par, 3,511,490 and 2,852,259 shares at March 31, 2022 and December 31, 2021, respectively</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765"/>
        </w:trPr>
        <w:tc>
          <w:tcPr>
            <w:tcW w:w="14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254</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34"/>
        </w:trPr>
        <w:tc>
          <w:tcPr>
            <w:tcW w:w="14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431,899</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425,438</w:t>
            </w:r>
          </w:p>
        </w:tc>
      </w:tr>
      <w:tr>
        <w:trPr>
          <w:trHeight w:val="387"/>
        </w:trPr>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9"/>
              </w:rPr>
              <w:t>(89,655 )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(72,156 )</w:t>
            </w:r>
          </w:p>
        </w:tc>
      </w:tr>
    </w:tbl>
    <w:p>
      <w:pPr>
        <w:spacing w:after="0" w:line="1" w:lineRule="exact"/>
        <w:rPr>
          <w:sz w:val="20"/>
          <w:szCs w:val="20"/>
          <w:color w:val="auto"/>
        </w:rPr>
      </w:pPr>
    </w:p>
    <w:p>
      <w:pPr>
        <w:sectPr>
          <w:pgSz w:w="11900" w:h="16838" w:orient="portrait"/>
          <w:cols w:equalWidth="0" w:num="2">
            <w:col w:w="7680" w:space="720"/>
            <w:col w:w="284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Borders>
              <w:top w:val="single" w:sz="8" w:color="auto"/>
              <w:bottom w:val="single" w:sz="8" w:color="auto"/>
            </w:tcBorders>
            <w:shd w:val="clear" w:color="auto" w:fill="CCECFF"/>
          </w:tcPr>
          <w:p>
            <w:pPr>
              <w:spacing w:after="0"/>
              <w:rPr>
                <w:sz w:val="18"/>
                <w:szCs w:val="18"/>
                <w:color w:val="auto"/>
              </w:rPr>
            </w:pP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342,494</w:t>
            </w:r>
          </w:p>
        </w:tc>
        <w:tc>
          <w:tcPr>
            <w:tcW w:w="260" w:type="dxa"/>
            <w:vAlign w:val="bottom"/>
            <w:tcBorders>
              <w:bottom w:val="single" w:sz="8" w:color="CCECFF"/>
            </w:tcBorders>
            <w:shd w:val="clear" w:color="auto" w:fill="CCECFF"/>
          </w:tcPr>
          <w:p>
            <w:pPr>
              <w:spacing w:after="0"/>
              <w:rPr>
                <w:sz w:val="18"/>
                <w:szCs w:val="18"/>
                <w:color w:val="auto"/>
              </w:rPr>
            </w:pPr>
          </w:p>
        </w:tc>
        <w:tc>
          <w:tcPr>
            <w:tcW w:w="700" w:type="dxa"/>
            <w:vAlign w:val="bottom"/>
            <w:tcBorders>
              <w:top w:val="single" w:sz="8" w:color="auto"/>
              <w:bottom w:val="single" w:sz="8" w:color="auto"/>
            </w:tcBorders>
            <w:shd w:val="clear" w:color="auto" w:fill="CCECFF"/>
          </w:tcPr>
          <w:p>
            <w:pPr>
              <w:spacing w:after="0"/>
              <w:rPr>
                <w:sz w:val="18"/>
                <w:szCs w:val="18"/>
                <w:color w:val="auto"/>
              </w:rPr>
            </w:pP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353,531</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357,881</w:t>
            </w: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354,167</w:t>
            </w:r>
          </w:p>
        </w:tc>
        <w:tc>
          <w:tcPr>
            <w:tcW w:w="8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5" w:name="page6"/>
    <w:bookmarkEnd w:id="5"/>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0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Two Months Ended</w:t>
            </w:r>
          </w:p>
        </w:tc>
      </w:tr>
      <w:tr>
        <w:trPr>
          <w:trHeight w:val="238"/>
        </w:trPr>
        <w:tc>
          <w:tcPr>
            <w:tcW w:w="7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Borders>
              <w:top w:val="single" w:sz="8" w:color="auto"/>
            </w:tcBorders>
            <w:shd w:val="clear" w:color="auto" w:fill="CCECFF"/>
          </w:tcPr>
          <w:p>
            <w:pPr>
              <w:spacing w:after="0"/>
              <w:rPr>
                <w:sz w:val="18"/>
                <w:szCs w:val="18"/>
                <w:color w:val="auto"/>
              </w:rPr>
            </w:pPr>
          </w:p>
        </w:tc>
        <w:tc>
          <w:tcPr>
            <w:tcW w:w="1580" w:type="dxa"/>
            <w:vAlign w:val="bottom"/>
            <w:tcBorders>
              <w:top w:val="single" w:sz="8" w:color="auto"/>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540" w:type="dxa"/>
            <w:vAlign w:val="bottom"/>
            <w:tcBorders>
              <w:top w:val="single" w:sz="8" w:color="auto"/>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r>
      <w:tr>
        <w:trPr>
          <w:trHeight w:val="216"/>
        </w:trPr>
        <w:tc>
          <w:tcPr>
            <w:tcW w:w="7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CFF"/>
          </w:tcPr>
          <w:p>
            <w:pPr>
              <w:spacing w:after="0"/>
              <w:rPr>
                <w:sz w:val="18"/>
                <w:szCs w:val="18"/>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7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CFF"/>
          </w:tcPr>
          <w:p>
            <w:pPr>
              <w:spacing w:after="0"/>
              <w:rPr>
                <w:sz w:val="18"/>
                <w:szCs w:val="18"/>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28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spacing w:after="0"/>
              <w:rPr>
                <w:sz w:val="18"/>
                <w:szCs w:val="18"/>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8"/>
                <w:szCs w:val="18"/>
                <w:color w:val="auto"/>
              </w:rPr>
            </w:pPr>
          </w:p>
        </w:tc>
        <w:tc>
          <w:tcPr>
            <w:tcW w:w="1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(17,401 )</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10"/>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tcBorders>
              <w:top w:val="single" w:sz="8" w:color="auto"/>
            </w:tcBorders>
            <w:shd w:val="clear" w:color="auto" w:fill="CCECFF"/>
          </w:tcPr>
          <w:p>
            <w:pPr>
              <w:spacing w:after="0"/>
              <w:rPr>
                <w:sz w:val="18"/>
                <w:szCs w:val="18"/>
                <w:color w:val="auto"/>
              </w:rPr>
            </w:pPr>
          </w:p>
        </w:tc>
        <w:tc>
          <w:tcPr>
            <w:tcW w:w="1580" w:type="dxa"/>
            <w:vAlign w:val="bottom"/>
            <w:tcBorders>
              <w:top w:val="single" w:sz="8" w:color="auto"/>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540" w:type="dxa"/>
            <w:vAlign w:val="bottom"/>
            <w:tcBorders>
              <w:top w:val="single" w:sz="8" w:color="auto"/>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shd w:val="clear" w:color="auto" w:fill="CCECFF"/>
          </w:tcPr>
          <w:p>
            <w:pPr>
              <w:spacing w:after="0"/>
              <w:rPr>
                <w:sz w:val="18"/>
                <w:szCs w:val="18"/>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loss of equity investment</w:t>
            </w:r>
          </w:p>
        </w:tc>
        <w:tc>
          <w:tcPr>
            <w:tcW w:w="180" w:type="dxa"/>
            <w:vAlign w:val="bottom"/>
          </w:tcPr>
          <w:p>
            <w:pPr>
              <w:spacing w:after="0"/>
              <w:rPr>
                <w:sz w:val="18"/>
                <w:szCs w:val="18"/>
                <w:color w:val="auto"/>
              </w:rPr>
            </w:pPr>
          </w:p>
        </w:tc>
        <w:tc>
          <w:tcPr>
            <w:tcW w:w="1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(153 )</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7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top w:val="single" w:sz="8" w:color="auto"/>
              <w:bottom w:val="single" w:sz="8" w:color="auto"/>
            </w:tcBorders>
            <w:shd w:val="clear" w:color="auto" w:fill="CCECFF"/>
          </w:tcPr>
          <w:p>
            <w:pPr>
              <w:spacing w:after="0"/>
              <w:rPr>
                <w:sz w:val="18"/>
                <w:szCs w:val="18"/>
                <w:color w:val="auto"/>
              </w:rPr>
            </w:pPr>
          </w:p>
        </w:tc>
        <w:tc>
          <w:tcPr>
            <w:tcW w:w="1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CECFF"/>
          </w:tcPr>
          <w:p>
            <w:pPr>
              <w:spacing w:after="0"/>
              <w:rPr>
                <w:sz w:val="18"/>
                <w:szCs w:val="18"/>
                <w:color w:val="auto"/>
              </w:rPr>
            </w:pPr>
          </w:p>
        </w:tc>
        <w:tc>
          <w:tcPr>
            <w:tcW w:w="1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(17,499 )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00" w:type="dxa"/>
            <w:vAlign w:val="bottom"/>
            <w:shd w:val="clear" w:color="auto" w:fill="CCEC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shd w:val="clear" w:color="auto" w:fill="CCEC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C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C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C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7"/>
                <w:szCs w:val="17"/>
                <w:color w:val="auto"/>
              </w:rPr>
            </w:pP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number of shares outstanding</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250,174,255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-1305560</wp:posOffset>
            </wp:positionV>
            <wp:extent cx="5969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-1305560</wp:posOffset>
            </wp:positionV>
            <wp:extent cx="5143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-456565</wp:posOffset>
            </wp:positionV>
            <wp:extent cx="5969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-456565</wp:posOffset>
            </wp:positionV>
            <wp:extent cx="514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44" w:lineRule="exact"/>
        <w:rPr>
          <w:sz w:val="20"/>
          <w:szCs w:val="20"/>
          <w:color w:val="auto"/>
        </w:rPr>
      </w:pPr>
    </w:p>
    <w:p>
      <w:pPr>
        <w:ind w:left="5580" w:right="3360" w:hanging="5570"/>
        <w:spacing w:after="0" w:line="534" w:lineRule="auto"/>
        <w:rPr>
          <w:sz w:val="20"/>
          <w:szCs w:val="20"/>
          <w:color w:val="auto"/>
        </w:rPr>
      </w:pPr>
      <w:r>
        <w:rPr>
          <w:rFonts w:ascii="Times New Roman" w:cs="Times New Roman" w:eastAsia="Times New Roman" w:hAnsi="Times New Roman"/>
          <w:sz w:val="18"/>
          <w:szCs w:val="18"/>
          <w:i w:val="1"/>
          <w:iCs w:val="1"/>
          <w:color w:val="auto"/>
        </w:rPr>
        <w:t xml:space="preserve">The accompanying notes are an integral part of these unaudited condensed consolidated financial statements </w:t>
      </w: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jc w:val="center"/>
        <w:ind w:right="20"/>
        <w:spacing w:after="0" w:line="234" w:lineRule="auto"/>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8"/>
        </w:trPr>
        <w:tc>
          <w:tcPr>
            <w:tcW w:w="2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tcPr>
          <w:p>
            <w:pPr>
              <w:jc w:val="right"/>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Total Stockholders’</w:t>
            </w:r>
          </w:p>
        </w:tc>
      </w:tr>
      <w:tr>
        <w:trPr>
          <w:trHeight w:val="182"/>
        </w:trPr>
        <w:tc>
          <w:tcPr>
            <w:tcW w:w="282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80" w:type="dxa"/>
            <w:vAlign w:val="bottom"/>
            <w:gridSpan w:val="2"/>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w w:val="98"/>
              </w:rPr>
              <w:t>Accumulated Deficit</w:t>
            </w:r>
          </w:p>
        </w:tc>
        <w:tc>
          <w:tcPr>
            <w:tcW w:w="26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76"/>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252,131,679</w:t>
            </w:r>
          </w:p>
        </w:tc>
        <w:tc>
          <w:tcPr>
            <w:tcW w:w="180" w:type="dxa"/>
            <w:vAlign w:val="bottom"/>
            <w:shd w:val="clear" w:color="auto" w:fill="CCECFF"/>
          </w:tcPr>
          <w:p>
            <w:pPr>
              <w:spacing w:after="0"/>
              <w:rPr>
                <w:sz w:val="15"/>
                <w:szCs w:val="15"/>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80" w:type="dxa"/>
            <w:vAlign w:val="bottom"/>
            <w:shd w:val="clear" w:color="auto" w:fill="CCECFF"/>
          </w:tcPr>
          <w:p>
            <w:pPr>
              <w:spacing w:after="0"/>
              <w:rPr>
                <w:sz w:val="15"/>
                <w:szCs w:val="15"/>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425,438</w:t>
            </w:r>
          </w:p>
        </w:tc>
        <w:tc>
          <w:tcPr>
            <w:tcW w:w="160" w:type="dxa"/>
            <w:vAlign w:val="bottom"/>
            <w:shd w:val="clear" w:color="auto" w:fill="CCECFF"/>
          </w:tcPr>
          <w:p>
            <w:pPr>
              <w:spacing w:after="0"/>
              <w:rPr>
                <w:sz w:val="15"/>
                <w:szCs w:val="15"/>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(2,852,259</w:t>
            </w:r>
          </w:p>
        </w:tc>
        <w:tc>
          <w:tcPr>
            <w:tcW w:w="16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top w:val="single" w:sz="8" w:color="auto"/>
            </w:tcBorders>
            <w:shd w:val="clear" w:color="auto" w:fill="CCECFF"/>
          </w:tcPr>
          <w:p>
            <w:pPr>
              <w:jc w:val="right"/>
              <w:ind w:right="6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400" w:type="dxa"/>
            <w:vAlign w:val="bottom"/>
            <w:tcBorders>
              <w:top w:val="single" w:sz="8" w:color="auto"/>
            </w:tcBorders>
            <w:shd w:val="clear" w:color="auto" w:fill="CCEC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(72,156</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CFF"/>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353,531</w:t>
            </w:r>
          </w:p>
        </w:tc>
        <w:tc>
          <w:tcPr>
            <w:tcW w:w="60" w:type="dxa"/>
            <w:vAlign w:val="bottom"/>
            <w:tcBorders>
              <w:left w:val="single" w:sz="8" w:color="CCECFF"/>
            </w:tcBorders>
          </w:tcPr>
          <w:p>
            <w:pPr>
              <w:spacing w:after="0"/>
              <w:rPr>
                <w:sz w:val="15"/>
                <w:szCs w:val="15"/>
                <w:color w:val="auto"/>
              </w:rPr>
            </w:pPr>
          </w:p>
        </w:tc>
      </w:tr>
      <w:tr>
        <w:trPr>
          <w:trHeight w:val="139"/>
        </w:trPr>
        <w:tc>
          <w:tcPr>
            <w:tcW w:w="2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Delivery of common stock underlying restricted</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units, net of shares settled for tax</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settlement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1,554,064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(3,053 )</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(659,231 )</w:t>
            </w:r>
          </w:p>
        </w:tc>
        <w:tc>
          <w:tcPr>
            <w:tcW w:w="820" w:type="dxa"/>
            <w:vAlign w:val="bottom"/>
          </w:tcPr>
          <w:p>
            <w:pPr>
              <w:spacing w:after="0"/>
              <w:rPr>
                <w:sz w:val="17"/>
                <w:szCs w:val="17"/>
                <w:color w:val="auto"/>
              </w:rPr>
            </w:pP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(1 )</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(3,052 )</w:t>
            </w:r>
          </w:p>
        </w:tc>
      </w:tr>
      <w:tr>
        <w:trPr>
          <w:trHeight w:val="176"/>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Warrants exercised</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CCECFF"/>
            </w:tcBorders>
          </w:tcPr>
          <w:p>
            <w:pPr>
              <w:spacing w:after="0"/>
              <w:rPr>
                <w:sz w:val="15"/>
                <w:szCs w:val="15"/>
                <w:color w:val="auto"/>
              </w:rPr>
            </w:pP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60" w:type="dxa"/>
            <w:vAlign w:val="bottom"/>
          </w:tcPr>
          <w:p>
            <w:pPr>
              <w:spacing w:after="0"/>
              <w:rPr>
                <w:sz w:val="15"/>
                <w:szCs w:val="15"/>
                <w:color w:val="auto"/>
              </w:rPr>
            </w:pPr>
          </w:p>
        </w:tc>
      </w:tr>
      <w:tr>
        <w:trPr>
          <w:trHeight w:val="17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(17,499 )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(17,499 )</w:t>
            </w:r>
          </w:p>
        </w:tc>
      </w:tr>
      <w:tr>
        <w:trPr>
          <w:trHeight w:val="20"/>
        </w:trPr>
        <w:tc>
          <w:tcPr>
            <w:tcW w:w="2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2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253,685,763</w:t>
            </w:r>
          </w:p>
        </w:tc>
        <w:tc>
          <w:tcPr>
            <w:tcW w:w="180" w:type="dxa"/>
            <w:vAlign w:val="bottom"/>
          </w:tcPr>
          <w:p>
            <w:pPr>
              <w:spacing w:after="0"/>
              <w:rPr>
                <w:sz w:val="14"/>
                <w:szCs w:val="14"/>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w:t>
            </w:r>
          </w:p>
        </w:tc>
        <w:tc>
          <w:tcPr>
            <w:tcW w:w="18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431,899</w:t>
            </w:r>
          </w:p>
        </w:tc>
        <w:tc>
          <w:tcPr>
            <w:tcW w:w="160" w:type="dxa"/>
            <w:vAlign w:val="bottom"/>
          </w:tcPr>
          <w:p>
            <w:pPr>
              <w:spacing w:after="0"/>
              <w:rPr>
                <w:sz w:val="14"/>
                <w:szCs w:val="14"/>
                <w:color w:val="auto"/>
              </w:rPr>
            </w:pPr>
          </w:p>
        </w:tc>
        <w:tc>
          <w:tcPr>
            <w:tcW w:w="108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(3,511,490 )</w:t>
            </w:r>
          </w:p>
        </w:tc>
        <w:tc>
          <w:tcPr>
            <w:tcW w:w="820" w:type="dxa"/>
            <w:vAlign w:val="bottom"/>
          </w:tcPr>
          <w:p>
            <w:pPr>
              <w:jc w:val="right"/>
              <w:ind w:right="67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(4 )</w:t>
            </w:r>
          </w:p>
        </w:tc>
        <w:tc>
          <w:tcPr>
            <w:tcW w:w="400" w:type="dxa"/>
            <w:vAlign w:val="bottom"/>
          </w:tcPr>
          <w:p>
            <w:pPr>
              <w:jc w:val="right"/>
              <w:ind w:right="25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(89,655 )</w:t>
            </w:r>
          </w:p>
        </w:tc>
        <w:tc>
          <w:tcPr>
            <w:tcW w:w="26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342,494</w:t>
            </w:r>
          </w:p>
        </w:tc>
        <w:tc>
          <w:tcPr>
            <w:tcW w:w="60" w:type="dxa"/>
            <w:vAlign w:val="bottom"/>
          </w:tcPr>
          <w:p>
            <w:pPr>
              <w:spacing w:after="0"/>
              <w:rPr>
                <w:sz w:val="14"/>
                <w:szCs w:val="14"/>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Two Months Ended March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7"/>
                <w:szCs w:val="17"/>
                <w:color w:val="auto"/>
              </w:rPr>
            </w:pPr>
          </w:p>
        </w:tc>
        <w:tc>
          <w:tcPr>
            <w:tcW w:w="1780" w:type="dxa"/>
            <w:vAlign w:val="bottom"/>
            <w:gridSpan w:val="3"/>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Additional Paid-in Capital</w:t>
            </w:r>
          </w:p>
        </w:tc>
        <w:tc>
          <w:tcPr>
            <w:tcW w:w="1380" w:type="dxa"/>
            <w:vAlign w:val="bottom"/>
            <w:gridSpan w:val="3"/>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Total Stockholders’ Deficit</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2021</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top w:val="single" w:sz="8" w:color="auto"/>
            </w:tcBorders>
          </w:tcPr>
          <w:p>
            <w:pPr>
              <w:jc w:val="right"/>
              <w:ind w:right="48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6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shd w:val="clear" w:color="auto" w:fill="CCEC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C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200,000,000</w:t>
            </w:r>
          </w:p>
        </w:tc>
        <w:tc>
          <w:tcPr>
            <w:tcW w:w="180" w:type="dxa"/>
            <w:vAlign w:val="bottom"/>
          </w:tcPr>
          <w:p>
            <w:pPr>
              <w:spacing w:after="0"/>
              <w:rPr>
                <w:sz w:val="18"/>
                <w:szCs w:val="18"/>
                <w:color w:val="auto"/>
              </w:rPr>
            </w:pP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680" w:type="dxa"/>
            <w:vAlign w:val="bottom"/>
          </w:tcPr>
          <w:p>
            <w:pPr>
              <w:jc w:val="right"/>
              <w:ind w:right="49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line="196" w:lineRule="exact"/>
              <w:rPr>
                <w:sz w:val="20"/>
                <w:szCs w:val="20"/>
                <w:color w:val="auto"/>
              </w:rPr>
            </w:pPr>
            <w:r>
              <w:rPr>
                <w:rFonts w:ascii="Times New Roman" w:cs="Times New Roman" w:eastAsia="Times New Roman" w:hAnsi="Times New Roman"/>
                <w:sz w:val="18"/>
                <w:szCs w:val="18"/>
                <w:color w:val="auto"/>
              </w:rPr>
              <w:t>(200 )</w:t>
            </w:r>
          </w:p>
        </w:tc>
        <w:tc>
          <w:tcPr>
            <w:tcW w:w="500" w:type="dxa"/>
            <w:vAlign w:val="bottom"/>
          </w:tcPr>
          <w:p>
            <w:pPr>
              <w:jc w:val="right"/>
              <w:ind w:right="31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jc w:val="right"/>
              <w:ind w:right="484"/>
              <w:spacing w:after="0" w:line="196" w:lineRule="exact"/>
              <w:rPr>
                <w:sz w:val="20"/>
                <w:szCs w:val="20"/>
                <w:color w:val="auto"/>
              </w:rPr>
            </w:pPr>
            <w:r>
              <w:rPr>
                <w:rFonts w:ascii="Times New Roman" w:cs="Times New Roman" w:eastAsia="Times New Roman" w:hAnsi="Times New Roman"/>
                <w:sz w:val="18"/>
                <w:szCs w:val="18"/>
                <w:color w:val="auto"/>
              </w:rPr>
              <w:t>(116 ) $</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(116 )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-170815</wp:posOffset>
            </wp:positionV>
            <wp:extent cx="431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-170815</wp:posOffset>
            </wp:positionV>
            <wp:extent cx="431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431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7" w:name="page8"/>
    <w:bookmarkEnd w:id="7"/>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17"/>
                <w:szCs w:val="17"/>
                <w:color w:val="auto"/>
              </w:rPr>
            </w:pPr>
          </w:p>
        </w:tc>
        <w:tc>
          <w:tcPr>
            <w:tcW w:w="18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Two Months Ended</w:t>
            </w:r>
          </w:p>
        </w:tc>
      </w:tr>
      <w:tr>
        <w:trPr>
          <w:trHeight w:val="238"/>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0"/>
                <w:szCs w:val="20"/>
                <w:color w:val="auto"/>
              </w:rPr>
            </w:pPr>
          </w:p>
        </w:tc>
        <w:tc>
          <w:tcPr>
            <w:tcW w:w="18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7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shd w:val="clear" w:color="auto" w:fill="CCECFF"/>
          </w:tcPr>
          <w:p>
            <w:pPr>
              <w:spacing w:after="0"/>
              <w:rPr>
                <w:sz w:val="18"/>
                <w:szCs w:val="18"/>
                <w:color w:val="auto"/>
              </w:rPr>
            </w:pPr>
          </w:p>
        </w:tc>
        <w:tc>
          <w:tcPr>
            <w:tcW w:w="1820" w:type="dxa"/>
            <w:vAlign w:val="bottom"/>
            <w:tcBorders>
              <w:top w:val="single" w:sz="8" w:color="auto"/>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780" w:type="dxa"/>
            <w:vAlign w:val="bottom"/>
            <w:tcBorders>
              <w:top w:val="single" w:sz="8" w:color="auto"/>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(17,499 )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8"/>
                <w:szCs w:val="18"/>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earnings (loss) of equity investment</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tcPr>
          <w:p>
            <w:pPr>
              <w:spacing w:after="0"/>
              <w:rPr>
                <w:sz w:val="18"/>
                <w:szCs w:val="18"/>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(1,010 )</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700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auto"/>
            </w:tcBorders>
            <w:shd w:val="clear" w:color="auto" w:fill="CCECFF"/>
          </w:tcPr>
          <w:p>
            <w:pPr>
              <w:spacing w:after="0"/>
              <w:rPr>
                <w:sz w:val="18"/>
                <w:szCs w:val="18"/>
                <w:color w:val="auto"/>
              </w:rPr>
            </w:pPr>
          </w:p>
        </w:tc>
        <w:tc>
          <w:tcPr>
            <w:tcW w:w="1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80" w:type="dxa"/>
            <w:vAlign w:val="bottom"/>
            <w:tcBorders>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CECFF"/>
          </w:tcPr>
          <w:p>
            <w:pPr>
              <w:spacing w:after="0"/>
              <w:rPr>
                <w:sz w:val="18"/>
                <w:szCs w:val="18"/>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Deposits on equipment</w:t>
            </w:r>
          </w:p>
        </w:tc>
        <w:tc>
          <w:tcPr>
            <w:tcW w:w="120" w:type="dxa"/>
            <w:vAlign w:val="bottom"/>
            <w:shd w:val="clear" w:color="auto" w:fill="CCECFF"/>
          </w:tcPr>
          <w:p>
            <w:pPr>
              <w:spacing w:after="0"/>
              <w:rPr>
                <w:sz w:val="18"/>
                <w:szCs w:val="18"/>
                <w:color w:val="auto"/>
              </w:rPr>
            </w:pPr>
          </w:p>
        </w:tc>
        <w:tc>
          <w:tcPr>
            <w:tcW w:w="2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(96,914 )</w:t>
            </w: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(7,059 )</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700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CFF"/>
          </w:tcPr>
          <w:p>
            <w:pPr>
              <w:spacing w:after="0"/>
              <w:rPr>
                <w:sz w:val="18"/>
                <w:szCs w:val="18"/>
                <w:color w:val="auto"/>
              </w:rPr>
            </w:pPr>
          </w:p>
        </w:tc>
        <w:tc>
          <w:tcPr>
            <w:tcW w:w="1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(103,973</w:t>
            </w:r>
          </w:p>
        </w:tc>
        <w:tc>
          <w:tcPr>
            <w:tcW w:w="280" w:type="dxa"/>
            <w:vAlign w:val="bottom"/>
            <w:tcBorders>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CECFF"/>
          </w:tcPr>
          <w:p>
            <w:pPr>
              <w:spacing w:after="0"/>
              <w:rPr>
                <w:sz w:val="18"/>
                <w:szCs w:val="18"/>
                <w:color w:val="auto"/>
              </w:rPr>
            </w:pPr>
          </w:p>
        </w:tc>
        <w:tc>
          <w:tcPr>
            <w:tcW w:w="1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Proceeds from borrowings on related party loan</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shares to pay employee withholding taxes</w:t>
            </w:r>
          </w:p>
        </w:tc>
        <w:tc>
          <w:tcPr>
            <w:tcW w:w="120" w:type="dxa"/>
            <w:vAlign w:val="bottom"/>
          </w:tcPr>
          <w:p>
            <w:pPr>
              <w:spacing w:after="0"/>
              <w:rPr>
                <w:sz w:val="18"/>
                <w:szCs w:val="18"/>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(3,052 )</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700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tcBorders>
              <w:top w:val="single" w:sz="8" w:color="auto"/>
              <w:bottom w:val="single" w:sz="8" w:color="auto"/>
            </w:tcBorders>
            <w:shd w:val="clear" w:color="auto" w:fill="CCECFF"/>
          </w:tcPr>
          <w:p>
            <w:pPr>
              <w:spacing w:after="0"/>
              <w:rPr>
                <w:sz w:val="18"/>
                <w:szCs w:val="18"/>
                <w:color w:val="auto"/>
              </w:rPr>
            </w:pPr>
          </w:p>
        </w:tc>
        <w:tc>
          <w:tcPr>
            <w:tcW w:w="1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80" w:type="dxa"/>
            <w:vAlign w:val="bottom"/>
            <w:tcBorders>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CECFF"/>
          </w:tcPr>
          <w:p>
            <w:pPr>
              <w:spacing w:after="0"/>
              <w:rPr>
                <w:sz w:val="18"/>
                <w:szCs w:val="18"/>
                <w:color w:val="auto"/>
              </w:rPr>
            </w:pPr>
          </w:p>
        </w:tc>
        <w:tc>
          <w:tcPr>
            <w:tcW w:w="1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Pr>
          <w:p>
            <w:pPr>
              <w:spacing w:after="0"/>
              <w:rPr>
                <w:sz w:val="18"/>
                <w:szCs w:val="18"/>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(110,346 )</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16"/>
        </w:trPr>
        <w:tc>
          <w:tcPr>
            <w:tcW w:w="7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120" w:type="dxa"/>
            <w:vAlign w:val="bottom"/>
            <w:tcBorders>
              <w:bottom w:val="single" w:sz="8" w:color="auto"/>
            </w:tcBorders>
            <w:shd w:val="clear" w:color="auto" w:fill="CCECFF"/>
          </w:tcPr>
          <w:p>
            <w:pPr>
              <w:spacing w:after="0"/>
              <w:rPr>
                <w:sz w:val="18"/>
                <w:szCs w:val="18"/>
                <w:color w:val="auto"/>
              </w:rPr>
            </w:pPr>
          </w:p>
        </w:tc>
        <w:tc>
          <w:tcPr>
            <w:tcW w:w="1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209,841</w:t>
            </w:r>
          </w:p>
        </w:tc>
        <w:tc>
          <w:tcPr>
            <w:tcW w:w="2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99,495</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0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8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7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7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investment acquired for non-cash consideration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on equipment in accounts payable, related party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Property and equipment purchases in accounts payable</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purchases in accounts payable, related party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Investment in equity investee in accrued expenses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Cryptocurrencies received from equity method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Reclassification of deferred investment costs to equity method investment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purchases in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Deposits on equipment in accounts payable</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r>
      <w:tr>
        <w:trPr>
          <w:trHeight w:val="216"/>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Deferred offering costs included in accounts payable</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CFF"/>
          </w:tcPr>
          <w:p>
            <w:pPr>
              <w:spacing w:after="0"/>
              <w:rPr>
                <w:sz w:val="18"/>
                <w:szCs w:val="18"/>
                <w:color w:val="auto"/>
              </w:rPr>
            </w:pPr>
          </w:p>
        </w:tc>
      </w:tr>
      <w:tr>
        <w:trPr>
          <w:trHeight w:val="234"/>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investment costs included in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-4065905</wp:posOffset>
            </wp:positionV>
            <wp:extent cx="5143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-4065905</wp:posOffset>
            </wp:positionV>
            <wp:extent cx="5143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-3500120</wp:posOffset>
            </wp:positionV>
            <wp:extent cx="5143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-3500120</wp:posOffset>
            </wp:positionV>
            <wp:extent cx="5143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-2934335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-2934335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-2651125</wp:posOffset>
            </wp:positionV>
            <wp:extent cx="5143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-2651125</wp:posOffset>
            </wp:positionV>
            <wp:extent cx="5143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August 27, 2021 (the “Closing Date”), Good Works Acquisition Corp. (“GWAC”), a special purpose acquisition company, consummated the Agreement and Plan of Merger dated as of March 4, 2021 (the “Merger Agreement”), by and among GWAC, Currency Merger Sub, Inc. (“Merger Sub”), a wholly owned direct subsidiary of GWAC, and Cipher Mining Technologies Inc. (“Cipher Mining Technologies”).</w:t>
      </w:r>
    </w:p>
    <w:p>
      <w:pPr>
        <w:spacing w:after="0" w:line="15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Pursuant to the terms of the Merger Agreement, Merger Sub merged with and into Cipher Mining Technologies, the separate corporate existence of Merger Sub ceasing and Cipher Mining Technologies being the surviving corporation and a wholly owned subsidiary of GWAC (the “Merger” and, together with the other transactions contemplated by the Merger Agreement, the “Business Combination”). Following the Business Combination, the combined company was named Cipher Mining Inc. (“Cipher” or the “Company”). The Company comprises all of GWAC’s and Cipher Mining Technologies’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is an emerging technology company that operates in the Bitcoin mining ecosystem in the United States. Specifically, the Company is developing and growing a cryptocurrency mining business specializing in Bitcoin. As a stand-alone, U.S.-based cryptocurrency mining business, the Company has begun its buildout of cryptocurrency mining sites in the United States that will include both wholly-owned sites and partially-owned sites acquired through investments in joint ventures. The Company began deployment of capacity in the first quarter of 2022, with mining operations beginning at the Alborz facility, located in Texas, in February 2022. See additional information about the Alborz facility in Note 8.</w:t>
      </w:r>
    </w:p>
    <w:p>
      <w:pPr>
        <w:spacing w:after="0" w:line="13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Cipher Mining Technologies was established on January 7, 2021, in Delaware, by Bitfury Top Holdco B.V. and its subsidiaries (“Bitfury Top Holdco” and, with its subsidiaries, the “Bitfury Group”), a global full-service blockchain and technology specialist and one of the leading private infrastructure providers in the blockchain ecosystem. Bitfury Top HoldCo (together with Bitfury Holding B.V., a subsidiary of Bitfury Top HoldCo, and referred to herein as “Bitfury Holding”) beneficially owned approximately 82.3% and 83.4% of the Company’s common stock as of March 31, 2022 and upon completion of the Business Combination (as defined above), respectively, with sole voting and sole dispositive power over those shares and, as a result, the Bitfury Group has control of the Company as defined in Financial Accounting Standards Board (“FASB”) Accounting Standards Codification (“ASC”) 810, “Consolidation.”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 and limited business history</w:t>
      </w:r>
    </w:p>
    <w:p>
      <w:pPr>
        <w:spacing w:after="0" w:line="18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Company incurred a net loss of $17.5 million and negative cash flows from operations of $3.3 million for the three months ended March 31, 2022. As of March 31, 2022, the Company had approximate balances of cash and cash equivalents of $99.5 million, working capital of $101.1 million, total stockholders’ equity of $342.5 million and an accumulated deficit of $89.7 million. To date, the Company has, in large part, relied on proceeds from the consummation of the Business Combination to fund its operations. During the three months ended March 31, 2022, the Company paid approximately $96.9 million of deposits for miners and mining equipment and, as of March 31, 2022, had reclassified $7.1 million of those equipment deposits to investment in equity investee on the unaudited condensed consolidated balance sheet in connection with the contribution of 970 miners and other mining equipment to the Alborz facility. As of March 31, 2022, the Company had $207.2 million of deposits on equipment, primarily for miners, and has significant future commitments related to these deposits as detailed in Note 6, for which the Company will need additional capital in order to meet these commitments in accordance with the existing contractual terms. Management believes that the Company’s existing financial resources, combined with its ability to delay or change its planned buildout steps, are sufficient to meet its operating and capital requirements for at least 12 months from the date these unaudited condensed consolidated financial statements are issued.</w:t>
      </w:r>
    </w:p>
    <w:p>
      <w:pPr>
        <w:spacing w:after="0" w:line="14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and the Company has not generated any revenues from its business to date. The business is subject to risks inherent in the establishment of a new business enterprise, including limited capital resources, possible delays in the exploration and/or development, and possible cost overruns due to price and cost increases in services. Management of the Company has no current intention of entering into a merger or acquisition within the next 12 months and has a specific business plan and timetable to complete its 12-month plan of operation. The Company is in the process of an active operational buildout and anticipates that additional capital will be required to implement the buildout. The Company may also require additional capital to pursue certain business opportunities or respond to technological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advancements, competitive dynamics or technologies, customer demands, challenges, acquisitions or unforeseen circumstances. Additionally, the Company has incurred and expects to continue to incur significant costs related to becoming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If the Company is unable to obtain adequate debt or equity financing for its planned buildout, the Company may be required to delay or change its planned buildout steps, which may adversely affect the Company's business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8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such as the outbreak and global spread of the coronavirus (“COVID-19”). The COVID-19 pandemic that was declared on March 11, 2020 has caused significant economic dislocation in the United States and globally as governments,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result of the COVID-19 pandemic or otherwise, could result in a variety of risks to our business and we cannot anticipate all the ways in which the current economic climate and financial market conditions could adversely impact our business.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may experience disruptions to our business operations resulting from supply interruptions, quarantines, self-isolations, or other movement and restrictions on the ability of our employees or our counterparties to perform their jobs. We may also experience delays in construction and obtaining necessary equipment in a timely fashion. For example, in early January 2022, we had to temporarily shut down the construction at our Alborz site in response to employees being impacted by COVID-19. The temporary shut down was less than a week, and we resumed the construction at the site immediately after. If we are unable to effectively set up and service our miners, our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our business, prospects, financial condition, and operating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12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subsidiary, Cipher Mining Technologies. All intercompany transactions and balances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the warrant liability, useful lives of property and equipment,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which management considered in formulating its estimate, could change in the near term due to one or more future confirming events.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actual results could differ significantly from those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7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management, these unaudited interim condensed consolidated financial statements reflect all adjustments, which consist of only normal recurring adjustments necessary for the fair presentation of the balances and results for the periods presented. These unaudited interim condensed consolidated financial statement results are not necessarily indicative of results to be expected for the full fiscal year or any future period.</w:t>
      </w:r>
    </w:p>
    <w:p>
      <w:pPr>
        <w:spacing w:after="0" w:line="13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in included in the Company’s 2021 Form 10-K. You should read the unaudited interim condensed consolidated financial statements in conjunction with the Company’s audited consolidated financial statements and accompanying notes in the Company’s 2021 Form 10-K. Except as disclosed herein, there has been no material change in the information disclosed in the notes to the Company’s audited consolidated financial statements included in the Company’s 2021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fiscal year</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Cipher Mining Technologies assumed GWAC’s financial calendar for the combined entity with the third fiscal quarter ending September 30 and its fiscal year ending December 31. This change to the fiscal year end was approved by the Company’s board of directors (“Board”) on September 23, 2021. Cipher Mining Technologies’ fiscal year previously ended on January 31.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w:t>
      </w:r>
    </w:p>
    <w:p>
      <w:pPr>
        <w:spacing w:after="0" w:line="18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 accounts for investments using the equity method of accounting if the investment provides the Company the ability to exercise significant influence, but not control, over an investee. Significant influence is generally deemed to exist if the Company has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the joint venture from Cipher.</w:t>
      </w:r>
    </w:p>
    <w:p>
      <w:pPr>
        <w:spacing w:after="0" w:line="1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Company’s investment is subsequently adjusted to recognize the Company’s share of net income or losses as they occur. The Company also adjusts its investment upon receipt of cryptocurrency from the equity investee, which is accounted for as a distribution-in-kind. The Company’s share of investee earnings or losses is recorded, net of taxes, within earnings (losses) of equity method investment in the unaudited condensed consolidated statements of operations. Additionally, the Company’s interest in the net assets of its equity method investee is reflected in the unaudited condensed consolidated balance sheets. If, upon the contribution of nonfinancial assets to the joint venture from Cipher, there is any difference between the cost of the investment and the amount of the underlying equity in the net assets of an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the Company’s proportionate share of the investee’s net income or loss. If the investor is unable to relate the difference to specific accounts of the investee, the difference should be considered goodwill.</w:t>
      </w:r>
    </w:p>
    <w:p>
      <w:pPr>
        <w:spacing w:after="0" w:line="145"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The Company considers whether the fair value of its equity method investment has declined below its carrying value whenever adverse events or changes in circumstances indicate that recorded values may not be recoverable. If the Company considered any such decline to be other than temporary (based on various factors, including historical financial results, success of the mining operations and the overall health of the investee’s industry), then the Company would record a write-down to estimated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Property and equipment consists primarily of construction-in-progress at one of the Company’s planned sites in Texas, as well as office and computer equipment, software that is being developed for internal use and several miners obtained for testing purposes. Property and equipment is stated at cost, net of accumulated depreciation and amortization. Depreciation and amortization are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calculated using the straight-line method over the estimated useful lives of the assets, which is generally three years for office and computer-related assets and five years for miners. Construction-in-progress consists primarily of leasehold improvements at one of the Texas sites which, when placed into service, will be depreciated in accordance with the lease term of five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(amounts in thousands):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4"/>
                <w:szCs w:val="24"/>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7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49"/>
        </w:trPr>
        <w:tc>
          <w:tcPr>
            <w:tcW w:w="580" w:type="dxa"/>
            <w:vAlign w:val="bottom"/>
          </w:tcPr>
          <w:p>
            <w:pPr>
              <w:spacing w:after="0"/>
              <w:rPr>
                <w:sz w:val="21"/>
                <w:szCs w:val="21"/>
                <w:color w:val="auto"/>
              </w:rPr>
            </w:pPr>
          </w:p>
        </w:tc>
        <w:tc>
          <w:tcPr>
            <w:tcW w:w="578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right="1940"/>
        <w:spacing w:after="0" w:line="446" w:lineRule="auto"/>
        <w:rPr>
          <w:sz w:val="20"/>
          <w:szCs w:val="20"/>
          <w:color w:val="auto"/>
        </w:rPr>
      </w:pPr>
      <w:r>
        <w:rPr>
          <w:rFonts w:ascii="Times New Roman" w:cs="Times New Roman" w:eastAsia="Times New Roman" w:hAnsi="Times New Roman"/>
          <w:sz w:val="18"/>
          <w:szCs w:val="18"/>
          <w:color w:val="auto"/>
        </w:rPr>
        <w:t xml:space="preserve">Depreciation expense was immaterial during the three months ended March 31, 2022 and the two months ended March 31, 2021. </w:t>
      </w:r>
      <w:r>
        <w:rPr>
          <w:rFonts w:ascii="Times New Roman" w:cs="Times New Roman" w:eastAsia="Times New Roman" w:hAnsi="Times New Roman"/>
          <w:sz w:val="18"/>
          <w:szCs w:val="18"/>
          <w:b w:val="1"/>
          <w:bCs w:val="1"/>
          <w:i w:val="1"/>
          <w:iCs w:val="1"/>
          <w:color w:val="auto"/>
        </w:rPr>
        <w:t>Capitalized software costs</w:t>
      </w:r>
    </w:p>
    <w:p>
      <w:pPr>
        <w:ind w:right="180"/>
        <w:spacing w:after="0" w:line="246" w:lineRule="auto"/>
        <w:rPr>
          <w:sz w:val="20"/>
          <w:szCs w:val="20"/>
          <w:color w:val="auto"/>
        </w:rPr>
      </w:pPr>
      <w:r>
        <w:rPr>
          <w:rFonts w:ascii="Times New Roman" w:cs="Times New Roman" w:eastAsia="Times New Roman" w:hAnsi="Times New Roman"/>
          <w:sz w:val="18"/>
          <w:szCs w:val="18"/>
          <w:color w:val="auto"/>
        </w:rPr>
        <w:t>The Company accounts for the costs of software developed for internal use by capitalizing costs incurred during the application development stage to property and equipment, net on the unaudited condensed consolidated balance sheets. Costs related to preliminary project activities and post-implementation activities are expensed as incurred. The Company plans to amortize the capitalized costs of internal-use software on a straight-line basis over the estimated useful life of the asset, which is expected to be 3 years. The Company will recognize the amortization in depreciation and amortization in the consolidated statements of operations once the software is technologically feasible.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“Leases”.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5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A lease liability is recorded on the Company’s consolidated balance sheet at lease commencement reflecting the present value of its fixed minimum payment obligations over the lease term. A corresponding right-of-use (“ROU”) asset equal to the initial lease liability will also be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5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Company’s operating leases, fixed lease payments will be recognized as lease expense on a straight-line basis over the lease term. Variable lease costs are expensed as incurred and are not included in the measurement of ROU assets and lease liabilities.</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Leases standard provides practical expedients for an entity’s ongoing accounting. The Company has elected the practical expedient not to separate lease and non-lease components for all leases, which means all consideration that is fixed, or in-substance fixed, relating to the non-lease components will be captured as part of our lease components for balance sheet purposes.</w:t>
      </w:r>
    </w:p>
    <w:p>
      <w:pPr>
        <w:spacing w:after="0" w:line="12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ET Services Company LLC (“Luminant”), including the Lease Agreement dated June 29, 2021, with amendment and restatement on July 9, 2021 (as amended and restated, the “Luminant Lease Agreement”). Once the Luminant Lease Agreement is effective and the Company has control over the applicable leased asset,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will record both a ROU asset and a corresponding lease liability in accordance with ASC 842 for each lease component as applicable under the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w:t>
      </w:r>
    </w:p>
    <w:p>
      <w:pPr>
        <w:spacing w:after="0" w:line="175"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Cryptocurrencies, including Bitcoin, are included in current assets on the consolidated balance sheets. Cryptocurrencies awarded to the Company through its wholly owned mining activities will be accounted for in connection with the Company’s revenue recognition policy disclosed above. Cryptocurrencies awarded to the Company as distributions-in-kind from equity investees are accounted for in accordance with ASC 845, “Nonmonetary Transactions” and recorded at fair value upon receipt.</w:t>
      </w:r>
    </w:p>
    <w:p>
      <w:pPr>
        <w:spacing w:after="0" w:line="1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the Company has the option to first perform a qualitative assessment to determine whether it is more likely than not that an impairment exists. If it is determined that it is not more likely than not that an impairment exists, a quantitative impairment test is not necessary. If the Company concludes otherwise, it is required to perform a quantitative impairment test. The Company has elected to bypass the optional qualitative impairment assessment and will track its cryptocurrency activity daily for impairment assessment purposes. The Company determines the fair value of its cryptocurrencies on a nonrecurring basis in accordance with ASC 820, “Fair Value Measurements and Disclosures”, based on quoted prices on the active trading platform that the Company determines is its principal market for Bitcoin (Level 1 input). The Company performs an analysis each day to identify whether events or changes in circumstances, principally decreases in the quoted prices on its active trading platform, indicate that it is more likely than not that its cryptocurrencies are impaired. For impairment testing purposes, daily fair value of the cryptocurrencies is based on the next day’s beginning market price of the cryptocurrency (UTC 00:00), at the single Bitcoin level (one Bitcoin). The excess, if any, of the current carrying amount of the cryptocurrency assets over the daily fair value represents an impairment loss. The total of all daily impairment losses for the given quarter are summed and recorded at the end of the quarter. To the extent an impairment loss is recognized, the loss establishes the new cost basis of the asset. Subsequent reversal of impairment losses is not permitted.</w:t>
      </w:r>
    </w:p>
    <w:p>
      <w:pPr>
        <w:spacing w:after="0" w:line="16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Cryptocurrencies awarded to the Company through its mining activities will be included as an adjustment to reconcile net income to cash used in operating activities in the consolidated statements of cash flows. The receipt of cryptocurrency as distributions-in-kind from equity investees and sales, if any, of cryptocurrencies are included within investing activities in the consolidated statements of cash flows and any realized gains or losses from such sales will be included in operating income (loss), net in the consolidated statements of operations. The Company will account for its sale of cryptocurrencies in accordance with the first in first out (“FIFO”) method of accounting.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75"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which is intended to simplify various aspects related to accounting for income taxes. The new guidance removes certain exceptions to the general principles in Topic 740 and also clarifies and amends existing guidance to improve consistent application. The Company adopted this guidance on January 1, 2022 with no impact to the Company’s consolidated financial statements upon adoption.</w:t>
      </w:r>
    </w:p>
    <w:p>
      <w:pPr>
        <w:spacing w:after="0" w:line="15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Debt-Modifications and Extinguishments (Subtopic 470-50), Compensation-Stock Compensation (Topic 718), and Derivatives and Hedging-Contracts in Entity’s Own Equity (Subtopic 815-40)”. ASU 2021-04 reduces diversity in an issuer’s accounting for modifications or exchanges of freestanding equity-classified written call options (for example, warrants) that remain equity classified after modification or exchange. ASU 2021-04 provides guidance for a modification or an exchange of a freestanding equity-classified written call option that is not within the scope of another Topic. It specifically addresses: (1) how an entity should treat a modification of the terms or conditions or an exchange of a freestanding equity-classified written call option that remains equity classified after modification or exchange; (2) how an entity should measure the effect of a modification or an exchange of a freestanding equity-classified written call option that remains equity classified after modification or exchange; and (3) how an entity should recognize the effect of a modification or an exchange of a freestanding equity-classified written call option that remains equity classified after modification or exchange. An entity should apply the amendments prospectively to modifications or exchanges occurring on or after the effective date of the amendments. ASU 2021-04 was effective for the Company on January 1, 2022 and there was no impact on the Company’s financial statements or disclosures upon adoption.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Measured as of March 31, 2022</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r>
      <w:tr>
        <w:trPr>
          <w:trHeight w:val="209"/>
        </w:trPr>
        <w:tc>
          <w:tcPr>
            <w:tcW w:w="4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80" w:type="dxa"/>
            <w:vAlign w:val="bottom"/>
            <w:shd w:val="clear" w:color="auto" w:fill="CCECFF"/>
          </w:tcPr>
          <w:p>
            <w:pPr>
              <w:spacing w:after="0"/>
              <w:rPr>
                <w:sz w:val="18"/>
                <w:szCs w:val="18"/>
                <w:color w:val="auto"/>
              </w:rPr>
            </w:pPr>
          </w:p>
        </w:tc>
        <w:tc>
          <w:tcPr>
            <w:tcW w:w="1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4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Money market securities</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71,011</w:t>
            </w:r>
          </w:p>
        </w:tc>
        <w:tc>
          <w:tcPr>
            <w:tcW w:w="220" w:type="dxa"/>
            <w:vAlign w:val="bottom"/>
            <w:tcBorders>
              <w:bottom w:val="single" w:sz="8" w:color="CCECFF"/>
            </w:tcBorders>
            <w:shd w:val="clear" w:color="auto" w:fill="CCECFF"/>
          </w:tcPr>
          <w:p>
            <w:pPr>
              <w:spacing w:after="0"/>
              <w:rPr>
                <w:sz w:val="18"/>
                <w:szCs w:val="18"/>
                <w:color w:val="auto"/>
              </w:rPr>
            </w:pPr>
          </w:p>
        </w:tc>
        <w:tc>
          <w:tcPr>
            <w:tcW w:w="1220" w:type="dxa"/>
            <w:vAlign w:val="bottom"/>
            <w:tcBorders>
              <w:bottom w:val="single" w:sz="8" w:color="auto"/>
            </w:tcBorders>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71,011</w:t>
            </w:r>
          </w:p>
        </w:tc>
        <w:tc>
          <w:tcPr>
            <w:tcW w:w="60" w:type="dxa"/>
            <w:vAlign w:val="bottom"/>
            <w:tcBorders>
              <w:bottom w:val="single" w:sz="8" w:color="CCECFF"/>
            </w:tcBorders>
            <w:shd w:val="clear" w:color="auto" w:fill="CCECFF"/>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71,011</w:t>
            </w:r>
          </w:p>
        </w:tc>
        <w:tc>
          <w:tcPr>
            <w:tcW w:w="14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71,011</w:t>
            </w:r>
          </w:p>
        </w:tc>
        <w:tc>
          <w:tcPr>
            <w:tcW w:w="6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40" w:type="dxa"/>
            <w:vAlign w:val="bottom"/>
            <w:shd w:val="clear" w:color="auto" w:fill="CCEC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80" w:type="dxa"/>
            <w:vAlign w:val="bottom"/>
            <w:shd w:val="clear" w:color="auto" w:fill="CCECFF"/>
          </w:tcPr>
          <w:p>
            <w:pPr>
              <w:spacing w:after="0"/>
              <w:rPr>
                <w:sz w:val="17"/>
                <w:szCs w:val="17"/>
                <w:color w:val="auto"/>
              </w:rPr>
            </w:pPr>
          </w:p>
        </w:tc>
        <w:tc>
          <w:tcPr>
            <w:tcW w:w="1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16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r>
      <w:tr>
        <w:trPr>
          <w:trHeight w:val="249"/>
        </w:trPr>
        <w:tc>
          <w:tcPr>
            <w:tcW w:w="45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21"/>
                <w:szCs w:val="21"/>
                <w:color w:val="auto"/>
              </w:rPr>
            </w:pPr>
          </w:p>
        </w:tc>
        <w:tc>
          <w:tcPr>
            <w:tcW w:w="1220" w:type="dxa"/>
            <w:vAlign w:val="bottom"/>
            <w:tcBorders>
              <w:top w:val="single" w:sz="8" w:color="auto"/>
              <w:bottom w:val="single" w:sz="8" w:color="auto"/>
            </w:tcBorders>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-616585</wp:posOffset>
            </wp:positionV>
            <wp:extent cx="431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-616585</wp:posOffset>
            </wp:positionV>
            <wp:extent cx="3429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-616585</wp:posOffset>
            </wp:positionV>
            <wp:extent cx="3429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-616585</wp:posOffset>
            </wp:positionV>
            <wp:extent cx="3429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43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342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8"/>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Fair Value Measured as of December 31, 2021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r>
      <w:tr>
        <w:trPr>
          <w:trHeight w:val="209"/>
        </w:trPr>
        <w:tc>
          <w:tcPr>
            <w:tcW w:w="4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80" w:type="dxa"/>
            <w:vAlign w:val="bottom"/>
            <w:tcBorders>
              <w:top w:val="single" w:sz="8" w:color="auto"/>
            </w:tcBorders>
            <w:shd w:val="clear" w:color="auto" w:fill="CCECFF"/>
          </w:tcPr>
          <w:p>
            <w:pPr>
              <w:spacing w:after="0"/>
              <w:rPr>
                <w:sz w:val="18"/>
                <w:szCs w:val="18"/>
                <w:color w:val="auto"/>
              </w:rPr>
            </w:pPr>
          </w:p>
        </w:tc>
        <w:tc>
          <w:tcPr>
            <w:tcW w:w="1220" w:type="dxa"/>
            <w:vAlign w:val="bottom"/>
            <w:tcBorders>
              <w:top w:val="single" w:sz="8" w:color="auto"/>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20" w:type="dxa"/>
            <w:vAlign w:val="bottom"/>
            <w:tcBorders>
              <w:top w:val="single" w:sz="8" w:color="auto"/>
            </w:tcBorders>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1120" w:type="dxa"/>
            <w:vAlign w:val="bottom"/>
            <w:tcBorders>
              <w:top w:val="single" w:sz="8" w:color="auto"/>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00" w:type="dxa"/>
            <w:vAlign w:val="bottom"/>
            <w:tcBorders>
              <w:top w:val="single" w:sz="8" w:color="auto"/>
            </w:tcBorders>
            <w:shd w:val="clear" w:color="auto" w:fill="CCECFF"/>
          </w:tcPr>
          <w:p>
            <w:pPr>
              <w:spacing w:after="0"/>
              <w:rPr>
                <w:sz w:val="18"/>
                <w:szCs w:val="18"/>
                <w:color w:val="auto"/>
              </w:rPr>
            </w:pPr>
          </w:p>
        </w:tc>
        <w:tc>
          <w:tcPr>
            <w:tcW w:w="1040" w:type="dxa"/>
            <w:vAlign w:val="bottom"/>
            <w:tcBorders>
              <w:top w:val="single" w:sz="8" w:color="auto"/>
            </w:tcBorders>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Money market securities</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240" w:type="dxa"/>
            <w:vAlign w:val="bottom"/>
            <w:tcBorders>
              <w:bottom w:val="single" w:sz="8" w:color="CCECFF"/>
            </w:tcBorders>
            <w:shd w:val="clear" w:color="auto" w:fill="CCECFF"/>
          </w:tcPr>
          <w:p>
            <w:pPr>
              <w:spacing w:after="0"/>
              <w:rPr>
                <w:sz w:val="18"/>
                <w:szCs w:val="18"/>
                <w:color w:val="auto"/>
              </w:rPr>
            </w:pPr>
          </w:p>
        </w:tc>
        <w:tc>
          <w:tcPr>
            <w:tcW w:w="1220" w:type="dxa"/>
            <w:vAlign w:val="bottom"/>
            <w:tcBorders>
              <w:bottom w:val="single" w:sz="8" w:color="auto"/>
            </w:tcBorders>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C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60" w:type="dxa"/>
            <w:vAlign w:val="bottom"/>
            <w:tcBorders>
              <w:bottom w:val="single" w:sz="8" w:color="CCECFF"/>
            </w:tcBorders>
            <w:shd w:val="clear" w:color="auto" w:fill="CCECFF"/>
          </w:tcPr>
          <w:p>
            <w:pPr>
              <w:spacing w:after="0"/>
              <w:rPr>
                <w:sz w:val="18"/>
                <w:szCs w:val="18"/>
                <w:color w:val="auto"/>
              </w:rPr>
            </w:pPr>
          </w:p>
        </w:tc>
      </w:tr>
      <w:tr>
        <w:trPr>
          <w:trHeight w:val="209"/>
        </w:trPr>
        <w:tc>
          <w:tcPr>
            <w:tcW w:w="47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4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6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760" w:type="dxa"/>
            <w:vAlign w:val="bottom"/>
            <w:shd w:val="clear" w:color="auto" w:fill="CCEC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8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18"/>
                <w:szCs w:val="18"/>
                <w:color w:val="auto"/>
              </w:rPr>
            </w:pPr>
          </w:p>
        </w:tc>
      </w:tr>
      <w:tr>
        <w:trPr>
          <w:trHeight w:val="250"/>
        </w:trPr>
        <w:tc>
          <w:tcPr>
            <w:tcW w:w="476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1220" w:type="dxa"/>
            <w:vAlign w:val="bottom"/>
            <w:tcBorders>
              <w:top w:val="single" w:sz="8" w:color="auto"/>
              <w:bottom w:val="single" w:sz="8" w:color="auto"/>
            </w:tcBorders>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C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-616585</wp:posOffset>
            </wp:positionV>
            <wp:extent cx="5143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-616585</wp:posOffset>
            </wp:positionV>
            <wp:extent cx="431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-616585</wp:posOffset>
            </wp:positionV>
            <wp:extent cx="431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-616585</wp:posOffset>
            </wp:positionV>
            <wp:extent cx="431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values of cash and cash equivalents, prepaid expenses, accounts payable and accrued expenses approximate the recorded value due to the short-term nature of these items. The Company’s Private Placement Warrants are classified within Level 3 of the fair value hierarchy because the fair value is based on significant inputs that are unobservable in the market.</w:t>
      </w:r>
    </w:p>
    <w:p>
      <w:pPr>
        <w:spacing w:after="0" w:line="14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5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the Company’s Common Stock. The following table presents significant assumptions utilized in the valuations of the Private Placement Warrants as of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20" w:type="dxa"/>
            <w:vAlign w:val="bottom"/>
            <w:tcBorders>
              <w:top w:val="single" w:sz="8" w:color="auto"/>
            </w:tcBorders>
            <w:shd w:val="clear" w:color="auto" w:fill="CCECFF"/>
          </w:tcPr>
          <w:p>
            <w:pPr>
              <w:spacing w:after="0"/>
              <w:rPr>
                <w:sz w:val="18"/>
                <w:szCs w:val="18"/>
                <w:color w:val="auto"/>
              </w:rPr>
            </w:pPr>
          </w:p>
        </w:tc>
        <w:tc>
          <w:tcPr>
            <w:tcW w:w="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2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CFF"/>
          </w:tcPr>
          <w:p>
            <w:pPr>
              <w:spacing w:after="0"/>
              <w:rPr>
                <w:sz w:val="18"/>
                <w:szCs w:val="18"/>
                <w:color w:val="auto"/>
              </w:rPr>
            </w:pPr>
          </w:p>
        </w:tc>
        <w:tc>
          <w:tcPr>
            <w:tcW w:w="1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62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shd w:val="clear" w:color="auto" w:fill="CCECFF"/>
          </w:tcPr>
          <w:p>
            <w:pPr>
              <w:spacing w:after="0"/>
              <w:rPr>
                <w:sz w:val="18"/>
                <w:szCs w:val="18"/>
                <w:color w:val="auto"/>
              </w:rPr>
            </w:pPr>
          </w:p>
        </w:tc>
        <w:tc>
          <w:tcPr>
            <w:tcW w:w="2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18"/>
                <w:szCs w:val="18"/>
                <w:color w:val="auto"/>
              </w:rPr>
            </w:pPr>
          </w:p>
        </w:tc>
      </w:tr>
      <w:tr>
        <w:trPr>
          <w:trHeight w:val="216"/>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620" w:type="dxa"/>
            <w:vAlign w:val="bottom"/>
            <w:shd w:val="clear" w:color="auto" w:fill="CCECFF"/>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11.50</w:t>
            </w:r>
          </w:p>
        </w:tc>
        <w:tc>
          <w:tcPr>
            <w:tcW w:w="42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CFF"/>
          </w:tcPr>
          <w:p>
            <w:pPr>
              <w:spacing w:after="0"/>
              <w:rPr>
                <w:sz w:val="18"/>
                <w:szCs w:val="18"/>
                <w:color w:val="auto"/>
              </w:rPr>
            </w:pPr>
          </w:p>
        </w:tc>
      </w:tr>
    </w:tbl>
    <w:p>
      <w:pPr>
        <w:spacing w:after="0" w:line="171"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the fair value of the Private Placement Warrants for the three months ended March 31, 2022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5940" w:type="dxa"/>
            <w:vAlign w:val="bottom"/>
            <w:gridSpan w:val="2"/>
            <w:shd w:val="clear" w:color="auto" w:fill="CCEC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CFF"/>
          </w:tcPr>
          <w:p>
            <w:pPr>
              <w:spacing w:after="0"/>
              <w:rPr>
                <w:sz w:val="18"/>
                <w:szCs w:val="18"/>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4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9"/>
        </w:trPr>
        <w:tc>
          <w:tcPr>
            <w:tcW w:w="3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4640" w:type="dxa"/>
            <w:vAlign w:val="bottom"/>
            <w:tcBorders>
              <w:bottom w:val="single" w:sz="8" w:color="CCECFF"/>
            </w:tcBorders>
            <w:shd w:val="clear" w:color="auto" w:fill="CCECFF"/>
          </w:tcPr>
          <w:p>
            <w:pPr>
              <w:spacing w:after="0"/>
              <w:rPr>
                <w:sz w:val="21"/>
                <w:szCs w:val="21"/>
                <w:color w:val="auto"/>
              </w:rPr>
            </w:pPr>
          </w:p>
        </w:tc>
        <w:tc>
          <w:tcPr>
            <w:tcW w:w="1300" w:type="dxa"/>
            <w:vAlign w:val="bottom"/>
            <w:tcBorders>
              <w:top w:val="single" w:sz="8" w:color="auto"/>
              <w:bottom w:val="single" w:sz="8" w:color="auto"/>
            </w:tcBorders>
            <w:shd w:val="clear" w:color="auto" w:fill="CCEC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CFF"/>
            </w:tcBorders>
            <w:shd w:val="clear" w:color="auto" w:fill="CCECFF"/>
          </w:tcPr>
          <w:p>
            <w:pPr>
              <w:spacing w:after="0"/>
              <w:rPr>
                <w:sz w:val="21"/>
                <w:szCs w:val="21"/>
                <w:color w:val="auto"/>
              </w:rPr>
            </w:pPr>
          </w:p>
        </w:tc>
      </w:tr>
      <w:tr>
        <w:trPr>
          <w:trHeight w:val="629"/>
        </w:trPr>
        <w:tc>
          <w:tcPr>
            <w:tcW w:w="3740" w:type="dxa"/>
            <w:vAlign w:val="bottom"/>
          </w:tcPr>
          <w:p>
            <w:pPr>
              <w:spacing w:after="0"/>
              <w:rPr>
                <w:sz w:val="24"/>
                <w:szCs w:val="24"/>
                <w:color w:val="auto"/>
              </w:rPr>
            </w:pPr>
          </w:p>
        </w:tc>
        <w:tc>
          <w:tcPr>
            <w:tcW w:w="464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-513715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-496570</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ACCRUED EXPENSES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$11.4 million and $13.8 million, respectively, of prepaid expenses on its unaudited condensed consolidated balance sheets, which was almost entirely related to prepaid insurance as of both dates.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(amounts in thousands):</w:t>
            </w:r>
          </w:p>
        </w:tc>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5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 w:type="dxa"/>
            <w:vAlign w:val="bottom"/>
          </w:tcPr>
          <w:p>
            <w:pPr>
              <w:spacing w:after="0"/>
              <w:rPr>
                <w:sz w:val="24"/>
                <w:szCs w:val="24"/>
                <w:color w:val="auto"/>
              </w:rPr>
            </w:pPr>
          </w:p>
        </w:tc>
      </w:tr>
      <w:tr>
        <w:trPr>
          <w:trHeight w:val="210"/>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Legal</w:t>
            </w:r>
          </w:p>
        </w:tc>
        <w:tc>
          <w:tcPr>
            <w:tcW w:w="176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and audit</w:t>
            </w:r>
          </w:p>
        </w:tc>
        <w:tc>
          <w:tcPr>
            <w:tcW w:w="1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r>
      <w:tr>
        <w:trPr>
          <w:trHeight w:val="216"/>
        </w:trPr>
        <w:tc>
          <w:tcPr>
            <w:tcW w:w="65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17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-170815</wp:posOffset>
            </wp:positionV>
            <wp:extent cx="431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CRYPTOCURRENCIES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cryptocurrencies (Bitcoin)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1320" w:type="dxa"/>
            <w:vAlign w:val="bottom"/>
            <w:shd w:val="clear" w:color="auto" w:fill="CCEC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Cryptocurrencies received from equity investee</w:t>
            </w:r>
          </w:p>
        </w:tc>
        <w:tc>
          <w:tcPr>
            <w:tcW w:w="1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8"/>
                <w:szCs w:val="18"/>
                <w:color w:val="auto"/>
              </w:rPr>
            </w:pPr>
          </w:p>
        </w:tc>
      </w:tr>
      <w:tr>
        <w:trPr>
          <w:trHeight w:val="216"/>
        </w:trPr>
        <w:tc>
          <w:tcPr>
            <w:tcW w:w="83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1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9"/>
        </w:trPr>
        <w:tc>
          <w:tcPr>
            <w:tcW w:w="83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top w:val="single" w:sz="8" w:color="CCEEFF"/>
            </w:tcBorders>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cryptocurrency activity for the three months ended March 31, 2022 was all from Bitcoin. The Company had no cryptocurrency activity during the two months ended March 31, 2021.</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immaterial impairment charges on it’s cryptocurrency holdings as shown in the table above.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of March 31, 2022, the Company had outstanding executed purchase agreements for the purchase of (1) 26,000 Antminer S19j Pro (100 TH/s) miners from Bitmain Technologies Limited (“Bitmain”) and (2) 60,000 MicroBT M30S, M30S+ and M30S++ miners from SuperAcme Technology (Hong Kong) Limited (“SuperAcme”). All of the miners to be acquired under the purchase agreements with Bitmain and SuperAcme are scheduled to be delivered through December 2022.</w:t>
      </w:r>
    </w:p>
    <w:p>
      <w:pPr>
        <w:spacing w:after="0" w:line="1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 also has an agreement for the purchase of between 28,000 to 56,000 mining rigs from Bitfury Top HoldCo, made under, and as a part of, the Master Services and Supply Agreement between the Company and Bitfury Top HoldCo dated August 26, 2021. The agreement is a non-binding commitment unless and until confirmed by a mutually executed order confirmation. Based on the Company’s latest market assessments, management does not anticipate entering into any such order confirmations. Additionally, the Company also entered into two agreements with Bitfury USA Inc., a subsidiary of Bitfury Top HoldCo, made under, and as a part of, the Master Services and Supply Agreement, to purchase a total of 200 units of BlockBox air-cooled containers (each a “BBAC”), the modular data centers that house mining machines. The delivery of those containers commenced in the first quarter of 2022 and is anticipated to be completed in 2022, as expected. See Note 9 for more information on the Master Services and Supply Agreement.</w:t>
      </w:r>
    </w:p>
    <w:p>
      <w:pPr>
        <w:spacing w:after="0" w:line="154"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The purchase agreement commitments, deposits paid and expected delivery timing (remaining balances are payable in advance of shipping) are summarized below as of March 31, 2022 (amounts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w:t>
            </w:r>
          </w:p>
        </w:tc>
      </w:tr>
      <w:tr>
        <w:trPr>
          <w:trHeight w:val="225"/>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Maximum</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Shipping for</w:t>
            </w:r>
          </w:p>
        </w:tc>
      </w:tr>
      <w:tr>
        <w:trPr>
          <w:trHeight w:val="176"/>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6"/>
                <w:szCs w:val="16"/>
                <w:b w:val="1"/>
                <w:bCs w:val="1"/>
                <w:color w:val="auto"/>
              </w:rPr>
              <w:t>Purchase</w:t>
            </w:r>
          </w:p>
        </w:tc>
        <w:tc>
          <w:tcPr>
            <w:tcW w:w="180" w:type="dxa"/>
            <w:vAlign w:val="bottom"/>
          </w:tcPr>
          <w:p>
            <w:pPr>
              <w:spacing w:after="0"/>
              <w:rPr>
                <w:sz w:val="15"/>
                <w:szCs w:val="15"/>
                <w:color w:val="auto"/>
              </w:rPr>
            </w:pPr>
          </w:p>
        </w:tc>
        <w:tc>
          <w:tcPr>
            <w:tcW w:w="1300" w:type="dxa"/>
            <w:vAlign w:val="bottom"/>
            <w:gridSpan w:val="2"/>
          </w:tcPr>
          <w:p>
            <w:pPr>
              <w:jc w:val="right"/>
              <w:ind w:right="52"/>
              <w:spacing w:after="0" w:line="175" w:lineRule="exact"/>
              <w:rPr>
                <w:sz w:val="20"/>
                <w:szCs w:val="20"/>
                <w:color w:val="auto"/>
              </w:rPr>
            </w:pPr>
            <w:r>
              <w:rPr>
                <w:rFonts w:ascii="Times New Roman" w:cs="Times New Roman" w:eastAsia="Times New Roman" w:hAnsi="Times New Roman"/>
                <w:sz w:val="16"/>
                <w:szCs w:val="16"/>
                <w:b w:val="1"/>
                <w:bCs w:val="1"/>
                <w:color w:val="auto"/>
              </w:rPr>
              <w:t>Open Purchase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Open Purchase</w:t>
            </w:r>
          </w:p>
        </w:tc>
      </w:tr>
      <w:tr>
        <w:trPr>
          <w:trHeight w:val="216"/>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140" w:type="dxa"/>
            <w:vAlign w:val="bottom"/>
          </w:tcPr>
          <w:p>
            <w:pPr>
              <w:spacing w:after="0"/>
              <w:rPr>
                <w:sz w:val="18"/>
                <w:szCs w:val="18"/>
                <w:color w:val="auto"/>
              </w:rPr>
            </w:pPr>
          </w:p>
        </w:tc>
        <w:tc>
          <w:tcPr>
            <w:tcW w:w="1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Agreement Date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Deposits Paid</w:t>
            </w:r>
          </w:p>
        </w:tc>
        <w:tc>
          <w:tcPr>
            <w:tcW w:w="2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r>
      <w:tr>
        <w:trPr>
          <w:trHeight w:val="164"/>
        </w:trPr>
        <w:tc>
          <w:tcPr>
            <w:tcW w:w="336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Bitmain Technologies Limited**</w:t>
            </w: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spacing w:after="0" w:line="164" w:lineRule="exact"/>
              <w:rPr>
                <w:sz w:val="20"/>
                <w:szCs w:val="20"/>
                <w:color w:val="auto"/>
              </w:rPr>
            </w:pPr>
            <w:r>
              <w:rPr>
                <w:rFonts w:ascii="Times New Roman" w:cs="Times New Roman" w:eastAsia="Times New Roman" w:hAnsi="Times New Roman"/>
                <w:sz w:val="18"/>
                <w:szCs w:val="18"/>
                <w:color w:val="auto"/>
              </w:rPr>
              <w:t>August 20,</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171,135</w:t>
            </w: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164,590</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107,879</w:t>
            </w:r>
          </w:p>
        </w:tc>
        <w:tc>
          <w:tcPr>
            <w:tcW w:w="20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line="164" w:lineRule="exact"/>
              <w:rPr>
                <w:sz w:val="20"/>
                <w:szCs w:val="20"/>
                <w:color w:val="auto"/>
              </w:rPr>
            </w:pPr>
            <w:r>
              <w:rPr>
                <w:rFonts w:ascii="Times New Roman" w:cs="Times New Roman" w:eastAsia="Times New Roman" w:hAnsi="Times New Roman"/>
                <w:sz w:val="18"/>
                <w:szCs w:val="18"/>
                <w:color w:val="auto"/>
              </w:rPr>
              <w:t>April 2022 -</w:t>
            </w:r>
          </w:p>
        </w:tc>
      </w:tr>
      <w:tr>
        <w:trPr>
          <w:trHeight w:val="189"/>
        </w:trPr>
        <w:tc>
          <w:tcPr>
            <w:tcW w:w="33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80" w:type="dxa"/>
            <w:vAlign w:val="bottom"/>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2021 and August</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3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6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440" w:type="dxa"/>
            <w:vAlign w:val="bottom"/>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September 2022</w:t>
            </w:r>
          </w:p>
        </w:tc>
      </w:tr>
      <w:tr>
        <w:trPr>
          <w:trHeight w:val="234"/>
        </w:trPr>
        <w:tc>
          <w:tcPr>
            <w:tcW w:w="3360" w:type="dxa"/>
            <w:vAlign w:val="bottom"/>
            <w:shd w:val="clear" w:color="auto" w:fill="CCECFF"/>
          </w:tcPr>
          <w:p>
            <w:pPr>
              <w:spacing w:after="0"/>
              <w:rPr>
                <w:sz w:val="20"/>
                <w:szCs w:val="20"/>
                <w:color w:val="auto"/>
              </w:rPr>
            </w:pPr>
          </w:p>
        </w:tc>
        <w:tc>
          <w:tcPr>
            <w:tcW w:w="162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30, 2021</w:t>
            </w:r>
          </w:p>
        </w:tc>
        <w:tc>
          <w:tcPr>
            <w:tcW w:w="1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2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440" w:type="dxa"/>
            <w:vAlign w:val="bottom"/>
            <w:shd w:val="clear" w:color="auto" w:fill="CCECFF"/>
          </w:tcPr>
          <w:p>
            <w:pPr>
              <w:spacing w:after="0"/>
              <w:rPr>
                <w:sz w:val="20"/>
                <w:szCs w:val="20"/>
                <w:color w:val="auto"/>
              </w:rPr>
            </w:pPr>
          </w:p>
        </w:tc>
      </w:tr>
      <w:tr>
        <w:trPr>
          <w:trHeight w:val="171"/>
        </w:trPr>
        <w:tc>
          <w:tcPr>
            <w:tcW w:w="3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SuperAcme Technology (Hong</w:t>
            </w:r>
          </w:p>
        </w:tc>
        <w:tc>
          <w:tcPr>
            <w:tcW w:w="140" w:type="dxa"/>
            <w:vAlign w:val="bottom"/>
          </w:tcPr>
          <w:p>
            <w:pPr>
              <w:spacing w:after="0"/>
              <w:rPr>
                <w:sz w:val="14"/>
                <w:szCs w:val="14"/>
                <w:color w:val="auto"/>
              </w:rPr>
            </w:pPr>
          </w:p>
        </w:tc>
        <w:tc>
          <w:tcPr>
            <w:tcW w:w="14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September 2, 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59,307</w:t>
            </w:r>
          </w:p>
        </w:tc>
        <w:tc>
          <w:tcPr>
            <w:tcW w:w="200" w:type="dxa"/>
            <w:vAlign w:val="bottom"/>
          </w:tcPr>
          <w:p>
            <w:pPr>
              <w:spacing w:after="0"/>
              <w:rPr>
                <w:sz w:val="14"/>
                <w:szCs w:val="14"/>
                <w:color w:val="auto"/>
              </w:rPr>
            </w:pPr>
          </w:p>
        </w:tc>
        <w:tc>
          <w:tcPr>
            <w:tcW w:w="14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July 2022 -</w:t>
            </w: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Kong)**/****</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2022</w:t>
            </w:r>
          </w:p>
        </w:tc>
      </w:tr>
      <w:tr>
        <w:trPr>
          <w:trHeight w:val="21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Bitfury Top HoldCo B.V.</w:t>
            </w:r>
          </w:p>
        </w:tc>
        <w:tc>
          <w:tcPr>
            <w:tcW w:w="14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October 11, 2021</w:t>
            </w: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3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Bitfury USA Inc. and other vendors</w:t>
            </w:r>
          </w:p>
        </w:tc>
        <w:tc>
          <w:tcPr>
            <w:tcW w:w="140" w:type="dxa"/>
            <w:vAlign w:val="bottom"/>
          </w:tcPr>
          <w:p>
            <w:pPr>
              <w:spacing w:after="0"/>
              <w:rPr>
                <w:sz w:val="14"/>
                <w:szCs w:val="14"/>
                <w:color w:val="auto"/>
              </w:rPr>
            </w:pPr>
          </w:p>
        </w:tc>
        <w:tc>
          <w:tcPr>
            <w:tcW w:w="14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47,775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29,978</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(primarily for BBACs)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9"/>
        </w:trPr>
        <w:tc>
          <w:tcPr>
            <w:tcW w:w="33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CFF"/>
            </w:tcBorders>
            <w:shd w:val="clear" w:color="auto" w:fill="CCECFF"/>
          </w:tcPr>
          <w:p>
            <w:pPr>
              <w:spacing w:after="0"/>
              <w:rPr>
                <w:sz w:val="21"/>
                <w:szCs w:val="21"/>
                <w:color w:val="auto"/>
              </w:rPr>
            </w:pPr>
          </w:p>
        </w:tc>
        <w:tc>
          <w:tcPr>
            <w:tcW w:w="14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30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434,765</w:t>
            </w: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207,164</w:t>
            </w:r>
          </w:p>
        </w:tc>
        <w:tc>
          <w:tcPr>
            <w:tcW w:w="200" w:type="dxa"/>
            <w:vAlign w:val="bottom"/>
            <w:tcBorders>
              <w:bottom w:val="single" w:sz="8" w:color="CCECFF"/>
            </w:tcBorders>
            <w:shd w:val="clear" w:color="auto" w:fill="CCECFF"/>
          </w:tcPr>
          <w:p>
            <w:pPr>
              <w:spacing w:after="0"/>
              <w:rPr>
                <w:sz w:val="21"/>
                <w:szCs w:val="21"/>
                <w:color w:val="auto"/>
              </w:rPr>
            </w:pPr>
          </w:p>
        </w:tc>
        <w:tc>
          <w:tcPr>
            <w:tcW w:w="144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460" w:right="100" w:hanging="452"/>
        <w:spacing w:after="0" w:line="250" w:lineRule="auto"/>
        <w:tabs>
          <w:tab w:leader="none" w:pos="4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purchase commitment does not consider discounts that the Company may qualify for with the respective vendors, which could reduce the total cost of the miner.</w:t>
      </w:r>
    </w:p>
    <w:p>
      <w:pPr>
        <w:spacing w:after="0" w:line="1" w:lineRule="exact"/>
        <w:rPr>
          <w:sz w:val="20"/>
          <w:szCs w:val="20"/>
          <w:color w:val="auto"/>
        </w:rPr>
      </w:pPr>
    </w:p>
    <w:p>
      <w:pPr>
        <w:ind w:left="460" w:right="420" w:hanging="452"/>
        <w:spacing w:after="0" w:line="242" w:lineRule="auto"/>
        <w:tabs>
          <w:tab w:leader="none" w:pos="4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Company's agreements with Bitmain and SuperAcme, the Company is responsible for all logistics costs related to transportation, packaging for transportation and insurance related to the delivery of the miners.</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there were no mutually executed order confirmations and as such, the Company had no binding commitments to acquire miners from Bitfury Top HoldCo. See Note 16 for additional information regarding the return of shares of the Company’s Common Stock held by Bitfury Top HoldCo as consideration for the $10.0 million deposit paid, which occurred after March 31, 2022.</w:t>
      </w:r>
    </w:p>
    <w:p>
      <w:pPr>
        <w:spacing w:after="0" w:line="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regarding execution of an amended agreement with SuperAcme.</w:t>
      </w:r>
    </w:p>
    <w:p>
      <w:pPr>
        <w:spacing w:after="0" w:line="23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received 970 Antminer model S19j Pro-A miners related to its purchase agreement with Bitmain, which were contributed to the Alborz facility as part of the Company’s investment in the joint venture. See additional information in Note 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SECURITY DEPOSITS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deposits as of the dates indicated, are shown in the table below (amounts in thousands):</w:t>
      </w:r>
    </w:p>
    <w:p>
      <w:pPr>
        <w:spacing w:after="0" w:line="208"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 w:type="dxa"/>
            <w:vAlign w:val="bottom"/>
          </w:tcPr>
          <w:p>
            <w:pPr>
              <w:spacing w:after="0"/>
              <w:rPr>
                <w:sz w:val="20"/>
                <w:szCs w:val="20"/>
                <w:color w:val="auto"/>
              </w:rPr>
            </w:pPr>
          </w:p>
        </w:tc>
      </w:tr>
      <w:tr>
        <w:trPr>
          <w:trHeight w:val="164"/>
        </w:trPr>
        <w:tc>
          <w:tcPr>
            <w:tcW w:w="56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Luminant Power Purchase Agreement Independent Collateral Amount (see</w:t>
            </w:r>
          </w:p>
        </w:tc>
        <w:tc>
          <w:tcPr>
            <w:tcW w:w="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3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40" w:type="dxa"/>
            <w:vAlign w:val="bottom"/>
            <w:shd w:val="clear" w:color="auto" w:fill="CCEEFF"/>
          </w:tcPr>
          <w:p>
            <w:pPr>
              <w:spacing w:after="0"/>
              <w:rPr>
                <w:sz w:val="20"/>
                <w:szCs w:val="20"/>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 (see Note 9)</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lease security deposit</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r>
      <w:tr>
        <w:trPr>
          <w:trHeight w:val="249"/>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security deposits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-24765</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EQUITY INVESTEE</w:t>
      </w:r>
    </w:p>
    <w:p>
      <w:pPr>
        <w:spacing w:after="0" w:line="189" w:lineRule="exact"/>
        <w:rPr>
          <w:sz w:val="20"/>
          <w:szCs w:val="20"/>
          <w:color w:val="auto"/>
        </w:rPr>
      </w:pPr>
    </w:p>
    <w:p>
      <w:pPr>
        <w:jc w:val="both"/>
        <w:ind w:right="500"/>
        <w:spacing w:after="0" w:line="250" w:lineRule="auto"/>
        <w:rPr>
          <w:sz w:val="20"/>
          <w:szCs w:val="20"/>
          <w:color w:val="auto"/>
        </w:rPr>
      </w:pPr>
      <w:r>
        <w:rPr>
          <w:rFonts w:ascii="Times New Roman" w:cs="Times New Roman" w:eastAsia="Times New Roman" w:hAnsi="Times New Roman"/>
          <w:sz w:val="18"/>
          <w:szCs w:val="18"/>
          <w:color w:val="auto"/>
        </w:rPr>
        <w:t>On June 10, 2021, the Company and WindHQ, LLC (“WindHQ”) signed a binding definitive framework agreement with respect to the construction, buildout, deployment and operation of one or more data centers (“Data Centers”) in the United States (the “WindHQ Joint Venture Agreement”). See additional information regarding the WindHQ Joint Venture Agreement in Note 11.</w:t>
      </w:r>
    </w:p>
    <w:p>
      <w:pPr>
        <w:spacing w:after="0" w:line="15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On January 28, 2022, in connection with the WindHQ Joint Venture Agreement, Cipher Mining Technologies and Alborz Interests DC LLC (a subsidiary of WindHQ), as members, entered into the Amended and Restated Limited Liability Company Agreement of Alborz LLC (the “Alborz LLC Agreement”). The Alborz LLC Agreement delineates the rights and obligations of the members related to the construction, operation and management of the Alborz LLC facility located in Texas (i.e., the first Data Center under the WindHQ Joint Venture Agreement. The Company is required to required to support and monitor (remotely) the operations of the hardware at the Alborz facility (particularly the mining servers) as required under the WindHQ Joint Venture Agreement.</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Alborz LLC. The Company contributed a total of $7.5 million of miners and mining equipment to Alborz LLC during the three months ended March 31, 2022. The Company also reclassified approximately $0.2 million of legal costs associated with the joint venture formation to investment in equity investee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approximately $0.2 million as equity in Alborz, LLC’s net loss in the unaudited condensed consolidated statement of operations for the three months ended March 31, 2022. For the three months ended March 31, 2022, the Company received distributions-in-kind of Bitcoin of approximately $0.2 million from Alborz, LLC.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18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connection with the Business Combination, Bitfury Top HoldCo and Cipher entered into the Master Services and Supply Agreement on August 26, 2021. The initial term of the agreement is 84 months, with automatic 12-month renewals thereafter (unless either party provides sufficient notice of non-renewal). Pursuant to this agreement, Cipher can request and Bitfury Top HoldCo is required to use commercially reasonable efforts to provide, or procure the provision of, certain equipment and/or services, such as construction, engineering and operations, in each case as may be required to launch and maintain Cipher’s mining centers in the United States. The Master Services and Supply Agreement is not exclusive to Bitfury Top HoldCo or any of its affiliates, and Cipher may retain any other parties to manufacture and deliver any equipment or perform any of the services required. Cipher is not obligated to order any equipment or services from the Bitfury Group under the Master Services and Supply Agreement.</w:t>
      </w:r>
    </w:p>
    <w:p>
      <w:pPr>
        <w:spacing w:after="0" w:line="15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addition to the Master Services and Supply Agreement, Cipher and Bitfury Holding also entered into a fee side letter, which sets out the basic pricing framework applicable under the Master Services and Supply Agreement for any services. Under the side letter, monthly fees for any potential future services, if any, would be determined by reference to two groups of services, which may be provided under the Master Services and Supply Agreement: (i) Bitfury Top HoldCo’s “onsite” services fee would be calculated on a straight cost +5% basis (plus applicable duties and taxes); and (ii) Bitfury Top HoldCo’s “remote services” would be calculated on a ratchet basis applying a management fee of $1000/MW up to 445MW (capped at $200,000/month) and $450USD/MW above 445MW (plus applicable duties and taxes).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deposits on equipment</w:t>
      </w:r>
    </w:p>
    <w:p>
      <w:pPr>
        <w:spacing w:after="0" w:line="17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discussed above in Note 6, the Company entered into agreements with Bitfury Top HoldCo providing the Company an option to purchase mining rigs and with Bitfury USA Inc., a subsidiary of Bitfury Top HoldCo, for BBACs. Such agreements are pursuant to the Master Services and Supply Agreement. As of March 31, 2022, the Company had paid $10.0 million and $23.2 million to Bitfury Top HoldCo and Bitfury USA Inc., respectively, pursuant to these agreements, which were recorded as deposits on equipment on the Company’s unaudited condensed consolidated balance sheet. As of December 31, 2021, the Company had paid $10.0 and $5.1 million to Bitfury Top HoldCo and Bitfury USA Inc., respectively.</w:t>
      </w:r>
    </w:p>
    <w:p>
      <w:pPr>
        <w:spacing w:after="0" w:line="13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Additionally, Bitfury Top HoldCo made payments on the Company's behalf totaling approximately $2.4 million prior to December 31, 2021 for deposits on equipment and/or construction-in-progress. The Company reimbursed Bitfury Top HoldCo for these amounts plus a 7% service fee upon completion of the Business Combination and, as a result, recorded the amounts reimbursed to Bitfury (including the service fee) as follows: approximately $2.5 million is included in deposits on equipment and approximately $0.1 million in included in construction-in-progress on the Company's unaudited condensed consolidated balance sheets as of March 31, 2022 and December 31, 2021. As of March 31, 2022, the Company recorded a $3.9 million payable to Bitfury Top HoldCo in accounts payable, related party on the unaudited condensed consolidated balance sheet comprised of $2.5 million and $1.4 million recorded as deposits on equipment and construction-in-progress, respectively, for additional payments that Bitfury Top HoldCo has made, or is making on the Company’s behalf.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w:t>
      </w:r>
    </w:p>
    <w:p>
      <w:pPr>
        <w:spacing w:after="0" w:line="18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Company has entered into an operating lease for office space located in New York. The lease has an initial term of 64 months, commencing on February 1, 2022. The lease does not provide the Company with renewal options.</w:t>
      </w:r>
    </w:p>
    <w:p>
      <w:pPr>
        <w:spacing w:after="0" w:line="13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Total rent expense was approximately $0.2 million for the three months ended March 31, 2022, and consisted entirely of operating lease costs as the Company did not incur any variable lease costs or short-term lease costs during the period.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Supplemental information related to the lease was as follows (dollar amounts in thousands):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09"/>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20" w:type="dxa"/>
            <w:vAlign w:val="bottom"/>
          </w:tcPr>
          <w:p>
            <w:pPr>
              <w:spacing w:after="0"/>
              <w:rPr>
                <w:sz w:val="18"/>
                <w:szCs w:val="18"/>
                <w:color w:val="auto"/>
              </w:rPr>
            </w:pPr>
          </w:p>
        </w:tc>
      </w:tr>
      <w:tr>
        <w:trPr>
          <w:trHeight w:val="216"/>
        </w:trPr>
        <w:tc>
          <w:tcPr>
            <w:tcW w:w="8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320" w:type="dxa"/>
            <w:vAlign w:val="bottom"/>
            <w:shd w:val="clear" w:color="auto" w:fill="CCECFF"/>
          </w:tcPr>
          <w:p>
            <w:pPr>
              <w:spacing w:after="0"/>
              <w:rPr>
                <w:sz w:val="18"/>
                <w:szCs w:val="18"/>
                <w:color w:val="auto"/>
              </w:rPr>
            </w:pPr>
          </w:p>
        </w:tc>
        <w:tc>
          <w:tcPr>
            <w:tcW w:w="2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CFF"/>
          </w:tcPr>
          <w:p>
            <w:pPr>
              <w:spacing w:after="0"/>
              <w:rPr>
                <w:sz w:val="18"/>
                <w:szCs w:val="18"/>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20" w:type="dxa"/>
            <w:vAlign w:val="bottom"/>
          </w:tcPr>
          <w:p>
            <w:pPr>
              <w:spacing w:after="0"/>
              <w:rPr>
                <w:sz w:val="20"/>
                <w:szCs w:val="20"/>
                <w:color w:val="auto"/>
              </w:rPr>
            </w:pP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future minimum operating lease payments during the next five years and thereafter are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Period Ended December 31, 2022</w:t>
            </w:r>
          </w:p>
        </w:tc>
        <w:tc>
          <w:tcPr>
            <w:tcW w:w="1220" w:type="dxa"/>
            <w:vAlign w:val="bottom"/>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tcPr>
          <w:p>
            <w:pPr>
              <w:spacing w:after="0"/>
              <w:rPr>
                <w:sz w:val="18"/>
                <w:szCs w:val="18"/>
                <w:color w:val="auto"/>
              </w:rPr>
            </w:pPr>
          </w:p>
        </w:tc>
      </w:t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2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tcPr>
          <w:p>
            <w:pPr>
              <w:spacing w:after="0"/>
              <w:rPr>
                <w:sz w:val="18"/>
                <w:szCs w:val="18"/>
                <w:color w:val="auto"/>
              </w:rPr>
            </w:pPr>
          </w:p>
        </w:tc>
      </w:t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22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8"/>
                <w:szCs w:val="18"/>
                <w:color w:val="auto"/>
              </w:rPr>
            </w:pPr>
          </w:p>
        </w:tc>
      </w:tr>
      <w:tr>
        <w:trPr>
          <w:trHeight w:val="210"/>
        </w:trPr>
        <w:tc>
          <w:tcPr>
            <w:tcW w:w="8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8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(1,941 )</w:t>
            </w:r>
          </w:p>
        </w:tc>
      </w:tr>
      <w:tr>
        <w:trPr>
          <w:trHeight w:val="249"/>
        </w:trPr>
        <w:tc>
          <w:tcPr>
            <w:tcW w:w="834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tcBorders>
              <w:top w:val="single" w:sz="8" w:color="auto"/>
              <w:bottom w:val="single" w:sz="8" w:color="auto"/>
            </w:tcBorders>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March 31, 2022. The Company does not anticipate recognizing any significant losses relating to these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and hosting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party to several power and hosting arrangements as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power arrangement</w:t>
      </w:r>
    </w:p>
    <w:p>
      <w:pPr>
        <w:spacing w:after="0" w:line="187"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which was subsequently amended and restated on July 9, 2021 and further amended on February 28, 2022, with Luminant for the supply of electric power to one of our planned sites in Texas for a term of five years with a subsequent automatic annual renewal provision (as amended, the “Luminant Power Agreement”).</w:t>
      </w:r>
    </w:p>
    <w:p>
      <w:pPr>
        <w:spacing w:after="0" w:line="1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Luminant Lease Agreement leases the Company a plot of land where the planned data center, ancillary infrastructure and electrical system (the “Interconnection Electrical Facilities” or “substation”) will be set up for the Texas site. The Company also entered into the Purchase and Sale Agreement dated June 28, 2021, with amendment and restatement on July 9, 2021 (as amended and restated the “Luminant Purchase and Sale Agreement””) with another Luminant affiliate. The Company entered into the Luminant Lease Agreement and the Luminant Purchase and Sale Agreement to build the infrastructure necessary to support its planned operations. The Company determined that the Luminant Lease Agreement and the Luminant Purchase and Sale Agreement should be combined for accounting purposes under the new lease guidance (collectively, the “Combined Luminant Lease Agreement”) and that amounts exchanged under the combined contract should be allocated to the various components of the overall transaction based on relative fair values.</w:t>
      </w:r>
    </w:p>
    <w:p>
      <w:pPr>
        <w:spacing w:after="0" w:line="140"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Under the Luminant Power Agreement, the Company is required to provide Luminant with collateral of approximately $12.6 million (the “Independent Collateral Amount”). Half, or approximately $6.3 million, of the Independent Collateral Amount was paid to Luminant on September 1, 2021 and is recorded in security deposits as of March 31, 2022 and December 31, 2021, as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received notice that Luminant had commenced construction of the Interconnection Electrical Facilities. The other half will be due 15 days prior to the date on which the Interconnection Electrical Facilities are completed and made operational.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Luminant Purchase and Sale Agreement. Under the Luminant Purchase and Sale Agreement, the Company provided approximately $3.1 million as collateral separate from the Independent Collateral Amount, which is recorded in security deposits as of March 31, 2022 and December 31, 2021.</w:t>
      </w:r>
    </w:p>
    <w:p>
      <w:pPr>
        <w:spacing w:after="0" w:line="15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Combined Luminant Lease Agreement is effective from the date of the Company’s notification of the Effective Date of the Business Combination, which was August 27, 2021, and shall continue for five years following completion of the substation, subject to renewal provisions aligned with the Luminant Power Agreement.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$13.1 million). At the end of the lease term for the Interconnection Electrical Facilities, the substation will be sold back to Luminant’s affiliate, Vistra Operations Company, LLC at a price to be determined based upon bids obtained in the secondary market.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Standard Power hosting agreement</w:t>
      </w:r>
    </w:p>
    <w:p>
      <w:pPr>
        <w:spacing w:after="0" w:line="187" w:lineRule="exact"/>
        <w:rPr>
          <w:sz w:val="20"/>
          <w:szCs w:val="20"/>
          <w:color w:val="auto"/>
        </w:rPr>
      </w:pPr>
    </w:p>
    <w:p>
      <w:pPr>
        <w:jc w:val="both"/>
        <w:ind w:right="180"/>
        <w:spacing w:after="0" w:line="246" w:lineRule="auto"/>
        <w:rPr>
          <w:sz w:val="20"/>
          <w:szCs w:val="20"/>
          <w:color w:val="auto"/>
        </w:rPr>
      </w:pPr>
      <w:r>
        <w:rPr>
          <w:rFonts w:ascii="Times New Roman" w:cs="Times New Roman" w:eastAsia="Times New Roman" w:hAnsi="Times New Roman"/>
          <w:sz w:val="18"/>
          <w:szCs w:val="18"/>
          <w:color w:val="auto"/>
        </w:rPr>
        <w:t>Under the Standard Power Hosting Agreement entered into on February 3, 2021 by the Company and 500 N 4th Street LLC, doing business as Standard Power (“Standard Power”), the Company agrees to provide Standard Power with Bitcoin miners with a specified energy utilization capacity necessary to generate computational power at three Ohio facilities (the “Miners”). Standard Power, in turn, is obligated to (i) host the Miners in specialized containers and provide the electrical power and transmission and connection equipment necessary for the mining and (ii) host, operate and manage the Miners there, in each case in accordance with the terms and conditions of the Standard Power Hosting Agreement.</w:t>
      </w:r>
    </w:p>
    <w:p>
      <w:pPr>
        <w:spacing w:after="0" w:line="15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Standard Power Hosting Agreement provides that Standard Power shall provide an electric power infrastructure, including containers, necessary to operate Miners with a specified energy utilization capacity at facility 1 in Ohio in accordance with the specifications and power availability date set out in the availability schedule.</w:t>
      </w:r>
    </w:p>
    <w:p>
      <w:pPr>
        <w:spacing w:after="0" w:line="15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Thereafter, Standard Power shall provide the hosting capacity, housing and equipment for Miners with the specified energy utilization capacities that will be delivered to the facilities in accordance with the availability schedule, as may be amended and supplemented. Standard Power also undertakes to be responsible for the proper installation and the costs of work for hosting the Miners in the specialized containers in each facility and for the proper care and maintenance of the Miners, the facilities and the containers in which the Miners are installed.</w:t>
      </w:r>
    </w:p>
    <w:p>
      <w:pPr>
        <w:spacing w:after="0" w:line="13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Under the Standard Power Hosting Agreement, the Company is obligated to pay a hosting fee and an operational service fee. The Company’s payment obligations under the Standard Power Hosting Agreement become effective on a pro rata basis according to the number of Miners in operation in accordance with the terms of this agreement. The Standard Power Hosting Agreement provides for a term of five years with automatic five-year renewal provisions. The associated fees paid under the Standard Power Hosting Agreement will be expensed as services are received.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WindHQ power arrangement and joint venture</w:t>
      </w:r>
    </w:p>
    <w:p>
      <w:pPr>
        <w:spacing w:after="0" w:line="18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and the Company will each own 51% and 49%, respectively, of the initial membership interests of each Initial Data Center LLC.</w:t>
      </w:r>
    </w:p>
    <w:p>
      <w:pPr>
        <w:spacing w:after="0" w:line="13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WindHQ Joint Venture Agreement includes a development schedule for additional electrical power capacity through the joint identification, procurement, development and operation of additional Data Centers (“Future Data Centers”). Each Future Data Center will be owned by a separate limited liability company (each, a “Future Data Center LLC”, and collectively with the Initial Data Center LLCs, the “Data Center LLCs”), and the Company and WindHQ, or respective affiliates of the Company or WindHQ, shall become a member of each Data Center LLC by entering into a limited liability company agreement for each such Data Center LLC (“LLC Agreement”). WindHQ will own at least 51% of the initial membership interests of each Data Center LLC and the Company will own a maximum of 49% of the initial membership interests of each Data Center LLC. Furthermore, under the WindHQ Joint Venture Agreement, WindHQ is required to procure energy for Future Data Centers at the most favorable pricing then available. Similarly,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required to procure the applicable equipment needed for the Future Data Centers at the most favorable pricing then available.</w:t>
      </w:r>
    </w:p>
    <w:p>
      <w:pPr>
        <w:spacing w:after="0" w:line="1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the WindHQ Joint Venture Agreement, WindHQ agrees to provide a series of services to each of the Data Centers, including but not limited to: (i) the design and engineering of each of the Data Centers; (ii) the procurement of energy equipment and other related services such as logistics for each of the Data Centers; and (iii) the construction work for each of the Data Centers. Furthermore, the Company is required to support and monitor (remotely) the operations of the hardware at each Data Center (particularly the mining servers) as required under the WindHQ Joint Venture Agreement.</w:t>
      </w:r>
    </w:p>
    <w:p>
      <w:pPr>
        <w:spacing w:after="0" w:line="15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 development fee equal to 2% of capital expenditures in respect of the initial development of each Data Center shall be paid 50% to WindHQ and 50% to the Company. Furthermore, a fee equal to 2% of the gross revenues of each of the Data Center LLCs will be payable monthly, based on the immediately prior month gross revenue of such Data Center, 50% to WindHQ and 50% to the Company.</w:t>
      </w:r>
    </w:p>
    <w:p>
      <w:pPr>
        <w:spacing w:after="0" w:line="15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For each Data Center, WindHQ and the Company will cooperate to prepare a financial model incorporating the relevant economic factors of such Data Center, and both WindHQ and the Company will provide the initial funding required for each Data Center on a pro rata basis in accordance with the parties’ respective ownership interests in the applicable Data Center LLC.</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absence of any material breaches by either party, the WindHQ Joint Venture Agreement may only be terminated by mutual written consent of both parties.</w:t>
      </w:r>
    </w:p>
    <w:p>
      <w:pPr>
        <w:spacing w:after="0" w:line="10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Currently, it is not anticipated by management of the Company that the Company’s investment in any of the individual Data Center LLCs will meet the definition of a variable interest entity in accordance with ASC 810, “Consolidation” and the Company will not have a controlling voting interest in any of the Data Center LLCs. Based upon the Company's expectation that they will have significant influence over the operations and major decisions of the Data Center LLCs, the Company’s 49% ownership in each individual Data Center LLC will be separately accounted for under the equity method of accounting, as the Company does not expect to exercise control over the Data Center LLCs.</w:t>
      </w:r>
    </w:p>
    <w:p>
      <w:pPr>
        <w:spacing w:after="0" w:line="13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See discussion of the Alborz LLC Agreement entered into on January 28, 2022 between the Company and Alborz Interests DC LLC (a subsidiary of WindHQ) above in Note 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 (DEFICIT)</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March 31, 2022, 510,000,000 shares with a par value of $0.001 per share are authorized, of which, 500,000,000 shares are designated as Common Stock and 10,000,000 shares are designated as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March 31, 2022,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w:t>
      </w:r>
    </w:p>
    <w:p>
      <w:pPr>
        <w:spacing w:after="0" w:line="1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repurchased 659,231 shares of its common stock related to tax withholding settlements for restricted stock units (“RSUs”) that vested during the three months ended March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WARRANTS</w:t>
      </w:r>
    </w:p>
    <w:p>
      <w:pPr>
        <w:spacing w:after="0" w:line="17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8,500,000 Public Warrants and 114,000 Private Placement Warrants outstanding as of the Closing Date of the Business Combination.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Upon Closing of the Business Combination, the Board approved the Cipher Mining Inc. 2021 Incentive Award Plan (the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5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will be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2022, this resulted in an increase of 7,478,382 shares of Common Stock available for issuance under the Incentive Award Plan. As of March 31, 2022, 9,602,122 shares of Common Stock are available for issuance under the Incentive Award Plan.</w:t>
      </w:r>
    </w:p>
    <w:p>
      <w:pPr>
        <w:spacing w:after="0" w:line="15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total share-based compensation for the following categories of awards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60" w:type="dxa"/>
            <w:vAlign w:val="bottom"/>
            <w:shd w:val="clear" w:color="auto" w:fill="CCEEFF"/>
          </w:tcPr>
          <w:p>
            <w:pPr>
              <w:spacing w:after="0"/>
              <w:rPr>
                <w:sz w:val="18"/>
                <w:szCs w:val="18"/>
                <w:color w:val="auto"/>
              </w:rPr>
            </w:pPr>
          </w:p>
        </w:tc>
      </w:tr>
      <w:tr>
        <w:trPr>
          <w:trHeight w:val="21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60" w:type="dxa"/>
            <w:vAlign w:val="bottom"/>
          </w:tcPr>
          <w:p>
            <w:pPr>
              <w:spacing w:after="0"/>
              <w:rPr>
                <w:sz w:val="18"/>
                <w:szCs w:val="18"/>
                <w:color w:val="auto"/>
              </w:rPr>
            </w:pPr>
          </w:p>
        </w:tc>
      </w:tr>
      <w:tr>
        <w:trPr>
          <w:trHeight w:val="249"/>
        </w:trPr>
        <w:tc>
          <w:tcPr>
            <w:tcW w:w="8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three months ended March 31, 2022 is shown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4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Weighted Average Grant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p>
        </w:tc>
        <w:tc>
          <w:tcPr>
            <w:tcW w:w="24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 2022</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6,798,238</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(1,554,064 )</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2022</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6,183,232</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-170815</wp:posOffset>
            </wp:positionV>
            <wp:extent cx="5143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5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2022, there was approximately $36.5 million of unrecognized compensation expense related to unvested Service-Based RSUs, which is expected to be recognized over a weighted-average vesting period of approximately 1.9 years.</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If not fully-vested upon grant, Service-Based RSUs awarded generally vest in equal installments on the first four anniversaries of the vesting commencement date as determined by the Board, which will generally coincide with the timing when the employee or consultant began to provide services to the Company, and which may precede the grant date. Vesting is subject to the award recipient's continuous service on the applicable vesting date; provided, that if the award recipient’s employment is terminated by the Company without “cause”, due to award recipient’s death or permanent disability, or, for some award recipients, by the award recipient for “good reason” (if applicable, as such term or similar term may be defined in any employment, consulting or similar service agreement between award recipient and the Company), all unvested Service-Based RSUs will vest in full. In addition, in the event of a change in control, any unvested Service-Based RSUs will vest subject to the award recipient's continuous service to the Company through such change in control. In addition, if the $10 billion market capitalization milestone (described further below) is achieved and the Chief Executive Officer (“CEO”) remains in continuous service through such achievement, any then-unvested Service-Based RSUs awarded to the CEO will also vest.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was no activity for unvested Performance-Based RSUs during the three months ended March 31, 2022. There were 4,257,710 unvested Performance-Based RSUs at a weighted average grant date fair value of $7.76 as of March 31, 2022 and December 31, 2021. There was approximately $28.0 million of unrecognized compensation expense related to unvested Performance-Based RSUs, which is expected to be recognized over a weighted-average derived service period of approximately 2.2 years.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One-third of the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allocable to common shareholders by the weighted average number of common shares outstanding during the period. Diluted net loss per common share adjusts net loss and net loss per common share for the effect of all potentially dilutive shares of the Company’s Common Stock. Basic net loss per common share is the same as dilutive net loss per common share for the three months ended March 31, 2022 and the two months ended March 31, 2021, as the inclusion of all potential common shares would have been antidilutive. Potential common shares consist of Public Warrants and Private Placement Warrants to purchase Common Stock (using the treasury stock method) that were sold by GWAC in its initial public offering or concurrent with its initial public offering, respectively, and assumed by the Company as of the Effective Date of the Business Combination, as well as unvested RSUs.</w:t>
      </w:r>
    </w:p>
    <w:p>
      <w:pPr>
        <w:spacing w:after="0" w:line="15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loss per common share as of March 31, 2022, because including them would have been antidilutive. There were no potentially dilutive securities as of March 31, 2021.</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8,499,980</w:t>
            </w:r>
          </w:p>
        </w:tc>
        <w:tc>
          <w:tcPr>
            <w:tcW w:w="60" w:type="dxa"/>
            <w:vAlign w:val="bottom"/>
            <w:shd w:val="clear" w:color="auto" w:fill="CCEC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60" w:type="dxa"/>
            <w:vAlign w:val="bottom"/>
          </w:tcPr>
          <w:p>
            <w:pPr>
              <w:spacing w:after="0"/>
              <w:rPr>
                <w:sz w:val="18"/>
                <w:szCs w:val="18"/>
                <w:color w:val="auto"/>
              </w:rPr>
            </w:pPr>
          </w:p>
        </w:tc>
      </w:tr>
      <w:tr>
        <w:trPr>
          <w:trHeight w:val="216"/>
        </w:trPr>
        <w:tc>
          <w:tcPr>
            <w:tcW w:w="6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10,440,942</w:t>
            </w:r>
          </w:p>
        </w:tc>
        <w:tc>
          <w:tcPr>
            <w:tcW w:w="60" w:type="dxa"/>
            <w:vAlign w:val="bottom"/>
            <w:tcBorders>
              <w:bottom w:val="single" w:sz="8" w:color="CCECFF"/>
            </w:tcBorders>
            <w:shd w:val="clear" w:color="auto" w:fill="CCECFF"/>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19,054,922</w:t>
            </w:r>
          </w:p>
        </w:tc>
        <w:tc>
          <w:tcPr>
            <w:tcW w:w="6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-170815</wp:posOffset>
            </wp:positionV>
            <wp:extent cx="431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75"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On April 8, 2022, the Company entered into a waiver agreement with Bitfury Top HoldCo (the “Waiver Agreement”), pursuant to which the Company waived certain restrictions on transfer of the Company’s Common Stock under (a) that certain Lock-up Agreement, dated as of August 26, 2021, by and between GWAC and Bitfury Top HoldCo and (b) those certain Lock-up Agreements, dated August 26, 2021, by and between GWAC and each of (i) I-B Goodworks, LLC, (ii) 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w:t>
      </w:r>
    </w:p>
    <w:p>
      <w:pPr>
        <w:spacing w:after="0" w:line="13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The Waiver Agreement was negotiated and approved by an independent committee of the Board. The Waiver Agreement (i) permits each Stockholder to pledge or otherwise hypothecate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such waiver will only apply and be effective if certain conditions specified in the Waiver Agreement are satisfied or waived. Additionally, effective as of the date of consummation of any pledge or hypothecation, and solely in regard to any pledged shares, the Lock-up Period, as defined in the applicable Lock-up Agreement, shall be extended an additional three months to November 26, 2023. Furthermore, the Waiver Agreement provides for a cancellation of 2,890,173 shares of the Company’s Common Stock held by Bitfury Top HoldCo and subject to the Lock-up Agreements as consideration for the $10.0 million deposit paid by the Company for Bitfury Top HoldCo mining rigs under the agreement dated October 11, 2021, for which no order confirmation was made, as further discussed in Note 6.</w:t>
      </w:r>
    </w:p>
    <w:p>
      <w:pPr>
        <w:spacing w:after="0" w:line="15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April 8, 2022, the Company also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On May 6, 2022, the Company entered into an Amended and Restated Framework Agreement on Supply of Blockchain Servers with SuperAcme (the “Amended SuperAcme Agreement”), which amended that certain Framework Agreement on Supply of Blockchain Servers with SuperAcme, dated September 2, 2021, to purchase 60,000 MicroBT M30S, M30S+ and M30S++ miners (the “Original SuperAcme Agreement”).</w:t>
      </w:r>
    </w:p>
    <w:p>
      <w:pPr>
        <w:spacing w:after="0" w:line="15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Amended SuperAcme Agreement establishes a new delivery quantity ratio of miners as well as new fixed subtotal pricing. In connection with the Original SuperAcme Agreement, the Company previously paid an initial deposit of $22.2 million. No additional initial deposit was required as a result of the execution of the Amended SuperAcme Agreement. The expected final purchase price under the Amended SuperAcme Agreement is subject to both the new fixed price terms and certain floating price terms, with advance payment due in advance of certain batches of supply being delivered.</w:t>
      </w:r>
    </w:p>
    <w:p>
      <w:pPr>
        <w:spacing w:after="0" w:line="13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After March 31, 2022, but before the issuance of these unaudited condensed consolidated financial statements, the Company made payments totaling approximately $16.6 million to Bitmain and $18.5 million to SuperAcme for miners, as well as payments totaling approximately $2.5 million to Bitfury USA Inc. for BBACs. These payments were related to purchase commitments disclosed above in Note 6 and increased the Company's deposits on equipment on the unaudited condensed consolidated balance sheet, except for the payment made to Bitfury USA Inc. which was already reflected in deposits on equipment of March 31, 2022.</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as disclosed in our 2021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2021 Form 10-K and this Quarterly Report and other factors set forth in other parts of this Quarterly Report.</w:t>
      </w:r>
    </w:p>
    <w:p>
      <w:pPr>
        <w:spacing w:after="0" w:line="155"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“we,” “us” or “our” refer to Cipher Mining Technologies Inc., prior to the consummation of the Business Combination (the “Closing” and, such date of the consummation of the Business Combination, the “Closing Date”) and to Cipher Mining Inc. and its consolidated subsidiaries following the Business Combination. References to “GWAC” or “Good Works” refer to our predecessor company prior to the consummation of the Business Combination.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an emerging technology company that operates in the Bitcoin mining ecosystem in the United States. Specifically, we plan to develop and grow a cryptocurrency mining business, specializing in Bitcoin. Our key mission is to become a leading Bitcoin mining company in the United States.</w:t>
      </w:r>
    </w:p>
    <w:p>
      <w:pPr>
        <w:spacing w:after="0" w:line="13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were established by the Bitfury Group, a global full-service blockchain and technology specialist and one of the leading private infrastructure providers in the blockchain ecosystem. On August 27, 2021, we consummated the Business Combination with Good Works. As a stand-alone, U.S.-based cryptocurrency mining business, specializing in Bitcoin, we have begun our buildout of cryptocurrency mining sites in the United States. We began deployment of capacity in the first quarter of 2022, with mining operations beginning at one site in February 2022.</w:t>
      </w:r>
    </w:p>
    <w:p>
      <w:pPr>
        <w:spacing w:after="0" w:line="15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our planned buildout, we entered into the Standard Power Hosting Agreement, the WindHQ Joint Venture Agreement and the Luminant Power Agreement, all of which, together, are expected to cover at least four sites where we expect to begin our buildout. Pursuant to these agreements, we expect to have access, for at least five years, to an average cost of electricity of approximately 2.7 c/kWh. We expect that this will help competitively position us to achieve our goal of becoming a leading Bitcoin mining operator in the United States.</w:t>
      </w:r>
    </w:p>
    <w:p>
      <w:pPr>
        <w:spacing w:after="0" w:line="16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On January 28, 2022, in connection with the WindHQ Joint Venture Agreement, Cipher Mining Technologies and Alborz Interests DC LLC (a subsidiary of WindHQ), as members, entered into the Alborz LLC Agreement. The Alborz LLC Agreement delineates the rights and obligations of the members related to the construction, operation and management of the Alborz facility located in Texas (“Alborz”). Pursuant to the terms of the WindHQ Joint Venture Agreement, our investment and ownership of 49% of the data center referred to as “Alborz LLC” is accounted for under the equity method of accounting. The first shipment of 970 Bitmain miners was received and deployed at Alborz during the first quarter of 2022. For additional discussion regarding the accounting treatment for the Alborz LLC, please see Note 2, Note 8 and Note 11 to the unaudited condensed consolidated financial statements included elsewhere in this Quarterly Report.</w:t>
      </w:r>
    </w:p>
    <w:p>
      <w:pPr>
        <w:spacing w:after="0" w:line="15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expect that in the near-term the substantial majority of our capital expenditures will be devoted to the buildout of our mining sites and the acquisition of mining hardware. In August 2021, we entered into an agreement with Bitmain to purchase 27,000 Antminer S19j Pro (100 TH/s) miners, which were expected to be delivered in nine batches on a monthly basis between January 2022 and September 2022; however, as of March 31, 2022, only one monthly batch has been received. In September 2021, we also entered into a framework agreement with SuperAcme to purchase 60,000 MicroBT M30S, M30S+ and M30S++ miners, which are expected to be delivered in six batches on a monthly basis between July 2022 and year-end 2022, subject to updated terms pursuant to the Amended and Restated Framework Agreement on Supply of Blockchain Servers, dated May 6, 2022. For further details on these and other agreements, see —“Liquidity and Capital Resources—Contractual Obligations and Other Commitments.”</w:t>
      </w:r>
    </w:p>
    <w:p>
      <w:pPr>
        <w:spacing w:after="0" w:line="14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aim to deploy the computing power that we will create to mine Bitcoin and validate transactions on the Bitcoin network. We believe that Cipher will become an important player in the Bitcoin network due to our planned large-scale operations, best-in-class technology, market-leading power and hosting arrangements and a seasoned, dedicated senior management team.</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May 6, 2022, Bitfury Top HoldCo (together with Bitfury Holding) beneficially owns approximately 82.1% of our common stock with sole voting and sole dispositive power over those shares and, as a result, Bitfury Top HoldCo has the power to elect all of our directors and we are a “controlled company” under Nasdaq corporate governance standards. For additional information, see “Risk Factors—Risks Related to our Common Stock and Warrants—We are a “controlled company” within the meaning of Nasdaq listing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4" w:name="page25"/>
    <w:bookmarkEnd w:id="24"/>
    <w:p>
      <w:pPr>
        <w:ind w:right="140"/>
        <w:spacing w:after="0" w:line="266" w:lineRule="auto"/>
        <w:rPr>
          <w:sz w:val="20"/>
          <w:szCs w:val="20"/>
          <w:color w:val="auto"/>
        </w:rPr>
      </w:pPr>
      <w:r>
        <w:rPr>
          <w:rFonts w:ascii="Times New Roman" w:cs="Times New Roman" w:eastAsia="Times New Roman" w:hAnsi="Times New Roman"/>
          <w:sz w:val="18"/>
          <w:szCs w:val="18"/>
          <w:color w:val="auto"/>
        </w:rPr>
        <w:t>rules and, as a result, can rely on exemptions from certain corporate governance requirements that provide protection to shareholders of other companies” in our 2021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8"/>
          <w:szCs w:val="18"/>
          <w:color w:val="auto"/>
        </w:rPr>
        <w:t>On August 27, 2021, as contemplated by the Agreement and Plan of Merger dated as of March 4, 2021 (the “Merger Agreement”), by and among GWAC, a Delaware corporation, Currency Merger Sub, Inc. (“Merger Sub”), a Delaware corporation and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direct subsidiary of GWAC, and the Company, the parties entered into the business combination transaction pursuant to which Merger Sub merged with and into the Company, the separate corporate existence of Merger Sub ceasing and the Company being the surviving corporation and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owned subsidiary of GWAC (the “Merger” and, together with the other transactions contemplated by the Merger Agreement, the “Business Combination”). Following the Business Combination, the combined company was named Cipher Mining Inc. (“Cipher Mining”). Cipher Mining comprises all of GWAC’s and Cipher Mining Technologies’ operations.</w:t>
      </w:r>
    </w:p>
    <w:p>
      <w:pPr>
        <w:spacing w:after="0" w:line="1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Upon the consummation of the Business Combination, all holders of Cipher common stock received shares of our common stock of $10.00 per share after giving effect to the Exchange Ratio, resulting in 200,000,000 shares of our common stock to be immediately issued and outstanding to Bitfury Top HoldCo (in addition to 8,146,119 shares of our common stock held by GWAC), 32,235,000 shares of our common stock held by the PIPE Investors and 6,000,000 shares of our common stock received by Bitfury Holding B.V., an affiliate of Bitfury Top HoldCo, under the Bitfury Private Placement, based on the following events contemplated by the Merger Agreement:</w:t>
      </w:r>
    </w:p>
    <w:p>
      <w:pPr>
        <w:spacing w:after="0" w:line="1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each issued and outstanding share of Cipher common stock;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into the right to receive a number of shares of our common stock based upon the Exchange Ratio.</w:t>
      </w:r>
    </w:p>
    <w:p>
      <w:pPr>
        <w:spacing w:after="0" w:line="18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connection with the execution of the Merger Agreement, GWAC entered into: (i) the PIPE Subscription Agreements to sell to certain investors (the “PIPE Investors”), an aggregate of 32,235,000 shares of GWAC Common Stock, immediately following the Closing, for a purchase price of $10.00 per share and at an aggregate gross proceeds of $322.4 million (the “PIPE Financing”) and (ii) the Bitfury Subscription Agreement to sell to Bitfury Top HoldCo (or an affiliate of Bitfury Top HoldCo), an aggregate of 6,000,000 shares of GWAC Common Stock, following the Closing, for a purchase price of $10.00 per share and Bitfury Top HoldCo’s payment in cash and/or forgiveness of outstanding indebtedness for aggregate gross proceeds of $60.0 million (the “Bitfury Private Placement”).</w:t>
      </w:r>
    </w:p>
    <w:p>
      <w:pPr>
        <w:spacing w:after="0" w:line="15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GWAC Common Stock and GWAC Warrants ceased trading on the Nasdaq Stock Exchange (the “Nasdaq”), and our common stock and Public Warrants began trading on August 30, 2021 on the Nasdaq under the ticker symbols “CIFR” and “CIFRW,” respectively. The Business Combination resulted in cash proceeds, net of issuance costs, of approximately $384.9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6, 2022, we entered into an Amended and Restated Framework Agreement on Supply of Blockchain Servers with SuperAcme Technology (Hong Kong) Limited (the “Amended SuperAcme Agreement”), which amended that certain Framework Agreement on Supply of Blockchain Servers with SuperAcme, dated September 2, 2021, to purchase 60,000 MicroBT M30S, M30S+ and M30S++ miners (the “Original SuperAcme Agreement”).</w:t>
      </w:r>
    </w:p>
    <w:p>
      <w:pPr>
        <w:spacing w:after="0" w:line="34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Amended SuperAcme Agreement establishes a new delivery quantity ratio of miners as well as new fixed subtotal pricing. In connection with the Original SuperAcme Agreement, we previously paid an initial deposit of $22.2 million. No additional initial deposit was required as a result of the execution of the Amended SuperAcme Agreement. The expected final purchase price under the Amended SuperAcme Agreement is subject to both the new fixed price terms and certain floating price terms, with advance payment due in advance of certain batches of supply being delivered.</w:t>
      </w:r>
    </w:p>
    <w:p>
      <w:pPr>
        <w:spacing w:after="0" w:line="35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May 2, 2022, Alborz LLC, as borrower, entered into a facility and security agreement with BlockFi Lending LLC (“BlockFi”), as lender. Pursuant to this agreement, BlockFi agreed to provide a secured credit facility in the amount of up to $46,907,216 which is available in up to four tranches, maturing on May 2, 2024 (the “BlockFi Facility”) to finance the purchase, installation and operation of Bitmain miners (“Mining Equipment”) at Alborz. The proceeds from the BlockFi Facility will be used by Alborz LLC to purchase Mining Equipment from us pursuant to that certain contribution agreement entered into between us and Alborz LLC on May 2, 2022 (the “Contribution Agreement”). Pursuant the Contribution Agreement, Cipher Mining Technologies agreed to acknowledge and consent to the use of the Mining Equipment as well as any digital currency mined using the Mining Equipment as collateral in respect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of the BlockFi Facility.</w:t>
      </w:r>
    </w:p>
    <w:p>
      <w:pPr>
        <w:spacing w:after="0" w:line="38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On April 8, 2022, we, as successor-in-interest to GWAC, and Cipher Mining Technologies, with respect to certain sections (collectively, the “Company”), entered into a Waiver Agreement, with Bitfury (the “Waiver Agreement”), pursuant to which the Company waived certain restrictions on transfer of shares under (a) that certain Lock-up Agreement, dated as of August 26, 2021, by and between Good Works Acquisition Corp. and Bitfury and (b) those certain Lock-up Agreements, dated as of August 26, 2021, by and between Good Works Acquisition Corp. and each of (i) I-B Goodworks, LLC, (ii) 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 The Waiver Agreement was negotiated and approved by an independent committee of our Board of Directors (the “Board”). The Waiver Agreement permits each Stockholder to pledge or otherwise hypothecate up to one hundred percent (100%) of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the Waiver will only apply and be effective if the following conditions are satisfied or waived: (i) any pledgee executes a joinder to the Lock-up Agreements and therefore be bound by the Transfer Restrictions as defined in the Lock-up Agreements, (ii) the pledgee in receipt of any pledged shares be in compliance with all Anti-Money Laundering and Know Your Customer laws and regulations in effect in the United States of America and be a nationally, internationally or regionally recognized bank or bona fide financial institution, private equity fund or other lender, (iii) any pledgee not be a competitor of the Company, and (iv) any loan for pledged shares be a bona fide loan containing customary market terms and have an initial 25% maximum loan-to-value ratio. Additionally, effective as of the date of consummation of any pledge or hypothecation, and solely in regard to any Pledged Shares, the Lock-Up Period, as defined in the applicable Lock-up Agreement, shall be extended an additional three months to November 26, 2023. Furthermore, the Waiver Agreement provides for a cancellation of 2,890,173 shares of our common stock held by Bitfury Top HoldCo and subject to the Lock-up Agreements (the “Cancelled Shares”) as consideration for the $10.0 million deposit paid by the Company for Bitfury mining rigs under our agreement dated October 11, 2021, for which no order confirmation was made. The Cancelled Shares were part of the tranche of Lock-Up Shares with a Lock-Up Period during the period beginning on the date that is eighteen months after the Closing Date and ending on the date that is two years after the Closing Date.</w:t>
      </w:r>
    </w:p>
    <w:p>
      <w:pPr>
        <w:spacing w:after="0" w:line="16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Also on April 8, 2022, we entered into an Observer Agreement (the “Board Observer Agreement”) with Bitfury Holding B.V. (“Bitfury Holding”) and Bitfury (together with “Bitfury Holding,” the “Investors”), which provides that the Investors have the right to designate a representative to serve as an observer (the “Observer”) of our Board and any committees thereof (subject to exceptions specified therein). The Observer has the right to attend and observe meetings of the Board, including any meetings of the committees of the Board, and to participate in discussions of matters brought to the Board or any committee thereof, in each case, subject to certain exceptions specified in the Board Observer Agreement. The Investors’ rights under the Board Observer Agreement will terminate upon the date that the Investors no longer beneficially own at least 10% of the outstanding shares of our common stock. As of the date of this Quarterly Report, the Investors have not designated an Observer pursuant to the Board Observer Agreement.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Observer Agreement was negotiated and approved by an independent committee of the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or Future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7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such as the outbreak and global spread of COVID-19. The COVID-19 pandemic that was declared on March 11, 2020 has caused significant economic dislocation in the United States and globally as governments,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a result of the COVID-19 pandemic or otherwise, could result in a variety of risks to our business and we cannot anticipate all the ways in which the current economic climate and financial market conditions could adversely impact our business.</w:t>
      </w:r>
    </w:p>
    <w:p>
      <w:pPr>
        <w:spacing w:after="0" w:line="154"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We may experience disruptions to our business operations resulting from supply interruptions, quarantines, self-isolations, or other movement and restrictions on the ability of our employees or our counterparties to perform their jobs. We may also experience delays in construction and obtaining necessary equipment in a timely fashion. For example, in early January 2022, we had to temporarily shut down the construction at the Alborz site in response to employees being impacted by COVID-19. The temporary shutdown was less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6" w:name="page27"/>
    <w:bookmarkEnd w:id="26"/>
    <w:p>
      <w:pPr>
        <w:ind w:right="40"/>
        <w:spacing w:after="0" w:line="250" w:lineRule="auto"/>
        <w:rPr>
          <w:sz w:val="20"/>
          <w:szCs w:val="20"/>
          <w:color w:val="auto"/>
        </w:rPr>
      </w:pPr>
      <w:r>
        <w:rPr>
          <w:rFonts w:ascii="Times New Roman" w:cs="Times New Roman" w:eastAsia="Times New Roman" w:hAnsi="Times New Roman"/>
          <w:sz w:val="18"/>
          <w:szCs w:val="18"/>
          <w:color w:val="auto"/>
        </w:rPr>
        <w:t>than a week, and we resumed the construction at the site immediately after. If we are unable to effectively set up and service our miners, our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our business, prospects, financial condition, and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Fiscal Year</w:t>
      </w:r>
    </w:p>
    <w:p>
      <w:pPr>
        <w:spacing w:after="0" w:line="1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Starting with the three and eight months ended September 30, 2021, we assumed GWAC’s financial calendar for our third fiscal quarter ending September 30 and our fiscal year ending December 31. This change to the fiscal year end was approved by the Board on September 23, 2021. Cipher Mining Technologies’ fiscal year previously ended on January 31.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Since our inception on January 7, 2021 and until the time of the Business Combination, our activities were primarily organizational and those necessary to prepare for the Business Combination. Following the Business Combination, our activities have been focused on the set-up of cryptocurrency mining data centers as part of our planned buildout, including entry into agreements with Bitmain, SuperAcme and the Bitfury Group for supply of miners and other equipment and services. For further details, see “—Contractual Obligations and Other Commitments.” We expect to incur increased expenses as a result of being a public company (for legal, financial reporting, accounting and auditing compliance). Our plan of operation for the next 12 months is to develop our initial portfolio comprised of select sites in the United States in which to construct Bitcoin mining facilities for our operations.</w:t>
      </w:r>
    </w:p>
    <w:p>
      <w:pPr>
        <w:spacing w:after="0" w:line="155"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8"/>
          <w:szCs w:val="18"/>
          <w:color w:val="auto"/>
        </w:rPr>
        <w:t>We generated no revenue during either the three months ended March 31, 2022 or the two months ended March 31, 2021. We incurred general and administrative expenses of $17.4 million and $0.1 million during the three months ended March 31, 2022 and the two months ended March 31, 2021, respectively. Share-based compensation costs of $9.5 million were recognized in total general and administrative expenses for the three months ended March 31, 2022, primarily related to restricted stock units awarded to our employees. The remaining $7.9 million of general and administrative expenses incurred during the three months ended March 31, 2022 was recognized predominantly as follows: $2.4 million for business insurance, $1.4 million for taxes, $1.2 million for legal expenses, $0.8 million for payroll and payroll-related benefits for employees and $0.4 million each for consulting and accounting and audit expenses. General and administrative expenses recognized during the two months ended March 31, 2021 were mainly related to accounting and audit, investor relations and consulting expenses of $0.05 million, $0.04 million and $0.02 million, respectively.</w:t>
      </w:r>
    </w:p>
    <w:p>
      <w:pPr>
        <w:spacing w:after="0" w:line="15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paid $76.5 million for deposits on miners and $20.4 million for deposits on other mining equipment during the three months ended March 31, 2022, increasing total deposits on equipment on our unaudited condensed consolidated balance sheet to approximately $207.2 million. Additionally, we paid $7.1 million for purchases of property and equipment, which was principally related to construction-in-progress at one of our planned wholly-owned sites under development in Texas.</w:t>
      </w:r>
    </w:p>
    <w:p>
      <w:pPr>
        <w:spacing w:after="0" w:line="1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 March 15, 2022, we formed the Special Independent Committee to review, consider, deliberate, investigate, analyze, explore, evaluate, monitor and exercise general oversight of any and all activities of the Company directly or indirectly involving entry into the Waiver Agreement and the Observer Agreement. For more information about the Special Independent Committee, the Waiver and the Observer Agreements, see Notes 2 and 16 to the unaudited condensed consolidated financial statements included elsewhere in this Quarterly Report. Our legal expenses during the three months ended March 31,</w:t>
      </w:r>
    </w:p>
    <w:p>
      <w:pPr>
        <w:spacing w:after="0" w:line="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2022 totaled $1.2 million and comprised primarily expenses related to the Special Independent Committee and legal and advisory expenses related to entry into the Waiver Agreement and the Observer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Expected to Affect Our Future Results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“Factors Expected to Affect Our Future Results” in the Management’s Discussion and Analysis section of our 2021 Form 10-K. Our financial position and results of operations depend to a significant extent on those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incurred a net loss of $17.5 million and negative cash flows from operations of $3.3 million for the three months ended March 31, 2022. As of March 31, 2022, we had working capital of approximately $101.1 million, which included cash and cash equivalents of $99.5 million, total stockholders’ equity of $342.5 million and an accumulated deficit of $89.7 million. To date, we have relied in large part on proceeds from the consummation of the Business Combination to fund our operations. During the three months ended March 31, 2022, we paid approximately $96.9 million as deposits on equipment, primarily for miners, and have significant future commitments related to these deposits as detailed below under “—Contractual Obligations and Other Commitments,” for which we will need additional capital in order to meet these commitments in accordance with the existing contractual terms. Management believes that our existing financial resources, combined with our ability to delay or change our planned buildout steps, are sufficient to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meet our operating and capital requirements for at least 12 months from the date these unaudited condensed consolidated financial statements are issued.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Two Months Ended March</w:t>
            </w:r>
          </w:p>
        </w:tc>
      </w:tr>
      <w:tr>
        <w:trPr>
          <w:trHeight w:val="212"/>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400" w:type="dxa"/>
            <w:vAlign w:val="bottom"/>
          </w:tcPr>
          <w:p>
            <w:pPr>
              <w:spacing w:after="0"/>
              <w:rPr>
                <w:sz w:val="18"/>
                <w:szCs w:val="18"/>
                <w:color w:val="auto"/>
              </w:rPr>
            </w:pPr>
          </w:p>
        </w:tc>
        <w:tc>
          <w:tcPr>
            <w:tcW w:w="154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31, 2021</w:t>
            </w:r>
          </w:p>
        </w:tc>
        <w:tc>
          <w:tcPr>
            <w:tcW w:w="80" w:type="dxa"/>
            <w:vAlign w:val="bottom"/>
          </w:tcPr>
          <w:p>
            <w:pPr>
              <w:spacing w:after="0"/>
              <w:rPr>
                <w:sz w:val="18"/>
                <w:szCs w:val="18"/>
                <w:color w:val="auto"/>
              </w:rPr>
            </w:pPr>
          </w:p>
        </w:tc>
      </w:tr>
      <w:tr>
        <w:trPr>
          <w:trHeight w:val="213"/>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2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(103,973 )</w:t>
            </w: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(3,052 )</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r>
      <w:tr>
        <w:trPr>
          <w:trHeight w:val="20"/>
        </w:trPr>
        <w:tc>
          <w:tcPr>
            <w:tcW w:w="7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(110,346 )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$3.3 million, resulting from a net loss of $17.3 million, less non-cash share-based compensation expenses of $9.5 million. The change in assets and liabilities of $4.4 million consisted of a decrease in prepaid expenses of $2.4 million primarily for insurance costs and an increase of $2.9 million for accrued expenses mainly for taxes and legal expenses; offset by a $1.0 increase in security deposits due to a bond covering the shipment of miners.</w:t>
      </w:r>
    </w:p>
    <w:p>
      <w:pPr>
        <w:spacing w:after="0" w:line="13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two months ended March 31, 2021 was approximately $45,000, resulting from a loss of $0.1 million and an increase in accounts payable of $67,000.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2022 was $104.0 million, primarily related to $96.9 million for deposits on equipment and $7.1 million for purchases of property and equipment primarily related to construction-in-progress at one of our planned Texas sites.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$3.1 million, which was used to repurchase shares to cover the tax obligations of employees resulting from the vesting of restricted stock units in the first quarter of 2022.</w:t>
      </w:r>
    </w:p>
    <w:p>
      <w:pPr>
        <w:spacing w:after="0" w:line="13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two months ended March 31, 2021 was related to the receipt of a $0.1 million loan from Bitfury Top HoldCo to provide funding to the Company for its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0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Our business is subject to risks inherent in the establishment of a new business enterprise, including limited capital resources, possible delays in the exploration and/or development, and possible cost overruns due to price and cost increases in services. We have no current intention of entering into a merger or acquisition within the next 12 months and we have a specific business plan and timetable to complete our 12-month plan of operation. We are in the process of an active operational buildout and anticipate that additional capital will be required to implement the buildout. See also “—Liquidity and Capital Resources.” We may also require additional capital to progress our buildout plan,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in the future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If the Company is unable to obtain adequate debt or equity financing for its planned buildout, we may be required to delay or change our planned buildout steps, which may adversely affect our business plan. For risks associated with this, see “Risks Factors—Risks Related to Our Business, Industry and Operations—We will need to raise additional capital, which may not be available on terms acceptable to us, or at all” in our 2021 Form 10-K.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have a lease agreement for executive office space, with an effective term that commenced on February 1, 2022 and monthly rent payments of approximately $0.1 million commencing on June 1, 2022. The initial lease term is for a period of five years and four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and Mining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had the following contractual obligations and other commitments for miners and other mining equipment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Maximum</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Shipping for</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140" w:type="dxa"/>
            <w:vAlign w:val="bottom"/>
          </w:tcPr>
          <w:p>
            <w:pPr>
              <w:spacing w:after="0"/>
              <w:rPr>
                <w:sz w:val="15"/>
                <w:szCs w:val="15"/>
                <w:color w:val="auto"/>
              </w:rPr>
            </w:pPr>
          </w:p>
        </w:tc>
        <w:tc>
          <w:tcPr>
            <w:tcW w:w="14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Agreement Date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94"/>
              <w:spacing w:after="0" w:line="175" w:lineRule="exact"/>
              <w:rPr>
                <w:sz w:val="20"/>
                <w:szCs w:val="20"/>
                <w:color w:val="auto"/>
              </w:rPr>
            </w:pPr>
            <w:r>
              <w:rPr>
                <w:rFonts w:ascii="Times New Roman" w:cs="Times New Roman" w:eastAsia="Times New Roman" w:hAnsi="Times New Roman"/>
                <w:sz w:val="16"/>
                <w:szCs w:val="16"/>
                <w:b w:val="1"/>
                <w:bCs w:val="1"/>
                <w:color w:val="auto"/>
              </w:rPr>
              <w:t>Purchase</w:t>
            </w:r>
          </w:p>
        </w:tc>
        <w:tc>
          <w:tcPr>
            <w:tcW w:w="180" w:type="dxa"/>
            <w:vAlign w:val="bottom"/>
          </w:tcPr>
          <w:p>
            <w:pPr>
              <w:spacing w:after="0"/>
              <w:rPr>
                <w:sz w:val="15"/>
                <w:szCs w:val="15"/>
                <w:color w:val="auto"/>
              </w:rPr>
            </w:pPr>
          </w:p>
        </w:tc>
        <w:tc>
          <w:tcPr>
            <w:tcW w:w="1300" w:type="dxa"/>
            <w:vAlign w:val="bottom"/>
            <w:gridSpan w:val="2"/>
          </w:tcPr>
          <w:p>
            <w:pPr>
              <w:jc w:val="right"/>
              <w:ind w:right="52"/>
              <w:spacing w:after="0" w:line="175" w:lineRule="exact"/>
              <w:rPr>
                <w:sz w:val="20"/>
                <w:szCs w:val="20"/>
                <w:color w:val="auto"/>
              </w:rPr>
            </w:pPr>
            <w:r>
              <w:rPr>
                <w:rFonts w:ascii="Times New Roman" w:cs="Times New Roman" w:eastAsia="Times New Roman" w:hAnsi="Times New Roman"/>
                <w:sz w:val="16"/>
                <w:szCs w:val="16"/>
                <w:b w:val="1"/>
                <w:bCs w:val="1"/>
                <w:color w:val="auto"/>
              </w:rPr>
              <w:t>Open Purchase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Deposits Paid</w:t>
            </w:r>
          </w:p>
        </w:tc>
        <w:tc>
          <w:tcPr>
            <w:tcW w:w="1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Open Purchase</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0" w:type="dxa"/>
            <w:vAlign w:val="bottom"/>
          </w:tcPr>
          <w:p>
            <w:pPr>
              <w:spacing w:after="0"/>
              <w:rPr>
                <w:sz w:val="1"/>
                <w:szCs w:val="1"/>
                <w:color w:val="auto"/>
              </w:rPr>
            </w:pPr>
          </w:p>
        </w:tc>
      </w:tr>
      <w:tr>
        <w:trPr>
          <w:trHeight w:val="164"/>
        </w:trPr>
        <w:tc>
          <w:tcPr>
            <w:tcW w:w="336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Bitmain Technologies Limited**</w:t>
            </w: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spacing w:after="0" w:line="164" w:lineRule="exact"/>
              <w:rPr>
                <w:sz w:val="20"/>
                <w:szCs w:val="20"/>
                <w:color w:val="auto"/>
              </w:rPr>
            </w:pPr>
            <w:r>
              <w:rPr>
                <w:rFonts w:ascii="Times New Roman" w:cs="Times New Roman" w:eastAsia="Times New Roman" w:hAnsi="Times New Roman"/>
                <w:sz w:val="18"/>
                <w:szCs w:val="18"/>
                <w:color w:val="auto"/>
              </w:rPr>
              <w:t>August 20, 2021</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171,135</w:t>
            </w: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164,590</w:t>
            </w:r>
          </w:p>
        </w:tc>
        <w:tc>
          <w:tcPr>
            <w:tcW w:w="18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107,879</w:t>
            </w:r>
          </w:p>
        </w:tc>
        <w:tc>
          <w:tcPr>
            <w:tcW w:w="18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line="164" w:lineRule="exact"/>
              <w:rPr>
                <w:sz w:val="20"/>
                <w:szCs w:val="20"/>
                <w:color w:val="auto"/>
              </w:rPr>
            </w:pPr>
            <w:r>
              <w:rPr>
                <w:rFonts w:ascii="Times New Roman" w:cs="Times New Roman" w:eastAsia="Times New Roman" w:hAnsi="Times New Roman"/>
                <w:sz w:val="18"/>
                <w:szCs w:val="18"/>
                <w:color w:val="auto"/>
              </w:rPr>
              <w:t>April 2022 -</w:t>
            </w:r>
          </w:p>
        </w:tc>
        <w:tc>
          <w:tcPr>
            <w:tcW w:w="0" w:type="dxa"/>
            <w:vAlign w:val="bottom"/>
          </w:tcPr>
          <w:p>
            <w:pPr>
              <w:spacing w:after="0"/>
              <w:rPr>
                <w:sz w:val="1"/>
                <w:szCs w:val="1"/>
                <w:color w:val="auto"/>
              </w:rPr>
            </w:pPr>
          </w:p>
        </w:tc>
      </w:tr>
      <w:tr>
        <w:trPr>
          <w:trHeight w:val="189"/>
        </w:trPr>
        <w:tc>
          <w:tcPr>
            <w:tcW w:w="33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80" w:type="dxa"/>
            <w:vAlign w:val="bottom"/>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and August 30,</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30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440" w:type="dxa"/>
            <w:vAlign w:val="bottom"/>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4"/>
        </w:trPr>
        <w:tc>
          <w:tcPr>
            <w:tcW w:w="3360" w:type="dxa"/>
            <w:vAlign w:val="bottom"/>
            <w:shd w:val="clear" w:color="auto" w:fill="CCECFF"/>
          </w:tcPr>
          <w:p>
            <w:pPr>
              <w:spacing w:after="0"/>
              <w:rPr>
                <w:sz w:val="20"/>
                <w:szCs w:val="20"/>
                <w:color w:val="auto"/>
              </w:rPr>
            </w:pPr>
          </w:p>
        </w:tc>
        <w:tc>
          <w:tcPr>
            <w:tcW w:w="162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1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SuperAcme Technology (Hong</w:t>
            </w:r>
          </w:p>
        </w:tc>
        <w:tc>
          <w:tcPr>
            <w:tcW w:w="140" w:type="dxa"/>
            <w:vAlign w:val="bottom"/>
          </w:tcPr>
          <w:p>
            <w:pPr>
              <w:spacing w:after="0"/>
              <w:rPr>
                <w:sz w:val="14"/>
                <w:szCs w:val="14"/>
                <w:color w:val="auto"/>
              </w:rPr>
            </w:pPr>
          </w:p>
        </w:tc>
        <w:tc>
          <w:tcPr>
            <w:tcW w:w="14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September 2, 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59,307</w:t>
            </w:r>
          </w:p>
        </w:tc>
        <w:tc>
          <w:tcPr>
            <w:tcW w:w="180" w:type="dxa"/>
            <w:vAlign w:val="bottom"/>
          </w:tcPr>
          <w:p>
            <w:pPr>
              <w:spacing w:after="0"/>
              <w:rPr>
                <w:sz w:val="14"/>
                <w:szCs w:val="14"/>
                <w:color w:val="auto"/>
              </w:rPr>
            </w:pPr>
          </w:p>
        </w:tc>
        <w:tc>
          <w:tcPr>
            <w:tcW w:w="14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July 2022 -</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Kong)**/****</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21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Bitfury Top HoldCo B.V.</w:t>
            </w:r>
          </w:p>
        </w:tc>
        <w:tc>
          <w:tcPr>
            <w:tcW w:w="14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October 11, 2021</w:t>
            </w:r>
          </w:p>
        </w:tc>
        <w:tc>
          <w:tcPr>
            <w:tcW w:w="1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Bitfury USA Inc. and other vendors</w:t>
            </w:r>
          </w:p>
        </w:tc>
        <w:tc>
          <w:tcPr>
            <w:tcW w:w="140" w:type="dxa"/>
            <w:vAlign w:val="bottom"/>
          </w:tcPr>
          <w:p>
            <w:pPr>
              <w:spacing w:after="0"/>
              <w:rPr>
                <w:sz w:val="14"/>
                <w:szCs w:val="14"/>
                <w:color w:val="auto"/>
              </w:rPr>
            </w:pPr>
          </w:p>
        </w:tc>
        <w:tc>
          <w:tcPr>
            <w:tcW w:w="14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47,775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29,978</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(primarily for BBACs)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3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CFF"/>
            </w:tcBorders>
            <w:shd w:val="clear" w:color="auto" w:fill="CCECFF"/>
          </w:tcPr>
          <w:p>
            <w:pPr>
              <w:spacing w:after="0"/>
              <w:rPr>
                <w:sz w:val="21"/>
                <w:szCs w:val="21"/>
                <w:color w:val="auto"/>
              </w:rPr>
            </w:pPr>
          </w:p>
        </w:tc>
        <w:tc>
          <w:tcPr>
            <w:tcW w:w="14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30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434,765</w:t>
            </w:r>
          </w:p>
        </w:tc>
        <w:tc>
          <w:tcPr>
            <w:tcW w:w="1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207,164</w:t>
            </w:r>
          </w:p>
        </w:tc>
        <w:tc>
          <w:tcPr>
            <w:tcW w:w="180" w:type="dxa"/>
            <w:vAlign w:val="bottom"/>
            <w:tcBorders>
              <w:bottom w:val="single" w:sz="8" w:color="CCECFF"/>
            </w:tcBorders>
            <w:shd w:val="clear" w:color="auto" w:fill="CCECFF"/>
          </w:tcPr>
          <w:p>
            <w:pPr>
              <w:spacing w:after="0"/>
              <w:rPr>
                <w:sz w:val="21"/>
                <w:szCs w:val="21"/>
                <w:color w:val="auto"/>
              </w:rPr>
            </w:pPr>
          </w:p>
        </w:tc>
        <w:tc>
          <w:tcPr>
            <w:tcW w:w="14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purchase commitment does not consider discounts that we may qualify for with the respective vendors, which could reduce the total cost</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miners.</w:t>
      </w:r>
    </w:p>
    <w:p>
      <w:pPr>
        <w:ind w:left="460" w:right="860" w:hanging="452"/>
        <w:spacing w:after="0" w:line="241" w:lineRule="auto"/>
        <w:tabs>
          <w:tab w:leader="none" w:pos="4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agreements with Bitmain and SuperAcme, we are responsible for all logistics costs related to transportation, packaging for transportation and insurance related to the delivery of the miners.</w:t>
      </w:r>
    </w:p>
    <w:p>
      <w:pPr>
        <w:spacing w:after="0" w:line="1"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there were no mutually executed order confirmations and as such, we had no binding commitments to acquire miners from Bitfury Top HoldCo. See “—Recent Developments” above for additional information regarding the return of shares of our Common Stock held by Bitfury Top HoldCo as consideration for the $10.0 million deposit paid, which occurred after March 31,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“—Recent Developments” above for additional information regarding the execution of the Amended SuperAcme Agreement.</w:t>
      </w:r>
    </w:p>
    <w:p>
      <w:pPr>
        <w:spacing w:after="0" w:line="16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On August 20, 2021 and on August 30, 2021, we and Bitmain entered into a Non-Fixed Price Sales and Purchase Agreement and a Supplemental Agreement to Non-Fixed Price Sales and Purchase Agreement, respectively, (together, the “Bitmain Agreement”) for us to purchase 27,000 Antminer S19j Pro (100 TH/s) miners, which were expected to be delivered in nine batches on a monthly basis between January 2022 and September 2022; however, as of March 31, 2022, only one monthly batch has been received. The original purchase price under the Bitmain Agreement is $171.1 million (the “Total Purchase Price”) with (i) 25% of the Total Purchase Price due paid within five days of execution of the Bitmain Agreement, (ii) 35% of the purchase price of each batch due five months prior to each delivery, and (iii) the remaining 40% of the purchase price of each batch due 15 days prior to each delivery. As of March 31, 2022, we had paid total deposits of $114.0 million for the miners (some of which are no longer reflected in the table above due to the receipt of one batch of miners during the three months ended March 31, 2022).</w:t>
      </w:r>
    </w:p>
    <w:p>
      <w:pPr>
        <w:spacing w:after="0" w:line="15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September 2, 2021, we entered into the Original SuperAcme Agreement to purchase 60,000 MicroBT M30S, M30S+ and M30S++ miners, which are expected to be delivered in six batches on a monthly basis between July 2022 and December 2022. On May 6, 2022, we entered into the Amended SuperAcme Agreement, which establishes a new delivery quantity ratio of miners as well as new fixed subtotal pricing. In connection with the Original SuperAcme Agreement, we previously paid an initial deposit of $22.2 million. No additional initial deposit was required as a result of the execution of the Amended SuperAcme Agreement. The expected final purchase price under the Amended SuperAcme Agreement is subject to both the new fixed price terms and certain floating price terms. Each batch of miners will continue to be paid in full prior to delivery. As of March 31, 2022, we had paid deposits of $59.3 million for the miners.</w:t>
      </w:r>
    </w:p>
    <w:p>
      <w:pPr>
        <w:spacing w:after="0" w:line="14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On October 11, 2021, we entered into an agreement with Bitfury Top HoldCo B.V., made under, and as a part of, the Master Services and Supply Agreement, to purchase a total of between 28,000 to 56,000 mining rigs, to be delivered in seven batches on a monthly basis between June 2022 and December 2022. The agreement is a non-binding commitment unless and until confirmed by a mutually executed order confirmation. Based on our latest market assessments, we currently do not anticipate entering into any such order confirmations. Generally, under this agreement, we agreed to pay a maximum price of $6,250 per machine, with an advance payment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ind w:right="160"/>
        <w:spacing w:after="0" w:line="250" w:lineRule="auto"/>
        <w:rPr>
          <w:sz w:val="20"/>
          <w:szCs w:val="20"/>
          <w:color w:val="auto"/>
        </w:rPr>
      </w:pPr>
      <w:r>
        <w:rPr>
          <w:rFonts w:ascii="Times New Roman" w:cs="Times New Roman" w:eastAsia="Times New Roman" w:hAnsi="Times New Roman"/>
          <w:sz w:val="18"/>
          <w:szCs w:val="18"/>
          <w:color w:val="auto"/>
        </w:rPr>
        <w:t>of $10.0 million due on or before the third business day following the execution of the agreement, and advance payments for each monthly batch due thereafter in accordance with the terms of the agreement. As of March 31, 2022, we had paid a deposit of $10.0 for the miners. If we do not enter into any order confirmations, the deposit is expected to be returned to us or used to partially offset amounts that we may owe to the Bitfury Group under any other arrangements.</w:t>
      </w:r>
    </w:p>
    <w:p>
      <w:pPr>
        <w:spacing w:after="0" w:line="13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Additionally, we also entered into two agreements with Bitfury USA Inc., a subsidiary of Bitfury Top HoldCo, made under, and as a part of, the Master Services and Supply Agreement, to purchase a total of 200 units of BlockBox air-cooled containers (each a “BBAC”), the modular data centers that house mining machines. The delivery of the first 20 containers is expected to begin in the first quarter of 2022 and the remainder are expected to be delivered in 20 batches between May 2022 and October 2022.</w:t>
      </w:r>
    </w:p>
    <w:p>
      <w:pPr>
        <w:spacing w:after="0" w:line="15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are also party to several power and hosting arrangements. Under the Luminant Power Agreement, the other half of the Independent Collateral Amount, or approximately $12.6 million, is due 15 days prior to the date on which the Interconnection Electric Facilities are completed and made operational. See “Business—Material Agreements—Power Arrangements and Hosting Arrangements” for more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We are providing supplemental financial measures for (i) non-GAAP loss from operations that excludes the impact of depreciation of fixed assets, stock compensation expense and (ii) non-GAAP net loss and non-GAAP diluted loss per share that exclude the impact of depreciation of fixed assets, change in fair value of warrant liability and stock compensation expense.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of fixed assets and (ii) stock compensation expense that could vary significantly in comparison to other companies.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Non-GAAP net loss and non-GAAP diluted loss per share exclude the impact of (i) depreciation of fixed assets, (ii) change in fair value of warrant liability and (iii) stock compensation expense. We believe the use of these non-GAAP financial measures can also facilitate comparison of our operating results to those of our competitors.</w:t>
      </w:r>
    </w:p>
    <w:p>
      <w:pPr>
        <w:spacing w:after="0" w:line="12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of fixed assets will continue to be a recurring expense over the term of the useful life of the assets. Our non-GAAP financial measures are not meant to be considered in isolation and should be read only in conjunction with our consolidated financial statements included elsewhere in this Quarterly Report, which have been prepared in accordance with GAAP. We rely primarily on such consolidated financial statements to understand, manage and evaluate our business performance and use the non-GAAP financial measures only supplementally.</w:t>
      </w:r>
    </w:p>
    <w:p>
      <w:pPr>
        <w:spacing w:after="0" w:line="15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our non-GAAP loss from operations, which excludes the impact of (i) depreciation of fixed assets and (ii) stock compensation expense, to its most directly comparable GAAP measure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Two Months Ended March</w:t>
            </w:r>
          </w:p>
        </w:tc>
      </w:tr>
      <w:tr>
        <w:trPr>
          <w:trHeight w:val="205"/>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400" w:type="dxa"/>
            <w:vAlign w:val="bottom"/>
          </w:tcPr>
          <w:p>
            <w:pPr>
              <w:spacing w:after="0"/>
              <w:rPr>
                <w:sz w:val="17"/>
                <w:szCs w:val="17"/>
                <w:color w:val="auto"/>
              </w:rPr>
            </w:pPr>
          </w:p>
        </w:tc>
        <w:tc>
          <w:tcPr>
            <w:tcW w:w="154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31, 2021</w:t>
            </w:r>
          </w:p>
        </w:tc>
        <w:tc>
          <w:tcPr>
            <w:tcW w:w="80" w:type="dxa"/>
            <w:vAlign w:val="bottom"/>
          </w:tcPr>
          <w:p>
            <w:pPr>
              <w:spacing w:after="0"/>
              <w:rPr>
                <w:sz w:val="17"/>
                <w:szCs w:val="17"/>
                <w:color w:val="auto"/>
              </w:rPr>
            </w:pPr>
          </w:p>
        </w:tc>
      </w:tr>
      <w:tr>
        <w:trPr>
          <w:trHeight w:val="210"/>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loss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(17,401 )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(7,876 )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following are reconciliations of our non-GAAP net loss and non-GAAP basic and diluted net loss per share, in each case excluding the impact of (i) depreciation of fixed assets (ii) change in fair value of warrant liability and (iii) stock compensation expense, to the most directly comparable GAAP measures for the periods indicated: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Two Months Ended March</w:t>
            </w:r>
          </w:p>
        </w:tc>
      </w:tr>
      <w:tr>
        <w:trPr>
          <w:trHeight w:val="205"/>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400" w:type="dxa"/>
            <w:vAlign w:val="bottom"/>
          </w:tcPr>
          <w:p>
            <w:pPr>
              <w:spacing w:after="0"/>
              <w:rPr>
                <w:sz w:val="17"/>
                <w:szCs w:val="17"/>
                <w:color w:val="auto"/>
              </w:rPr>
            </w:pPr>
          </w:p>
        </w:tc>
        <w:tc>
          <w:tcPr>
            <w:tcW w:w="154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31, 2021</w:t>
            </w:r>
          </w:p>
        </w:tc>
        <w:tc>
          <w:tcPr>
            <w:tcW w:w="80" w:type="dxa"/>
            <w:vAlign w:val="bottom"/>
          </w:tcPr>
          <w:p>
            <w:pPr>
              <w:spacing w:after="0"/>
              <w:rPr>
                <w:sz w:val="17"/>
                <w:szCs w:val="17"/>
                <w:color w:val="auto"/>
              </w:rPr>
            </w:pPr>
          </w:p>
        </w:tc>
      </w:tr>
      <w:tr>
        <w:trPr>
          <w:trHeight w:val="210"/>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net loss: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(17,499 )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Non-cash adjustments to net loss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non-cash adjustments to net loss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7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Non-GAAP 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579"/>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basic and diluted net loss per</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(0.07 )</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of fixed assets (per share)</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 (per share)</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of cryptocurrencies (per share)</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0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compensation expense (per share)</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basic and diluted net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(0.03 )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-1704975</wp:posOffset>
            </wp:positionV>
            <wp:extent cx="5143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-1704975</wp:posOffset>
            </wp:positionV>
            <wp:extent cx="5143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-1413510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-1396365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-1413510</wp:posOffset>
            </wp:positionV>
            <wp:extent cx="51435" cy="557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5753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2021 Form 10-K. You should read the unaudited condensed consolidated financial statements in conjunction with our audited consolidated financial statements and accompanying notes in our 2021 Form 10-K. Except as disclosed below, there has been no material change in the information disclosed in the notes to our audited consolidated financial statements included in our 2021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Cryptocurrencies, including Bitcoin, will be included in current assets on the consolidated balance sheets. Cryptocurrencies awarded to us through our wholly owned mining activities will be accounted for in connection with our revenue recognition policy disclosed above. Cryptocurrencies awarded to us as distributions-in-kind from equity investees are accounted for in accordance with ASC 845, “Nonmonetary Transactions” and recorded at fair value upon receipt.</w:t>
      </w:r>
    </w:p>
    <w:p>
      <w:pPr>
        <w:spacing w:after="0" w:line="1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we have the option to first perform a qualitative assessment to determine whether it is more likely than not that an impairment exists. If it is determined that it is not more likely than not that an impairment exists, a quantitative impairment test is not necessary. If we conclude otherwise, it is required to perform a quantitative impairment test. We have elected to bypass the optional qualitative impairment assessment and will track our cryptocurrency activity daily for impairment assessment purposes. We will determine the fair value of our cryptocurrencies on a nonrecurring basis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based on quoted prices on the active trading platform that we determine is our principal market for Bitcoin (Level 1 input). We will perform an analysis each day to identify whether events or changes in circumstances, principally decreases in the quoted prices on active trading platforms, indicate that it is more likely than not that our cryptocurrencies are impaired. For impairment testing purposes, daily fair value of the cryptocurrencies is based on the next day’s beginning market price of the cryptocurrency (UTC 00:00), at the single Bitcoin level (one Bitcoin). The excess, if any, of the current carrying amount of the cryptocurrency assets over the daily fair value represents an impairment loss. The total of all daily impairment losses for the given quarter are summed and recorded at the end of the quarter. To the extent an impairment loss is recognized, the loss establishes the new cost basis of the asset. Subsequent reversal of impairment losses is not permitted.</w:t>
      </w:r>
    </w:p>
    <w:p>
      <w:pPr>
        <w:spacing w:after="0" w:line="16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Cryptocurrencies awarded to us through our mining activities will be included as an adjustment to reconcile net income to cash used in operating activities in the consolidated statements of cash flows. The receipt of cryptocurrency as distributions-in-kind from equity investees and sales, if any, of cryptocurrencies are included within investing activities in the consolidated statements of cash flows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31" w:name="page32"/>
    <w:bookmarkEnd w:id="31"/>
    <w:p>
      <w:pPr>
        <w:ind w:right="200"/>
        <w:spacing w:after="0" w:line="266" w:lineRule="auto"/>
        <w:rPr>
          <w:sz w:val="20"/>
          <w:szCs w:val="20"/>
          <w:color w:val="auto"/>
        </w:rPr>
      </w:pPr>
      <w:r>
        <w:rPr>
          <w:rFonts w:ascii="Times New Roman" w:cs="Times New Roman" w:eastAsia="Times New Roman" w:hAnsi="Times New Roman"/>
          <w:sz w:val="18"/>
          <w:szCs w:val="18"/>
          <w:color w:val="auto"/>
        </w:rPr>
        <w:t>any realized gains or losses from such sales will be included in operating income (loss), net in the consolidated statements of operations. We will account for our sale of cryptocurrencies in accordance with the first in first out (“FIFO”) method of accounting.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w:t>
      </w:r>
    </w:p>
    <w:p>
      <w:pPr>
        <w:spacing w:after="0" w:line="17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We account for investments using the equity method of accounting if the investment provides us with the ability to exercise significant influence, but not control, over an investee. Significant influence is generally deemed to exist if we have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the joint venture from us.</w:t>
      </w:r>
    </w:p>
    <w:p>
      <w:pPr>
        <w:spacing w:after="0" w:line="15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Our investment is subsequently adjusted to recognize our share of net income or losses as they occur. We also adjust our investment upon receipt of cryptocurrency from the equity investee, which is accounted for as a distribution-in-kind. Our share of investee earnings or losses is recorded, net of taxes, within earnings (losses) of equity method investment in the consolidated statements of operations. Additionally, our interest in the net assets of its equity method investee is reflected in the consolidated balance sheets. If, upon the contribution of nonfinancial assets to the joint venture from us, there is any difference between the cost of the investment and the amount of the underlying equity in the net assets of an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our proportionate share of the investee’s net income or loss. If the investor is unable to relate the difference to specific accounts of the investee, the difference should be considered goodwill.</w:t>
      </w:r>
    </w:p>
    <w:p>
      <w:pPr>
        <w:spacing w:after="0" w:line="15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consider whether the fair value of its equity method investment has declined below its carrying value whenever adverse events or changes in circumstances indicate that recorded values may not be recoverable. If we consider any such decline to be other than temporary (based on various factors, including historical financial results, success of the mining operations and the overall health of the investee’s industry), then we would record a write-down of our investment to estimated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Accordingly, management determines whether an arrangement contains a lease at the inception of the arrangement. If a lease is determined to exist, the term of such lease is assessed based on the date on which the underlying asset is made available for our use by the lessor. Our assessment of the lease term reflects the non-cancelable term of the lease, inclusive of any rent-free periods and/or periods 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1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 lease liability is recorded on our consolidated balance sheet at lease commencement reflecting the present value of our fixed minimum payment obligations over the lease term. A corresponding right-of-use (“ROU”) asset equal to the initial lease liability will also be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we use our incremental borrowing rate, determined based on information available at lease commencement, as rates implicit in its leasing arrangements are typically not readily determinable. Our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3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our operating leases, fixed lease payments will be recognized as lease expense on a straight-line basis over the lease term. Variable lease costs are expensed as incurred and are not included in the measurement of ROU assets and lease liabilities.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We have elected the practical expedient not to separate lease and non-lease components for all leases, which means all consideration that is fixed, or in-substance fixed, relating to the non-lease components will be captured as part of our lease components for balance sheet purposes.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ET Services Company LLC (“Luminant”), including the Lease Agreement dated June 29, 2021, with amendment and restatement on July 9, 2021 (as amended and restated, the “Luminant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ind w:right="280"/>
        <w:spacing w:after="0" w:line="266" w:lineRule="auto"/>
        <w:rPr>
          <w:sz w:val="20"/>
          <w:szCs w:val="20"/>
          <w:color w:val="auto"/>
        </w:rPr>
      </w:pPr>
      <w:r>
        <w:rPr>
          <w:rFonts w:ascii="Times New Roman" w:cs="Times New Roman" w:eastAsia="Times New Roman" w:hAnsi="Times New Roman"/>
          <w:sz w:val="18"/>
          <w:szCs w:val="18"/>
          <w:color w:val="auto"/>
        </w:rPr>
        <w:t>Lease Agreement”). Once the Luminant Lease Agreement is effective and we have control over the applicable leased asset, we will record both a ROU asset and a corresponding lease liability in accordance with ASC 842 for each lease component as applicable under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concluded that, as of March 31, 2022, our disclosure controls and procedures were effective at the reasonable assurance level and that the previous material weaknesses of GWAC no longer applied to the Company.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potential risks and uncertainties related to us, see the information included in Part I, Item 1A, “Risk Factors” of our 2021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2021 Form 10-K, except as noted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“we,” “us” or “our” refer to Cipher Mining Inc.</w:t>
      </w:r>
    </w:p>
    <w:p>
      <w:pPr>
        <w:spacing w:after="0" w:line="18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successfully maintain our power and hosting arrangements or secure the sites for our data centers, on acceptable terms or at all, or if we must otherwise relocate to replacement sites, our operations may be disrupted, and our business results may suffer.</w:t>
      </w:r>
    </w:p>
    <w:p>
      <w:pPr>
        <w:spacing w:after="0" w:line="131" w:lineRule="exact"/>
        <w:rPr>
          <w:sz w:val="20"/>
          <w:szCs w:val="20"/>
          <w:color w:val="auto"/>
        </w:rPr>
      </w:pPr>
    </w:p>
    <w:p>
      <w:pPr>
        <w:ind w:right="120" w:firstLine="20"/>
        <w:spacing w:after="0" w:line="256" w:lineRule="auto"/>
        <w:rPr>
          <w:sz w:val="20"/>
          <w:szCs w:val="20"/>
          <w:color w:val="auto"/>
        </w:rPr>
      </w:pPr>
      <w:r>
        <w:rPr>
          <w:rFonts w:ascii="Times New Roman" w:cs="Times New Roman" w:eastAsia="Times New Roman" w:hAnsi="Times New Roman"/>
          <w:sz w:val="17"/>
          <w:szCs w:val="17"/>
          <w:color w:val="231F20"/>
        </w:rPr>
        <w:t>As part of our strategy, we plan to set up and begin operations at several sites in the United States. We began deployment of capacity in the first quarter of 2022, with mining operations beginning at one site in February 2022. For further details on our planned buildout, see “</w:t>
      </w:r>
      <w:r>
        <w:rPr>
          <w:rFonts w:ascii="Times New Roman" w:cs="Times New Roman" w:eastAsia="Times New Roman" w:hAnsi="Times New Roman"/>
          <w:sz w:val="17"/>
          <w:szCs w:val="17"/>
          <w:i w:val="1"/>
          <w:iCs w:val="1"/>
          <w:color w:val="231F20"/>
        </w:rPr>
        <w:t>Business—Our Planned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Cryptocurrency Operations— Operational Buildout Plan</w:t>
      </w:r>
      <w:r>
        <w:rPr>
          <w:rFonts w:ascii="Times New Roman" w:cs="Times New Roman" w:eastAsia="Times New Roman" w:hAnsi="Times New Roman"/>
          <w:sz w:val="17"/>
          <w:szCs w:val="17"/>
          <w:color w:val="231F20"/>
        </w:rPr>
        <w:t>” in our 2021 Form 10-K. We entered into definitive power and hosting arrangements with</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Standard Power, WindHQ and Luminant, which intend to cover our sites referenced above. For further details, see “</w:t>
      </w:r>
      <w:r>
        <w:rPr>
          <w:rFonts w:ascii="Times New Roman" w:cs="Times New Roman" w:eastAsia="Times New Roman" w:hAnsi="Times New Roman"/>
          <w:sz w:val="17"/>
          <w:szCs w:val="17"/>
          <w:i w:val="1"/>
          <w:iCs w:val="1"/>
          <w:color w:val="231F20"/>
        </w:rPr>
        <w:t>Business— Material Agreements—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Power Arrangements and Hosting Arrangements</w:t>
      </w:r>
      <w:r>
        <w:rPr>
          <w:rFonts w:ascii="Times New Roman" w:cs="Times New Roman" w:eastAsia="Times New Roman" w:hAnsi="Times New Roman"/>
          <w:sz w:val="17"/>
          <w:szCs w:val="17"/>
          <w:color w:val="231F20"/>
        </w:rPr>
        <w:t>” in our 2021 Form 10-K. Furthermore, although these definitive agreements include provisions allowing</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us to secure the sites for our data centers, actually securing these sites on terms acceptable to us may not occur within our timing expectations or at all. Securing the sites for our data centers may also be subject to various governmental approvals and require entry into ancillary agreements. Our inability to secure the sites for our data centers could adversely impact the anticipated timing of our buildout. Additionally, we may need to secure interconnection agreements as part of securing the sites for our datacenters. Even if we are successful in negotiating and maintaining interconnection agreements for the relevant data centers, our operations still remain subject to risks related to the availability of electricity and deployment of the required electrical infrastructure as per these interconnection agreements. For further details, see “</w:t>
      </w:r>
      <w:r>
        <w:rPr>
          <w:rFonts w:ascii="Times New Roman" w:cs="Times New Roman" w:eastAsia="Times New Roman" w:hAnsi="Times New Roman"/>
          <w:sz w:val="17"/>
          <w:szCs w:val="17"/>
          <w:i w:val="1"/>
          <w:iCs w:val="1"/>
          <w:color w:val="231F20"/>
        </w:rPr>
        <w:t>—Bitcoin mining activities are energy-intensive, which may restrict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geographic locations of miners and have a negative environmental impact. Government regulators may potentially restrict the ability of electricity</w:t>
      </w:r>
    </w:p>
    <w:p>
      <w:pPr>
        <w:spacing w:after="0"/>
        <w:rPr>
          <w:sz w:val="20"/>
          <w:szCs w:val="20"/>
          <w:color w:val="auto"/>
        </w:rPr>
      </w:pPr>
      <w:r>
        <w:rPr>
          <w:rFonts w:ascii="Times New Roman" w:cs="Times New Roman" w:eastAsia="Times New Roman" w:hAnsi="Times New Roman"/>
          <w:sz w:val="18"/>
          <w:szCs w:val="18"/>
          <w:i w:val="1"/>
          <w:iCs w:val="1"/>
          <w:color w:val="231F20"/>
        </w:rPr>
        <w:t>suppliers to provide electricity to mining operations, such as ours, or even fully or partially ban mining operations</w:t>
      </w:r>
      <w:r>
        <w:rPr>
          <w:rFonts w:ascii="Times New Roman" w:cs="Times New Roman" w:eastAsia="Times New Roman" w:hAnsi="Times New Roman"/>
          <w:sz w:val="18"/>
          <w:szCs w:val="18"/>
          <w:color w:val="231F20"/>
        </w:rPr>
        <w:t>” in our 2021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timely complete the planned construction of our sites and commence operations, it could have a material adverse effect on our business.</w:t>
      </w:r>
    </w:p>
    <w:p>
      <w:pPr>
        <w:spacing w:after="0" w:line="18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231F20"/>
        </w:rPr>
        <w:t>We began deployment of capacity, with mining operations beginning at one site in February 2022. For further details, see “</w:t>
      </w:r>
      <w:r>
        <w:rPr>
          <w:rFonts w:ascii="Times New Roman" w:cs="Times New Roman" w:eastAsia="Times New Roman" w:hAnsi="Times New Roman"/>
          <w:sz w:val="18"/>
          <w:szCs w:val="18"/>
          <w:i w:val="1"/>
          <w:iCs w:val="1"/>
          <w:color w:val="231F20"/>
        </w:rPr>
        <w:t>Business—Our Planned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Cryptocurrency Operations—Operational Buildout Plan</w:t>
      </w:r>
      <w:r>
        <w:rPr>
          <w:rFonts w:ascii="Times New Roman" w:cs="Times New Roman" w:eastAsia="Times New Roman" w:hAnsi="Times New Roman"/>
          <w:sz w:val="18"/>
          <w:szCs w:val="18"/>
          <w:color w:val="231F20"/>
        </w:rPr>
        <w:t>” in our 2021 Form 10-K. We cannot give assurances that the construction at any of our planned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sites will be completed as scheduled, without cost overrun or at all. Given current lead times for new mining hardware and certain equipment, we need to commit to purchasing mining machines and equipment in advance of a site becoming fully operational, and we may not have the power capacity or finalized infrastructure to support these mining machines. A failure or material delay in our ability to develop and operate the sites in accordance with, or in excess of, expectations could have a material adverse effect on our business, prospects, financial condition and operating results. Even if the construction is completed on a timely basis, we cannot give assurances that the full commercial operations will begin as we expected due to delays in receipt and installation of mining machines or otherwise.</w:t>
      </w:r>
    </w:p>
    <w:p>
      <w:pPr>
        <w:spacing w:after="0" w:line="15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Delays or disruptions in the development or operation of our Texas sites could also materially and adversely affect our business, results of operations and financial condition.</w:t>
      </w:r>
    </w:p>
    <w:p>
      <w:pPr>
        <w:spacing w:after="0" w:line="13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231F20"/>
        </w:rPr>
        <w:t>We currently expect to have a concentration of sites in Texas and, consequently, expect to be particularly exposed to changes in market conditions and natural disasters in this state. Texas, through its regulatory and economic incentives, has encouraged cryptocurrency mining companies, like ours, to locate their operations in the state. As such, we may face increased competition in Texas for suitable mining sites and skilled workers. If we experience delays in construction or commencement of mining operations, supply chain disruptions (such as the global microchip and semiconductor shortage), increased costs of component parts or raw materials, increased costs or lack of skilled labor or disputes with our third party contractors or service providers, or if other unforeseen events occur, our business, financial condition and results of operations could be adversely impacted.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5" w:name="page36"/>
    <w:bookmarkEnd w:id="35"/>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Regulatory actions in one or more countries could severely affect the right to acquire, own, hold, sell or use certain cryptocurrencies or to exchange them for fiat currency.</w:t>
      </w:r>
    </w:p>
    <w:p>
      <w:pPr>
        <w:spacing w:after="0" w:line="13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231F20"/>
        </w:rPr>
        <w:t>In 2021, the Chinese government declared that all digital currency-related business activities are illegal, effectively banning mining and trading in cryptocurrencies, such as Bitcoin. One or more countries, such as India or Russia, may take similar regulatory actions in the future that could severely restrict the right to acquire, own, hold, sell or use cryptocurrencies or to exchange them for fiat currency. In some nations,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w:t>
      </w:r>
    </w:p>
    <w:p>
      <w:pPr>
        <w:spacing w:after="0" w:line="14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31F20"/>
        </w:rPr>
        <w:t>Furthermore, in the future, foreign governments may decide to subsidize or in some other way support certain large-scale cryptocurrency mining projects, thus adding hashrate to the overall network. Such circumstances could have a material adverse effect on the amount of Bitcoin we may be able to mine, the value of Bitcoin and any other cryptocurrencies we may potentially acquire or hold in the future and, consequently, our business, prospects, financial condition and operating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 from central bank digital currencies (“CBDCs”) could adversely affect the value of Bitcoin and other digital assets.</w:t>
      </w:r>
    </w:p>
    <w:p>
      <w:pPr>
        <w:spacing w:after="0" w:line="1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231F20"/>
        </w:rPr>
        <w:t>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A 2021 survey of central banks by the Bank for International Settlements found that 86% are actively researching the potential for CBDCs, 60% were experimenting with the technology and 14% were deploying pilot projects. Whether or not they incorporate blockchain or similar technology, CBDCs, as legal tender in the issuing jurisdiction, could have an advantage in competing with, or replace, Bitcoin and other cryptocurrencies as a medium of exchange or store of value. As a result, the value of Bitcoin could decrease, which could have a material adverse effect on our business, prospects, financial condition, and operating results.</w:t>
      </w:r>
    </w:p>
    <w:p>
      <w:pPr>
        <w:spacing w:after="0" w:line="13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BitfuryTop HoldCo is our controlling shareholder and, as such, may be able to control our strategic direction and exert substantial influence over all matters submitted to our stockholders for approval, including the election of directors and amendments of our organizational documents, and an approval right over any acquisition or liquidation.</w:t>
      </w:r>
    </w:p>
    <w:p>
      <w:pPr>
        <w:spacing w:after="0" w:line="128" w:lineRule="exact"/>
        <w:rPr>
          <w:sz w:val="20"/>
          <w:szCs w:val="20"/>
          <w:color w:val="auto"/>
        </w:rPr>
      </w:pPr>
    </w:p>
    <w:p>
      <w:pPr>
        <w:ind w:right="140" w:firstLine="24"/>
        <w:spacing w:after="0" w:line="245" w:lineRule="auto"/>
        <w:rPr>
          <w:sz w:val="20"/>
          <w:szCs w:val="20"/>
          <w:color w:val="auto"/>
        </w:rPr>
      </w:pPr>
      <w:r>
        <w:rPr>
          <w:rFonts w:ascii="Times New Roman" w:cs="Times New Roman" w:eastAsia="Times New Roman" w:hAnsi="Times New Roman"/>
          <w:sz w:val="18"/>
          <w:szCs w:val="18"/>
          <w:color w:val="231F20"/>
        </w:rPr>
        <w:t>As of May 6, 2022, Bitfury Top HoldCo (together with Bitfury Holding B.V. (“Bitfury Holding”),an affiliate of Bitfury Top HoldCo) held approximately 8</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of our common stock. Accordingly, Bitfury is able to control or exert substantial influence over all matters submitted to our stockholders for approval, including the election of directors and amendments of our organizational documents, and an approval right over any acquisition or liquidation. Bitfury Top HoldCo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Cipher, could deprive Cipher’s stockholders of an opportunity to receive a premium for their capital stock as part of a sale of Cipher, and might ultimately affect the market price of shares of our common stock.</w:t>
      </w:r>
    </w:p>
    <w:p>
      <w:pPr>
        <w:spacing w:after="0" w:line="152" w:lineRule="exact"/>
        <w:rPr>
          <w:sz w:val="20"/>
          <w:szCs w:val="20"/>
          <w:color w:val="auto"/>
        </w:rPr>
      </w:pPr>
    </w:p>
    <w:p>
      <w:pPr>
        <w:ind w:right="280" w:firstLine="40"/>
        <w:spacing w:after="0" w:line="277" w:lineRule="auto"/>
        <w:rPr>
          <w:sz w:val="20"/>
          <w:szCs w:val="20"/>
          <w:color w:val="auto"/>
        </w:rPr>
      </w:pPr>
      <w:r>
        <w:rPr>
          <w:rFonts w:ascii="Times New Roman" w:cs="Times New Roman" w:eastAsia="Times New Roman" w:hAnsi="Times New Roman"/>
          <w:sz w:val="17"/>
          <w:szCs w:val="17"/>
          <w:color w:val="231F20"/>
        </w:rPr>
        <w:t>Furthermore, Bitfury Top HoldCo is our counterparty under the Master Services and Supply Agreement. For further details, see “</w:t>
      </w:r>
      <w:r>
        <w:rPr>
          <w:rFonts w:ascii="Times New Roman" w:cs="Times New Roman" w:eastAsia="Times New Roman" w:hAnsi="Times New Roman"/>
          <w:sz w:val="17"/>
          <w:szCs w:val="17"/>
          <w:i w:val="1"/>
          <w:iCs w:val="1"/>
          <w:color w:val="231F20"/>
        </w:rPr>
        <w:t>Business—Material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Agreements—Master Services and Supply Agreement</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—Bitfury Top HoldCo is our counterparty under the Master Services and Supply Agreement</w:t>
      </w:r>
    </w:p>
    <w:p>
      <w:pPr>
        <w:spacing w:after="0" w:line="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i w:val="1"/>
          <w:iCs w:val="1"/>
          <w:color w:val="231F20"/>
        </w:rPr>
        <w:t>and is a holding company with limited assets</w:t>
      </w:r>
      <w:r>
        <w:rPr>
          <w:rFonts w:ascii="Times New Roman" w:cs="Times New Roman" w:eastAsia="Times New Roman" w:hAnsi="Times New Roman"/>
          <w:sz w:val="18"/>
          <w:szCs w:val="18"/>
          <w:color w:val="231F20"/>
        </w:rPr>
        <w:t>” in our 2021 Form 10-K. The Master Services and Supply Agreement and any potential agreements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thereunder constitute related-party transactions, see “</w:t>
      </w:r>
      <w:r>
        <w:rPr>
          <w:rFonts w:ascii="Times New Roman" w:cs="Times New Roman" w:eastAsia="Times New Roman" w:hAnsi="Times New Roman"/>
          <w:sz w:val="18"/>
          <w:szCs w:val="18"/>
          <w:i w:val="1"/>
          <w:iCs w:val="1"/>
          <w:color w:val="231F20"/>
        </w:rPr>
        <w:t>Certain Relationships and Related Person Transactions—Master Services and Supply Agreement</w:t>
      </w:r>
      <w:r>
        <w:rPr>
          <w:rFonts w:ascii="Times New Roman" w:cs="Times New Roman" w:eastAsia="Times New Roman" w:hAnsi="Times New Roman"/>
          <w:sz w:val="18"/>
          <w:szCs w:val="18"/>
          <w:color w:val="231F20"/>
        </w:rPr>
        <w:t>” in our 2021 Form 10-K. Bitfury Top HoldCo is entitled to appoint a majority of the members of the Board, and it has the power to determine the decisions to be taken at our shareholder meetings on matters of our management that require the prior authorization of our shareholders, including in respect of related party transactions, such as the Master Services and Supply Agreement, corporate restructurings and the date of payment of dividends and other capital distributions. Thus, the decisions of Bitfury Top HoldCo as our controlling shareholder on these matters, including its decisions with respect to its or our performance under the Master Services and Supply Agreement, may be contrary to the expectations or preferences of our common stock holders and could have a material adverse effect on our business, prospects, financial condition, and operating results.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offer or sale by Bitfury Top HoldCo, of our common stock or securities in the Bitfury Top HoldCo itself or another entity that may have a direct or indirect control over us, could have a negative effect on the price and trading volume of our common stock.</w:t>
      </w:r>
    </w:p>
    <w:p>
      <w:pPr>
        <w:spacing w:after="0" w:line="10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31F20"/>
        </w:rPr>
        <w:t xml:space="preserve">As of May 6, 2022, Bitfury Top HoldCo (together with Bitfury Holding)held approximately </w:t>
      </w:r>
      <w:r>
        <w:rPr>
          <w:rFonts w:ascii="Times New Roman" w:cs="Times New Roman" w:eastAsia="Times New Roman" w:hAnsi="Times New Roman"/>
          <w:sz w:val="18"/>
          <w:szCs w:val="18"/>
          <w:color w:val="000000"/>
        </w:rPr>
        <w:t>82.1</w:t>
      </w:r>
      <w:r>
        <w:rPr>
          <w:rFonts w:ascii="Times New Roman" w:cs="Times New Roman" w:eastAsia="Times New Roman" w:hAnsi="Times New Roman"/>
          <w:sz w:val="18"/>
          <w:szCs w:val="18"/>
          <w:color w:val="231F20"/>
        </w:rPr>
        <w:t>% of our common stock. The market price and trading volume of our common stock could be adversely affected by, among other factors, sales of substantial amounts of common stock in the public market, investor perception that substantial amounts of common stock could be sold or by the fact or perception of other events that could have a negative effect on the market for our common stock.</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6" w:name="page37"/>
    <w:bookmarkEnd w:id="36"/>
    <w:p>
      <w:pPr>
        <w:ind w:right="160"/>
        <w:spacing w:after="0" w:line="246" w:lineRule="auto"/>
        <w:rPr>
          <w:sz w:val="20"/>
          <w:szCs w:val="20"/>
          <w:color w:val="auto"/>
        </w:rPr>
      </w:pPr>
      <w:r>
        <w:rPr>
          <w:rFonts w:ascii="Times New Roman" w:cs="Times New Roman" w:eastAsia="Times New Roman" w:hAnsi="Times New Roman"/>
          <w:sz w:val="18"/>
          <w:szCs w:val="18"/>
          <w:color w:val="231F20"/>
        </w:rPr>
        <w:t>In the future, upon expiration of its respective lock-up, Bitfury Top HoldCo may offer or sell our common stock on the market. Furthermore, on April8, 2022, we entered into the Waiver Agreement with Bitfury Top HoldCo, pursuant to which we waived certain restrictions on transfer of our common stock held by Bitfury Top HoldCo and certain other stockholders, which were subject to lock-ups. For further details, see “</w:t>
      </w:r>
      <w:r>
        <w:rPr>
          <w:rFonts w:ascii="Times New Roman" w:cs="Times New Roman" w:eastAsia="Times New Roman" w:hAnsi="Times New Roman"/>
          <w:sz w:val="18"/>
          <w:szCs w:val="18"/>
          <w:i w:val="1"/>
          <w:iCs w:val="1"/>
          <w:color w:val="231F20"/>
        </w:rPr>
        <w:t>Certain Relationships and 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Person Transactions—Waiver Agreement</w:t>
      </w:r>
      <w:r>
        <w:rPr>
          <w:rFonts w:ascii="Times New Roman" w:cs="Times New Roman" w:eastAsia="Times New Roman" w:hAnsi="Times New Roman"/>
          <w:sz w:val="18"/>
          <w:szCs w:val="18"/>
          <w:color w:val="231F20"/>
        </w:rPr>
        <w:t>.” At any time, Bitfury Top HoldCo may also engage in capital markets transactions with respect to securities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Bitfury Top HoldCo itself or another entity that may have direct or indirect control over us.</w:t>
      </w:r>
    </w:p>
    <w:p>
      <w:pPr>
        <w:spacing w:after="0" w:line="15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231F20"/>
        </w:rPr>
        <w:t>Any future transactions by Bitfury Top HoldCo with other investors, such as the ones listed above, could decrease the price and trading volume of our common stock. Furthermore, as the cryptocurrency industry is developing and investments in cryptocurrency and cryptocurrency-related securities may still be highly speculative, it can contribute to any potential price volatility of our common stock and exacerbate any effects of the risks discussed above.</w:t>
      </w:r>
    </w:p>
    <w:p>
      <w:pPr>
        <w:spacing w:after="0" w:line="159"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Exercise of our outstanding warrants for our common stock would increase the number of shares eligible for future resale in the public market and result in dilution to our stockholders.</w:t>
      </w:r>
    </w:p>
    <w:p>
      <w:pPr>
        <w:spacing w:after="0" w:line="13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231F20"/>
        </w:rPr>
        <w:t>As of May 6, 2022, we had 8,613,980 outstanding warrants to purchase our common stock, which became exercisable beginning on October 19, 2021. The exercise price of these warrants is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 of our common stock. However, there is no guarantee that the public warrants will be in the money at a given time prior to their expiration, and as such, the warrants may expire worthless. See “</w:t>
      </w:r>
      <w:r>
        <w:rPr>
          <w:rFonts w:ascii="Times New Roman" w:cs="Times New Roman" w:eastAsia="Times New Roman" w:hAnsi="Times New Roman"/>
          <w:sz w:val="18"/>
          <w:szCs w:val="18"/>
          <w:i w:val="1"/>
          <w:iCs w:val="1"/>
          <w:color w:val="231F20"/>
        </w:rPr>
        <w:t>—There is no guarantee that our warrants will ever be in the money, and they may expire worthless</w:t>
      </w:r>
      <w:r>
        <w:rPr>
          <w:rFonts w:ascii="Times New Roman" w:cs="Times New Roman" w:eastAsia="Times New Roman" w:hAnsi="Times New Roman"/>
          <w:sz w:val="18"/>
          <w:szCs w:val="18"/>
          <w:color w:val="231F20"/>
        </w:rPr>
        <w:t>” in our 2021 Form 10-K.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On October 22, 2020, GWAC completed its initial public offering (the “GWAC IPO”). All shares sold were registered pursuant to a registration statement on Form S-1 (File No. 333-248333), as amended (the “GWAC Registration Statement”), declared effective by the SEC on October 19, 2020. Simultaneous with the consummation of the GWAC IPO, GWAC consummated a private placement of units to certain another investors.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has been no material change in the expected use of the net proceeds from the GWAC IPO and private placement as described in our 2021 Form 10-K.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58"/>
        </w:trPr>
        <w:tc>
          <w:tcPr>
            <w:tcW w:w="90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5"/>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tcPr>
          <w:p>
            <w:pPr>
              <w:spacing w:after="0"/>
              <w:rPr>
                <w:sz w:val="13"/>
                <w:szCs w:val="13"/>
                <w:color w:val="auto"/>
              </w:rPr>
            </w:pPr>
          </w:p>
        </w:tc>
        <w:tc>
          <w:tcPr>
            <w:tcW w:w="660" w:type="dxa"/>
            <w:vAlign w:val="bottom"/>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3"/>
                <w:szCs w:val="13"/>
                <w:color w:val="auto"/>
              </w:rPr>
            </w:pPr>
          </w:p>
        </w:tc>
        <w:tc>
          <w:tcPr>
            <w:tcW w:w="1220" w:type="dxa"/>
            <w:vAlign w:val="bottom"/>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3"/>
                <w:szCs w:val="13"/>
                <w:color w:val="auto"/>
              </w:rPr>
            </w:pPr>
          </w:p>
        </w:tc>
        <w:tc>
          <w:tcPr>
            <w:tcW w:w="6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vMerge w:val="restart"/>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33"/>
        </w:trPr>
        <w:tc>
          <w:tcPr>
            <w:tcW w:w="9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Agreement and Plan of Merger, dated as of March 4, 2021, by and among</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2.1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3/5/2021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Good Works Acquisition Corp., Currency Merger Sub, Inc. and Cipher</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Borders>
              <w:top w:val="single" w:sz="8" w:color="0000FF"/>
              <w:bottom w:val="single" w:sz="8" w:color="0000EE"/>
            </w:tcBorders>
            <w:gridSpan w:val="5"/>
          </w:tcPr>
          <w:p>
            <w:pPr>
              <w:spacing w:after="0" w:line="15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Mining Technologies Inc.</w:t>
              </w:r>
            </w:hyperlink>
          </w:p>
        </w:tc>
        <w:tc>
          <w:tcPr>
            <w:tcW w:w="294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4960" w:type="dxa"/>
            <w:vAlign w:val="bottom"/>
            <w:gridSpan w:val="20"/>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Second Amended and Restated Certificate of Incorporation of Cipher</w:t>
              </w:r>
            </w:hyperlink>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Mining Inc.</w:t>
              </w:r>
            </w:hyperlink>
          </w:p>
        </w:tc>
        <w:tc>
          <w:tcPr>
            <w:tcW w:w="20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5"/>
                <w:szCs w:val="15"/>
                <w:color w:val="auto"/>
              </w:rPr>
            </w:pPr>
          </w:p>
        </w:tc>
        <w:tc>
          <w:tcPr>
            <w:tcW w:w="350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Amended and Restated Bylaws of Cipher Mining Inc.</w:t>
              </w:r>
            </w:hyperlink>
          </w:p>
        </w:tc>
        <w:tc>
          <w:tcPr>
            <w:tcW w:w="40" w:type="dxa"/>
            <w:vAlign w:val="bottom"/>
            <w:tcBorders>
              <w:bottom w:val="single" w:sz="8" w:color="0000EE"/>
            </w:tcBorders>
          </w:tcPr>
          <w:p>
            <w:pPr>
              <w:spacing w:after="0"/>
              <w:rPr>
                <w:sz w:val="15"/>
                <w:szCs w:val="15"/>
                <w:color w:val="auto"/>
              </w:rPr>
            </w:pPr>
          </w:p>
        </w:tc>
        <w:tc>
          <w:tcPr>
            <w:tcW w:w="1420" w:type="dxa"/>
            <w:vAlign w:val="bottom"/>
            <w:gridSpan w:val="12"/>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5"/>
                <w:szCs w:val="15"/>
                <w:color w:val="auto"/>
              </w:rPr>
            </w:pPr>
          </w:p>
        </w:tc>
        <w:tc>
          <w:tcPr>
            <w:tcW w:w="416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5"/>
                <w:szCs w:val="15"/>
                <w:color w:val="auto"/>
              </w:rPr>
            </w:pPr>
          </w:p>
        </w:tc>
        <w:tc>
          <w:tcPr>
            <w:tcW w:w="780" w:type="dxa"/>
            <w:vAlign w:val="bottom"/>
            <w:gridSpan w:val="8"/>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333-248333</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4.3</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10/9/2020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5"/>
                <w:szCs w:val="15"/>
                <w:color w:val="auto"/>
              </w:rPr>
            </w:pPr>
          </w:p>
        </w:tc>
        <w:tc>
          <w:tcPr>
            <w:tcW w:w="4360" w:type="dxa"/>
            <w:vAlign w:val="bottom"/>
            <w:tcBorders>
              <w:bottom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Warrant Agreement, dated as of October 19, 2020, by and between</w:t>
              </w:r>
            </w:hyperlink>
          </w:p>
        </w:tc>
        <w:tc>
          <w:tcPr>
            <w:tcW w:w="600" w:type="dxa"/>
            <w:vAlign w:val="bottom"/>
            <w:gridSpan w:val="7"/>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4.1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10/28/2020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60" w:type="dxa"/>
            <w:vAlign w:val="bottom"/>
            <w:tcBorders>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Continental Stock Transfer &amp; Trust Company and Good Works Acquisition</w:t>
              </w:r>
            </w:hyperlink>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0000EE"/>
            </w:tcBorders>
          </w:tcPr>
          <w:p>
            <w:pPr>
              <w:spacing w:after="0" w:line="15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Corp.</w:t>
              </w:r>
            </w:hyperlink>
          </w:p>
        </w:tc>
        <w:tc>
          <w:tcPr>
            <w:tcW w:w="4560" w:type="dxa"/>
            <w:vAlign w:val="bottom"/>
            <w:gridSpan w:val="19"/>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Second Amendment to the Power Purchase Agreement, dated February 28,</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10.35</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3/4/2022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2022, by and between Luminant ET Services Company LLC and Cipher</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40" w:type="dxa"/>
            <w:vAlign w:val="bottom"/>
            <w:tcBorders>
              <w:top w:val="single" w:sz="8" w:color="0000FF"/>
            </w:tcBorders>
            <w:gridSpan w:val="16"/>
          </w:tcPr>
          <w:p>
            <w:pPr>
              <w:spacing w:after="0" w:line="15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Mining Technologies Inc.</w:t>
              </w:r>
            </w:hyperlink>
          </w:p>
        </w:tc>
        <w:tc>
          <w:tcPr>
            <w:tcW w:w="1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5"/>
                <w:szCs w:val="15"/>
                <w:color w:val="auto"/>
              </w:rPr>
            </w:pPr>
          </w:p>
        </w:tc>
        <w:tc>
          <w:tcPr>
            <w:tcW w:w="296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Waiver Agreement, dated as of April 8, 2022.</w:t>
              </w:r>
            </w:hyperlink>
          </w:p>
        </w:tc>
        <w:tc>
          <w:tcPr>
            <w:tcW w:w="2000" w:type="dxa"/>
            <w:vAlign w:val="bottom"/>
            <w:gridSpan w:val="14"/>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99.1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4/14/2022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Board Observer Agreement, dated as of April 8, 2022.</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99.2</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4/14/2022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180" w:type="dxa"/>
            <w:vAlign w:val="bottom"/>
            <w:tcBorders>
              <w:right w:val="single" w:sz="8" w:color="0000EE"/>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80" w:type="dxa"/>
            <w:vAlign w:val="bottom"/>
            <w:tcBorders>
              <w:top w:val="single" w:sz="8" w:color="0000FF"/>
            </w:tcBorders>
            <w:gridSpan w:val="7"/>
          </w:tcPr>
          <w:p>
            <w:pPr>
              <w:spacing w:after="0"/>
              <w:rPr>
                <w:sz w:val="12"/>
                <w:szCs w:val="12"/>
                <w:color w:val="auto"/>
              </w:rPr>
            </w:pPr>
          </w:p>
        </w:tc>
        <w:tc>
          <w:tcPr>
            <w:tcW w:w="1180" w:type="dxa"/>
            <w:vAlign w:val="bottom"/>
            <w:gridSpan w:val="9"/>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6"/>
          </w:tcPr>
          <w:p>
            <w:pPr>
              <w:spacing w:after="0"/>
              <w:rPr>
                <w:sz w:val="12"/>
                <w:szCs w:val="12"/>
                <w:color w:val="auto"/>
              </w:rPr>
            </w:pPr>
          </w:p>
        </w:tc>
        <w:tc>
          <w:tcPr>
            <w:tcW w:w="1220" w:type="dxa"/>
            <w:vAlign w:val="bottom"/>
            <w:gridSpan w:val="1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5"/>
                <w:szCs w:val="15"/>
                <w:color w:val="auto"/>
              </w:rPr>
            </w:pPr>
          </w:p>
        </w:tc>
        <w:tc>
          <w:tcPr>
            <w:tcW w:w="4960" w:type="dxa"/>
            <w:vAlign w:val="bottom"/>
            <w:tcBorders>
              <w:bottom w:val="single" w:sz="8" w:color="0000FF"/>
            </w:tcBorders>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5"/>
                <w:szCs w:val="15"/>
                <w:color w:val="auto"/>
              </w:rPr>
            </w:pPr>
          </w:p>
        </w:tc>
        <w:tc>
          <w:tcPr>
            <w:tcW w:w="49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9"/>
        </w:trPr>
        <w:tc>
          <w:tcPr>
            <w:tcW w:w="9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4"/>
                <w:szCs w:val="14"/>
                <w:color w:val="auto"/>
              </w:rPr>
            </w:pPr>
          </w:p>
        </w:tc>
        <w:tc>
          <w:tcPr>
            <w:tcW w:w="49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center"/>
              <w:ind w:left="7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gridSpan w:val="20"/>
          </w:tcPr>
          <w:p>
            <w:pPr>
              <w:spacing w:after="0" w:line="175" w:lineRule="exact"/>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2"/>
        </w:trPr>
        <w:tc>
          <w:tcPr>
            <w:tcW w:w="9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4"/>
                <w:szCs w:val="14"/>
                <w:color w:val="auto"/>
              </w:rPr>
            </w:pPr>
          </w:p>
        </w:tc>
        <w:tc>
          <w:tcPr>
            <w:tcW w:w="4960" w:type="dxa"/>
            <w:vAlign w:val="bottom"/>
            <w:gridSpan w:val="20"/>
          </w:tcPr>
          <w:p>
            <w:pPr>
              <w:spacing w:after="0" w:line="162"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center"/>
              <w:ind w:left="79"/>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9512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60" w:hanging="352"/>
        <w:spacing w:after="0" w:line="236" w:lineRule="auto"/>
        <w:tabs>
          <w:tab w:leader="none" w:pos="3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 w:lineRule="exact"/>
        <w:rPr>
          <w:sz w:val="20"/>
          <w:szCs w:val="20"/>
          <w:color w:val="auto"/>
        </w:rPr>
      </w:pPr>
    </w:p>
    <w:p>
      <w:pPr>
        <w:ind w:right="160" w:firstLine="8"/>
        <w:spacing w:after="0" w:line="243" w:lineRule="auto"/>
        <w:tabs>
          <w:tab w:leader="none" w:pos="4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198" w:lineRule="exact"/>
        <w:rPr>
          <w:sz w:val="20"/>
          <w:szCs w:val="20"/>
          <w:color w:val="auto"/>
        </w:rPr>
      </w:pPr>
    </w:p>
    <w:p>
      <w:pPr>
        <w:ind w:left="20"/>
        <w:spacing w:after="0"/>
        <w:tabs>
          <w:tab w:leader="none" w:pos="4920" w:val="left"/>
          <w:tab w:leader="none" w:pos="778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17145</wp:posOffset>
            </wp:positionV>
            <wp:extent cx="37376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highlight w:val="white"/>
        </w:rPr>
        <w:t>Tyler Page</w:t>
      </w:r>
    </w:p>
    <w:p>
      <w:pPr>
        <w:ind w:left="740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Date: May 10, 2022</w:t>
            </w:r>
          </w:p>
        </w:tc>
        <w:tc>
          <w:tcPr>
            <w:tcW w:w="2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 Edward Farrell</w:t>
            </w:r>
          </w:p>
        </w:tc>
        <w:tc>
          <w:tcPr>
            <w:tcW w:w="0" w:type="dxa"/>
            <w:vAlign w:val="bottom"/>
          </w:tcPr>
          <w:p>
            <w:pPr>
              <w:spacing w:after="0"/>
              <w:rPr>
                <w:sz w:val="1"/>
                <w:szCs w:val="1"/>
                <w:color w:val="auto"/>
              </w:rPr>
            </w:pPr>
          </w:p>
        </w:tc>
      </w:tr>
      <w:tr>
        <w:trPr>
          <w:trHeight w:val="67"/>
        </w:trPr>
        <w:tc>
          <w:tcPr>
            <w:tcW w:w="320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5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highlight w:val="white"/>
                <w:w w:val="99"/>
              </w:rPr>
              <w:t>Edward Farrell</w:t>
            </w:r>
          </w:p>
        </w:tc>
        <w:tc>
          <w:tcPr>
            <w:tcW w:w="2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880" w:type="dxa"/>
            <w:vAlign w:val="bottom"/>
            <w:gridSpan w:val="3"/>
          </w:tcPr>
          <w:p>
            <w:pPr>
              <w:jc w:val="center"/>
              <w:ind w:right="20"/>
              <w:spacing w:after="0" w:line="205"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0" w:type="dxa"/>
            <w:vAlign w:val="bottom"/>
          </w:tcPr>
          <w:p>
            <w:pPr>
              <w:spacing w:after="0"/>
              <w:rPr>
                <w:sz w:val="1"/>
                <w:szCs w:val="1"/>
                <w:color w:val="auto"/>
              </w:rPr>
            </w:pPr>
          </w:p>
        </w:tc>
      </w:tr>
      <w:tr>
        <w:trPr>
          <w:trHeight w:val="837"/>
        </w:trPr>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0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1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1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1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1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46" Type="http://schemas.openxmlformats.org/officeDocument/2006/relationships/hyperlink" Target="https://www.sec.gov/Archives/edgar/data/0001819989/000121390021013594/ea136931ex2-1_goodworks.htm" TargetMode="External"/><Relationship Id="rId147" Type="http://schemas.openxmlformats.org/officeDocument/2006/relationships/hyperlink" Target="https://www.sec.gov/Archives/edgar/data/0001819989/000119312521260900/d212090dex31.htm" TargetMode="External"/><Relationship Id="rId148" Type="http://schemas.openxmlformats.org/officeDocument/2006/relationships/hyperlink" Target="https://www.sec.gov/Archives/edgar/data/0001819989/000119312521260900/d212090dex32.htm" TargetMode="External"/><Relationship Id="rId149" Type="http://schemas.openxmlformats.org/officeDocument/2006/relationships/hyperlink" Target="https://www.sec.gov/Archives/edgar/data/0001819989/000121390020030737/ea128022ex4-3_goodworks.htm" TargetMode="External"/><Relationship Id="rId150" Type="http://schemas.openxmlformats.org/officeDocument/2006/relationships/hyperlink" Target="https://www.sec.gov/Archives/edgar/data/0001819989/000121390020033703/ea128955ex4-1_goodworksacq.htm" TargetMode="External"/><Relationship Id="rId151" Type="http://schemas.openxmlformats.org/officeDocument/2006/relationships/hyperlink" Target="https://www.sec.gov/Archives/edgar/data/0001819989/000095017022002861/cifr-ex10_35.htm" TargetMode="External"/><Relationship Id="rId152" Type="http://schemas.openxmlformats.org/officeDocument/2006/relationships/hyperlink" Target="https://www.sec.gov/Archives/edgar/data/0001819989/000119312522105585/d288407dex991.htm" TargetMode="External"/><Relationship Id="rId153" Type="http://schemas.openxmlformats.org/officeDocument/2006/relationships/hyperlink" Target="https://www.sec.gov/Archives/edgar/data/0001819989/000119312522105585/d288407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2022-05-10T08:33:09Z</dcterms:created>
  <dcterms:modified xsi:type="dcterms:W3CDTF">2022-05-10T08:33:09Z</dcterms:modified>
</cp:coreProperties>
</file>