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407"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1" w:lineRule="exact"/>
        <w:rPr>
          <w:sz w:val="24"/>
          <w:szCs w:val="24"/>
          <w:color w:val="auto"/>
        </w:rPr>
      </w:pPr>
    </w:p>
    <w:tbl>
      <w:tblPr>
        <w:tblLayout w:type="fixed"/>
        <w:tblInd w:w="35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37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76835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CIPHER MINING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430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r>
      <w:tr>
        <w:trPr>
          <w:trHeight w:val="142"/>
        </w:trPr>
        <w:tc>
          <w:tcPr>
            <w:tcW w:w="4300" w:type="dxa"/>
            <w:vAlign w:val="bottom"/>
          </w:tcPr>
          <w:p>
            <w:pPr>
              <w:jc w:val="center"/>
              <w:ind w:right="1924"/>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60" w:type="dxa"/>
            <w:vAlign w:val="bottom"/>
          </w:tcPr>
          <w:p>
            <w:pPr>
              <w:jc w:val="center"/>
              <w:ind w:left="190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30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18"/>
        </w:trPr>
        <w:tc>
          <w:tcPr>
            <w:tcW w:w="4300" w:type="dxa"/>
            <w:vAlign w:val="bottom"/>
          </w:tcPr>
          <w:p>
            <w:pPr>
              <w:jc w:val="center"/>
              <w:ind w:right="1924"/>
              <w:spacing w:after="0"/>
              <w:rPr>
                <w:sz w:val="20"/>
                <w:szCs w:val="20"/>
                <w:color w:val="auto"/>
              </w:rPr>
            </w:pPr>
            <w:r>
              <w:rPr>
                <w:rFonts w:ascii="Times New Roman" w:cs="Times New Roman" w:eastAsia="Times New Roman" w:hAnsi="Times New Roman"/>
                <w:sz w:val="18"/>
                <w:szCs w:val="18"/>
                <w:b w:val="1"/>
                <w:bCs w:val="1"/>
                <w:color w:val="auto"/>
                <w:w w:val="98"/>
              </w:rPr>
              <w:t>1 Vanderbilt Avenue, Floor 54</w:t>
            </w:r>
          </w:p>
        </w:tc>
        <w:tc>
          <w:tcPr>
            <w:tcW w:w="2960" w:type="dxa"/>
            <w:vAlign w:val="bottom"/>
          </w:tcPr>
          <w:p>
            <w:pPr>
              <w:spacing w:after="0"/>
              <w:rPr>
                <w:sz w:val="24"/>
                <w:szCs w:val="24"/>
                <w:color w:val="auto"/>
              </w:rPr>
            </w:pPr>
          </w:p>
        </w:tc>
      </w:tr>
      <w:tr>
        <w:trPr>
          <w:trHeight w:val="238"/>
        </w:trPr>
        <w:tc>
          <w:tcPr>
            <w:tcW w:w="4300" w:type="dxa"/>
            <w:vAlign w:val="bottom"/>
          </w:tcPr>
          <w:p>
            <w:pPr>
              <w:jc w:val="center"/>
              <w:ind w:right="192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73"/>
        </w:trPr>
        <w:tc>
          <w:tcPr>
            <w:tcW w:w="430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CIFR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7"/>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CIFRW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2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6, 2024, the registrant had 310,029,275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0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Changes in Stockholder’s Equity</w:t>
            </w:r>
          </w:p>
        </w:tc>
        <w:tc>
          <w:tcPr>
            <w:tcW w:w="41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regarding our future results of operations and financial position, business strategy, timing and likelihood of success, potential expansion of or additional bitcoin mining data centers, expectations regarding the operations of mining centers,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79" w:lineRule="exact"/>
        <w:rPr>
          <w:sz w:val="20"/>
          <w:szCs w:val="20"/>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and acceptance of digital asset networks and other digital assets, which represent a rapidly changing industry, are subject to a variety of factors that are difficult to evaluate. The slowing or stopping of the development or acceptance of digital asset systems may adversely affect an investment in us.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several risks due to disruptions in the crypto asset markets, including but not limited to, the risk from depreciation in our stock price, financing risk, risk of increased losses or impairments in our investments or other assets, risks of legal proceedings and government investigations, and risks from price declines or price volatility of crypto assets.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markets in which we operate are new and rapidly evolving, which makes it difficult to evaluate our future prospects and the risks and challenges we may encounter.</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such as geopolitical tensions, military conflicts, acts of terrorism, natural disasters, pandemics (like the COVID-19 pandemic), and similar events could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hashrate, we may be unable to compete, and our results of operations could suffer.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6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and, thus, are particularly exposed to the performance of the Odessa Facility and changes in the regulatory environment, market conditions and natural disasters in Texas.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due to the highly volatile nature of cryptocurrencies in general and, specifically, bitcoin.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electric grid operators, electric utility providers and manufacturers of certain critical equipment and rely on components and raw materials that may be subject to price fluctuations or shortages, including ASIC chips that have been subject to periods of significant shortage and high innovation pace.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price fluctuations in the wholesale and retail power markets.</w:t>
      </w:r>
    </w:p>
    <w:p>
      <w:pPr>
        <w:spacing w:after="0" w:line="117"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6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disruptions or other failures in the supply chain for bitcoin mining hardware and related data center hardware, and difficulties in obtaining new hardware.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 and other necessary hardware are subject to malfunction, technological obsolescence and physical degradation.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automated processes with respect to curtailment may adversely affect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in our mining network may experience damages, including damages that are not covered by insurance.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right="7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impact of global market, economic and political conditions that are beyond our control and that could significantly impact our business and make our financial results more volatile.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cash and cash equivalents at financial institutions, often in balances that exceed federally insured limits.</w:t>
      </w:r>
    </w:p>
    <w:p>
      <w:pPr>
        <w:spacing w:after="0" w:line="11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such as cyber-attacks, data breaches, hacking attacks or malware, targeting us or our third-party service providers may disrupt our operations and trigger significant liability for us, which could harm our operating results and financial condition, and damage our reputation or otherwise materially harm our business.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bitcoin has historically been subject to wide swings, and our operating results may be adversely affected by our hedging activity.</w:t>
      </w:r>
    </w:p>
    <w:p>
      <w:pPr>
        <w:spacing w:after="0" w:line="128" w:lineRule="exact"/>
        <w:rPr>
          <w:rFonts w:ascii="Times New Roman" w:cs="Times New Roman" w:eastAsia="Times New Roman" w:hAnsi="Times New Roman"/>
          <w:sz w:val="17"/>
          <w:szCs w:val="17"/>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bitcoin in a manner that adversely affects our business, prospects or operations.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important factors discussed in Part I, Item 1A, “Risk Factors” in our Annual Report on Form 10-K for the year ended December 31, 2023 filed with the Securities and Exchange Commission (the “SEC”) on March 5, 2024 (the “2023 Form 10-K”) and our other reports filed with the SEC.</w:t>
      </w:r>
    </w:p>
    <w:p>
      <w:pPr>
        <w:spacing w:after="0" w:line="13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Quarterly Report.</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10-Q, Current Reports on Form 8-K, and all amendments to those reports, available free of charge on our Investors’ Website as soon as reasonably practicable after we file such reports with, or furnish such reports to, the SEC.</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non-public information for complying with disclosure obligations under Regulation FD.</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(unaudited)</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CFF"/>
          </w:tcPr>
          <w:p>
            <w:pPr>
              <w:spacing w:after="0"/>
              <w:rPr>
                <w:sz w:val="20"/>
                <w:szCs w:val="20"/>
                <w:color w:val="auto"/>
              </w:rPr>
            </w:pPr>
          </w:p>
        </w:tc>
        <w:tc>
          <w:tcPr>
            <w:tcW w:w="1600" w:type="dxa"/>
            <w:vAlign w:val="bottom"/>
            <w:shd w:val="clear" w:color="auto" w:fill="CCECFF"/>
          </w:tcPr>
          <w:p>
            <w:pPr>
              <w:spacing w:after="0"/>
              <w:rPr>
                <w:sz w:val="20"/>
                <w:szCs w:val="20"/>
                <w:color w:val="auto"/>
              </w:rPr>
            </w:pP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88,675</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Bitcoin</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123,307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Derivative asset</w:t>
            </w:r>
          </w:p>
        </w:tc>
        <w:tc>
          <w:tcPr>
            <w:tcW w:w="240" w:type="dxa"/>
            <w:vAlign w:val="bottom"/>
            <w:tcBorders>
              <w:bottom w:val="single" w:sz="8" w:color="auto"/>
            </w:tcBorders>
            <w:shd w:val="clear" w:color="auto" w:fill="CCECFF"/>
          </w:tcPr>
          <w:p>
            <w:pPr>
              <w:spacing w:after="0"/>
              <w:rPr>
                <w:sz w:val="20"/>
                <w:szCs w:val="20"/>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34,228</w:t>
            </w:r>
          </w:p>
        </w:tc>
        <w:tc>
          <w:tcPr>
            <w:tcW w:w="46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31,878</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238,541</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243,815</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8,162</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8,109</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52,621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2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66,722</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61,713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Borders>
              <w:bottom w:val="single" w:sz="8" w:color="auto"/>
            </w:tcBorders>
            <w:shd w:val="clear" w:color="auto" w:fill="CCECFF"/>
          </w:tcPr>
          <w:p>
            <w:pPr>
              <w:spacing w:after="0"/>
              <w:rPr>
                <w:sz w:val="20"/>
                <w:szCs w:val="20"/>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23,855</w:t>
            </w:r>
          </w:p>
        </w:tc>
        <w:tc>
          <w:tcPr>
            <w:tcW w:w="46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23,855</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677,141</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566,137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5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4,980</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18,661</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22,439</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CFF"/>
          </w:tcPr>
          <w:p>
            <w:pPr>
              <w:spacing w:after="0"/>
              <w:rPr>
                <w:sz w:val="19"/>
                <w:szCs w:val="19"/>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30,980</w:t>
            </w:r>
          </w:p>
        </w:tc>
        <w:tc>
          <w:tcPr>
            <w:tcW w:w="4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33,793</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2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10,121</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11,128</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tcBorders>
              <w:bottom w:val="single" w:sz="8" w:color="auto"/>
            </w:tcBorders>
            <w:shd w:val="clear" w:color="auto" w:fill="CCECFF"/>
          </w:tcPr>
          <w:p>
            <w:pPr>
              <w:spacing w:after="0"/>
              <w:rPr>
                <w:sz w:val="20"/>
                <w:szCs w:val="20"/>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10,383</w:t>
            </w:r>
          </w:p>
        </w:tc>
        <w:tc>
          <w:tcPr>
            <w:tcW w:w="46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76,217</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13</w:t>
            </w:r>
            <w:r>
              <w:rPr>
                <w:rFonts w:ascii="Times New Roman" w:cs="Times New Roman" w:eastAsia="Times New Roman" w:hAnsi="Times New Roman"/>
                <w:sz w:val="16"/>
                <w:szCs w:val="16"/>
                <w:color w:val="auto"/>
              </w:rPr>
              <w:t>)</w:t>
            </w:r>
          </w:p>
        </w:tc>
        <w:tc>
          <w:tcPr>
            <w:tcW w:w="240" w:type="dxa"/>
            <w:vAlign w:val="bottom"/>
            <w:shd w:val="clear" w:color="auto" w:fill="CCECFF"/>
          </w:tcPr>
          <w:p>
            <w:pPr>
              <w:spacing w:after="0"/>
              <w:rPr>
                <w:sz w:val="19"/>
                <w:szCs w:val="19"/>
                <w:color w:val="auto"/>
              </w:rPr>
            </w:pPr>
          </w:p>
        </w:tc>
        <w:tc>
          <w:tcPr>
            <w:tcW w:w="1600" w:type="dxa"/>
            <w:vAlign w:val="bottom"/>
            <w:shd w:val="clear" w:color="auto" w:fill="CCECFF"/>
          </w:tcPr>
          <w:p>
            <w:pPr>
              <w:spacing w:after="0"/>
              <w:rPr>
                <w:sz w:val="19"/>
                <w:szCs w:val="19"/>
                <w:color w:val="auto"/>
              </w:rPr>
            </w:pPr>
          </w:p>
        </w:tc>
        <w:tc>
          <w:tcPr>
            <w:tcW w:w="4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5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 March</w:t>
            </w:r>
          </w:p>
        </w:tc>
        <w:tc>
          <w:tcPr>
            <w:tcW w:w="24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5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31, 2024 and December 31, 2023</w:t>
            </w:r>
          </w:p>
        </w:tc>
        <w:tc>
          <w:tcPr>
            <w:tcW w:w="240" w:type="dxa"/>
            <w:vAlign w:val="bottom"/>
            <w:shd w:val="clear" w:color="auto" w:fill="CCECFF"/>
          </w:tcPr>
          <w:p>
            <w:pPr>
              <w:spacing w:after="0"/>
              <w:rPr>
                <w:sz w:val="19"/>
                <w:szCs w:val="19"/>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500,000,000 shares authorized, 312,649,102 and 296,276,536 shares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issued as of March 31, 2024 and December 31, 2023, respectively, and 306,543,330 and</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290,957,862 shares outstanding as of March 31, 2024, and December 31, 2023, respectively</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697,494</w:t>
            </w:r>
          </w:p>
        </w:tc>
        <w:tc>
          <w:tcPr>
            <w:tcW w:w="4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627,822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9"/>
                <w:szCs w:val="19"/>
                <w:color w:val="auto"/>
              </w:rPr>
            </w:pPr>
          </w:p>
        </w:tc>
        <w:tc>
          <w:tcPr>
            <w:tcW w:w="20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(96,877 )</w:t>
            </w:r>
          </w:p>
        </w:tc>
        <w:tc>
          <w:tcPr>
            <w:tcW w:w="1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(136,777 )</w:t>
            </w:r>
          </w:p>
        </w:tc>
        <w:tc>
          <w:tcPr>
            <w:tcW w:w="0" w:type="dxa"/>
            <w:vAlign w:val="bottom"/>
          </w:tcPr>
          <w:p>
            <w:pPr>
              <w:spacing w:after="0"/>
              <w:rPr>
                <w:sz w:val="1"/>
                <w:szCs w:val="1"/>
                <w:color w:val="auto"/>
              </w:rPr>
            </w:pPr>
          </w:p>
        </w:tc>
      </w:tr>
      <w:tr>
        <w:trPr>
          <w:trHeight w:val="212"/>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Treasury stock, at par, 6,105,772 and 5,318,674 shares at March 31, 2024 and December 31, 2023,</w:t>
            </w:r>
          </w:p>
        </w:tc>
        <w:tc>
          <w:tcPr>
            <w:tcW w:w="240" w:type="dxa"/>
            <w:vAlign w:val="bottom"/>
            <w:shd w:val="clear" w:color="auto" w:fill="CCECFF"/>
          </w:tcPr>
          <w:p>
            <w:pPr>
              <w:spacing w:after="0"/>
              <w:rPr>
                <w:sz w:val="18"/>
                <w:szCs w:val="18"/>
                <w:color w:val="auto"/>
              </w:rPr>
            </w:pPr>
          </w:p>
        </w:tc>
        <w:tc>
          <w:tcPr>
            <w:tcW w:w="2060" w:type="dxa"/>
            <w:vAlign w:val="bottom"/>
            <w:gridSpan w:val="2"/>
            <w:vMerge w:val="restart"/>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shd w:val="clear" w:color="auto" w:fill="CCECFF"/>
          </w:tcPr>
          <w:p>
            <w:pPr>
              <w:spacing w:after="0"/>
              <w:rPr>
                <w:sz w:val="18"/>
                <w:szCs w:val="18"/>
                <w:color w:val="auto"/>
              </w:rPr>
            </w:pPr>
          </w:p>
        </w:tc>
        <w:tc>
          <w:tcPr>
            <w:tcW w:w="160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3"/>
        </w:trPr>
        <w:tc>
          <w:tcPr>
            <w:tcW w:w="7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CFF"/>
          </w:tcPr>
          <w:p>
            <w:pPr>
              <w:spacing w:after="0"/>
              <w:rPr>
                <w:sz w:val="18"/>
                <w:szCs w:val="18"/>
                <w:color w:val="auto"/>
              </w:rPr>
            </w:pPr>
          </w:p>
        </w:tc>
        <w:tc>
          <w:tcPr>
            <w:tcW w:w="2060" w:type="dxa"/>
            <w:vAlign w:val="bottom"/>
            <w:gridSpan w:val="2"/>
            <w:vMerge w:val="continue"/>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600" w:type="dxa"/>
            <w:vAlign w:val="bottom"/>
            <w:gridSpan w:val="2"/>
            <w:vMerge w:val="continue"/>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Borders>
              <w:top w:val="single" w:sz="8" w:color="CCEC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600,924</w:t>
            </w:r>
          </w:p>
        </w:tc>
        <w:tc>
          <w:tcPr>
            <w:tcW w:w="460" w:type="dxa"/>
            <w:vAlign w:val="bottom"/>
            <w:tcBorders>
              <w:top w:val="single" w:sz="8" w:color="CCEC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491,336</w:t>
            </w:r>
          </w:p>
        </w:tc>
        <w:tc>
          <w:tcPr>
            <w:tcW w:w="10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2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677,141</w:t>
            </w:r>
          </w:p>
        </w:tc>
        <w:tc>
          <w:tcPr>
            <w:tcW w:w="460" w:type="dxa"/>
            <w:vAlign w:val="bottom"/>
            <w:tcBorders>
              <w:bottom w:val="single" w:sz="8" w:color="CCECFF"/>
            </w:tcBorders>
            <w:shd w:val="clear" w:color="auto" w:fill="CCECFF"/>
          </w:tcPr>
          <w:p>
            <w:pPr>
              <w:spacing w:after="0"/>
              <w:rPr>
                <w:sz w:val="23"/>
                <w:szCs w:val="23"/>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566,137</w:t>
            </w:r>
          </w:p>
        </w:tc>
        <w:tc>
          <w:tcPr>
            <w:tcW w:w="100" w:type="dxa"/>
            <w:vAlign w:val="bottom"/>
            <w:tcBorders>
              <w:bottom w:val="single" w:sz="8" w:color="CCECFF"/>
            </w:tcBorders>
            <w:shd w:val="clear" w:color="auto" w:fill="CCEC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-5280025</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-5280025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-4105275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-2022475</wp:posOffset>
            </wp:positionV>
            <wp:extent cx="76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-334010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7"/>
        </w:trPr>
        <w:tc>
          <w:tcPr>
            <w:tcW w:w="690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Revenue - bitcoin mining</w:t>
            </w:r>
          </w:p>
        </w:tc>
        <w:tc>
          <w:tcPr>
            <w:tcW w:w="500" w:type="dxa"/>
            <w:vAlign w:val="bottom"/>
            <w:tcBorders>
              <w:bottom w:val="single" w:sz="8" w:color="auto"/>
            </w:tcBorders>
            <w:shd w:val="clear" w:color="auto" w:fill="CCEC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48,137</w:t>
            </w:r>
          </w:p>
        </w:tc>
        <w:tc>
          <w:tcPr>
            <w:tcW w:w="480" w:type="dxa"/>
            <w:vAlign w:val="bottom"/>
            <w:tcBorders>
              <w:bottom w:val="single" w:sz="8" w:color="CCECFF"/>
            </w:tcBorders>
            <w:shd w:val="clear" w:color="auto" w:fill="CCECFF"/>
          </w:tcPr>
          <w:p>
            <w:pPr>
              <w:spacing w:after="0"/>
              <w:rPr>
                <w:sz w:val="19"/>
                <w:szCs w:val="19"/>
                <w:color w:val="auto"/>
              </w:rPr>
            </w:pPr>
          </w:p>
        </w:tc>
        <w:tc>
          <w:tcPr>
            <w:tcW w:w="620" w:type="dxa"/>
            <w:vAlign w:val="bottom"/>
            <w:tcBorders>
              <w:bottom w:val="single" w:sz="8" w:color="auto"/>
            </w:tcBorders>
            <w:shd w:val="clear" w:color="auto" w:fill="CCEC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21,895</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69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50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14,820</w:t>
            </w:r>
          </w:p>
        </w:tc>
        <w:tc>
          <w:tcPr>
            <w:tcW w:w="4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8,141</w:t>
            </w:r>
          </w:p>
        </w:tc>
        <w:tc>
          <w:tcPr>
            <w:tcW w:w="100" w:type="dxa"/>
            <w:vAlign w:val="bottom"/>
            <w:shd w:val="clear" w:color="auto" w:fill="CCECFF"/>
          </w:tcPr>
          <w:p>
            <w:pPr>
              <w:spacing w:after="0"/>
              <w:rPr>
                <w:sz w:val="20"/>
                <w:szCs w:val="20"/>
                <w:color w:val="auto"/>
              </w:rPr>
            </w:pPr>
          </w:p>
        </w:tc>
      </w:tr>
      <w:tr>
        <w:trPr>
          <w:trHeight w:val="220"/>
        </w:trPr>
        <w:tc>
          <w:tcPr>
            <w:tcW w:w="6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13,036</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100" w:type="dxa"/>
            <w:vAlign w:val="bottom"/>
          </w:tcPr>
          <w:p>
            <w:pPr>
              <w:spacing w:after="0"/>
              <w:rPr>
                <w:sz w:val="19"/>
                <w:szCs w:val="19"/>
                <w:color w:val="auto"/>
              </w:rPr>
            </w:pPr>
          </w:p>
        </w:tc>
      </w:tr>
      <w:tr>
        <w:trPr>
          <w:trHeight w:val="239"/>
        </w:trPr>
        <w:tc>
          <w:tcPr>
            <w:tcW w:w="69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4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5,483</w:t>
            </w:r>
          </w:p>
        </w:tc>
        <w:tc>
          <w:tcPr>
            <w:tcW w:w="100" w:type="dxa"/>
            <w:vAlign w:val="bottom"/>
            <w:shd w:val="clear" w:color="auto" w:fill="CCECFF"/>
          </w:tcPr>
          <w:p>
            <w:pPr>
              <w:spacing w:after="0"/>
              <w:rPr>
                <w:sz w:val="20"/>
                <w:szCs w:val="20"/>
                <w:color w:val="auto"/>
              </w:rPr>
            </w:pPr>
          </w:p>
        </w:tc>
      </w:tr>
      <w:tr>
        <w:trPr>
          <w:trHeight w:val="220"/>
        </w:trPr>
        <w:tc>
          <w:tcPr>
            <w:tcW w:w="6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17,244</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11,655</w:t>
            </w:r>
          </w:p>
        </w:tc>
        <w:tc>
          <w:tcPr>
            <w:tcW w:w="100" w:type="dxa"/>
            <w:vAlign w:val="bottom"/>
          </w:tcPr>
          <w:p>
            <w:pPr>
              <w:spacing w:after="0"/>
              <w:rPr>
                <w:sz w:val="19"/>
                <w:szCs w:val="19"/>
                <w:color w:val="auto"/>
              </w:rPr>
            </w:pPr>
          </w:p>
        </w:tc>
      </w:tr>
      <w:tr>
        <w:trPr>
          <w:trHeight w:val="239"/>
        </w:trPr>
        <w:tc>
          <w:tcPr>
            <w:tcW w:w="69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500" w:type="dxa"/>
            <w:vAlign w:val="bottom"/>
            <w:shd w:val="clear" w:color="auto" w:fill="CCECFF"/>
          </w:tcPr>
          <w:p>
            <w:pPr>
              <w:spacing w:after="0"/>
              <w:rPr>
                <w:sz w:val="20"/>
                <w:szCs w:val="20"/>
                <w:color w:val="auto"/>
              </w:rPr>
            </w:pPr>
          </w:p>
        </w:tc>
        <w:tc>
          <w:tcPr>
            <w:tcW w:w="2100" w:type="dxa"/>
            <w:vAlign w:val="bottom"/>
            <w:gridSpan w:val="2"/>
            <w:shd w:val="clear" w:color="auto" w:fill="CCECFF"/>
          </w:tcPr>
          <w:p>
            <w:pPr>
              <w:jc w:val="right"/>
              <w:ind w:right="420"/>
              <w:spacing w:after="0"/>
              <w:rPr>
                <w:sz w:val="20"/>
                <w:szCs w:val="20"/>
                <w:color w:val="auto"/>
              </w:rPr>
            </w:pPr>
            <w:r>
              <w:rPr>
                <w:rFonts w:ascii="Times New Roman" w:cs="Times New Roman" w:eastAsia="Times New Roman" w:hAnsi="Times New Roman"/>
                <w:sz w:val="16"/>
                <w:szCs w:val="16"/>
                <w:color w:val="auto"/>
              </w:rPr>
              <w:t>(7,359 )</w:t>
            </w:r>
          </w:p>
        </w:tc>
        <w:tc>
          <w:tcPr>
            <w:tcW w:w="62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(5,328 )</w:t>
            </w:r>
          </w:p>
        </w:tc>
      </w:tr>
      <w:tr>
        <w:trPr>
          <w:trHeight w:val="220"/>
        </w:trPr>
        <w:tc>
          <w:tcPr>
            <w:tcW w:w="6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 sales</w:t>
            </w:r>
          </w:p>
        </w:tc>
        <w:tc>
          <w:tcPr>
            <w:tcW w:w="500" w:type="dxa"/>
            <w:vAlign w:val="bottom"/>
          </w:tcPr>
          <w:p>
            <w:pPr>
              <w:spacing w:after="0"/>
              <w:rPr>
                <w:sz w:val="19"/>
                <w:szCs w:val="19"/>
                <w:color w:val="auto"/>
              </w:rPr>
            </w:pPr>
          </w:p>
        </w:tc>
        <w:tc>
          <w:tcPr>
            <w:tcW w:w="2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(1,173 )</w:t>
            </w:r>
          </w:p>
        </w:tc>
        <w:tc>
          <w:tcPr>
            <w:tcW w:w="6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39"/>
        </w:trPr>
        <w:tc>
          <w:tcPr>
            <w:tcW w:w="69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(gains) losses of equity investees</w:t>
            </w:r>
          </w:p>
        </w:tc>
        <w:tc>
          <w:tcPr>
            <w:tcW w:w="500" w:type="dxa"/>
            <w:vAlign w:val="bottom"/>
            <w:shd w:val="clear" w:color="auto" w:fill="CCECFF"/>
          </w:tcPr>
          <w:p>
            <w:pPr>
              <w:spacing w:after="0"/>
              <w:rPr>
                <w:sz w:val="20"/>
                <w:szCs w:val="20"/>
                <w:color w:val="auto"/>
              </w:rPr>
            </w:pPr>
          </w:p>
        </w:tc>
        <w:tc>
          <w:tcPr>
            <w:tcW w:w="2100" w:type="dxa"/>
            <w:vAlign w:val="bottom"/>
            <w:gridSpan w:val="2"/>
            <w:shd w:val="clear" w:color="auto" w:fill="CCECFF"/>
          </w:tcPr>
          <w:p>
            <w:pPr>
              <w:jc w:val="right"/>
              <w:ind w:right="420"/>
              <w:spacing w:after="0"/>
              <w:rPr>
                <w:sz w:val="20"/>
                <w:szCs w:val="20"/>
                <w:color w:val="auto"/>
              </w:rPr>
            </w:pPr>
            <w:r>
              <w:rPr>
                <w:rFonts w:ascii="Times New Roman" w:cs="Times New Roman" w:eastAsia="Times New Roman" w:hAnsi="Times New Roman"/>
                <w:sz w:val="16"/>
                <w:szCs w:val="16"/>
                <w:color w:val="auto"/>
              </w:rPr>
              <w:t>(738 )</w:t>
            </w:r>
          </w:p>
        </w:tc>
        <w:tc>
          <w:tcPr>
            <w:tcW w:w="62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CFF"/>
          </w:tcPr>
          <w:p>
            <w:pPr>
              <w:spacing w:after="0"/>
              <w:rPr>
                <w:sz w:val="20"/>
                <w:szCs w:val="20"/>
                <w:color w:val="auto"/>
              </w:rPr>
            </w:pPr>
          </w:p>
        </w:tc>
      </w:tr>
      <w:tr>
        <w:trPr>
          <w:trHeight w:val="220"/>
        </w:trPr>
        <w:tc>
          <w:tcPr>
            <w:tcW w:w="6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Gains on fair value of bitcoin</w:t>
            </w:r>
          </w:p>
        </w:tc>
        <w:tc>
          <w:tcPr>
            <w:tcW w:w="500" w:type="dxa"/>
            <w:vAlign w:val="bottom"/>
          </w:tcPr>
          <w:p>
            <w:pPr>
              <w:spacing w:after="0"/>
              <w:rPr>
                <w:sz w:val="19"/>
                <w:szCs w:val="19"/>
                <w:color w:val="auto"/>
              </w:rPr>
            </w:pPr>
          </w:p>
        </w:tc>
        <w:tc>
          <w:tcPr>
            <w:tcW w:w="2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(40,556 )</w:t>
            </w:r>
          </w:p>
        </w:tc>
        <w:tc>
          <w:tcPr>
            <w:tcW w:w="6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(4,264 )</w:t>
            </w:r>
          </w:p>
        </w:tc>
      </w:tr>
      <w:tr>
        <w:trPr>
          <w:trHeight w:val="236"/>
        </w:trPr>
        <w:tc>
          <w:tcPr>
            <w:tcW w:w="69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Other gains</w:t>
            </w:r>
          </w:p>
        </w:tc>
        <w:tc>
          <w:tcPr>
            <w:tcW w:w="50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(2,260 )</w:t>
            </w:r>
          </w:p>
        </w:tc>
      </w:tr>
      <w:tr>
        <w:trPr>
          <w:trHeight w:val="223"/>
        </w:trPr>
        <w:tc>
          <w:tcPr>
            <w:tcW w:w="6900" w:type="dxa"/>
            <w:vAlign w:val="bottom"/>
            <w:tcBorders>
              <w:top w:val="single" w:sz="8" w:color="CCECFF"/>
            </w:tcBorders>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 (income)</w:t>
            </w:r>
          </w:p>
        </w:tc>
        <w:tc>
          <w:tcPr>
            <w:tcW w:w="5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480" w:type="dxa"/>
            <w:vAlign w:val="bottom"/>
            <w:tcBorders>
              <w:top w:val="single" w:sz="8" w:color="CCEC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26,016</w:t>
            </w:r>
          </w:p>
        </w:tc>
        <w:tc>
          <w:tcPr>
            <w:tcW w:w="100" w:type="dxa"/>
            <w:vAlign w:val="bottom"/>
            <w:tcBorders>
              <w:top w:val="single" w:sz="8" w:color="CCECFF"/>
            </w:tcBorders>
          </w:tcPr>
          <w:p>
            <w:pPr>
              <w:spacing w:after="0"/>
              <w:rPr>
                <w:sz w:val="19"/>
                <w:szCs w:val="19"/>
                <w:color w:val="auto"/>
              </w:rPr>
            </w:pPr>
          </w:p>
        </w:tc>
      </w:tr>
      <w:tr>
        <w:trPr>
          <w:trHeight w:val="223"/>
        </w:trPr>
        <w:tc>
          <w:tcPr>
            <w:tcW w:w="69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Operating income (loss)</w:t>
            </w:r>
          </w:p>
        </w:tc>
        <w:tc>
          <w:tcPr>
            <w:tcW w:w="500" w:type="dxa"/>
            <w:vAlign w:val="bottom"/>
            <w:shd w:val="clear" w:color="auto" w:fill="CCECFF"/>
          </w:tcPr>
          <w:p>
            <w:pPr>
              <w:spacing w:after="0"/>
              <w:rPr>
                <w:sz w:val="19"/>
                <w:szCs w:val="19"/>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46,786</w:t>
            </w:r>
          </w:p>
        </w:tc>
        <w:tc>
          <w:tcPr>
            <w:tcW w:w="4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(4,121 )</w:t>
            </w:r>
          </w:p>
        </w:tc>
      </w:tr>
      <w:tr>
        <w:trPr>
          <w:trHeight w:val="216"/>
        </w:trPr>
        <w:tc>
          <w:tcPr>
            <w:tcW w:w="6900" w:type="dxa"/>
            <w:vAlign w:val="bottom"/>
            <w:tcBorders>
              <w:top w:val="single" w:sz="8" w:color="CCECFF"/>
            </w:tcBorders>
          </w:tcPr>
          <w:p>
            <w:pPr>
              <w:ind w:left="60"/>
              <w:spacing w:after="0"/>
              <w:rPr>
                <w:sz w:val="20"/>
                <w:szCs w:val="20"/>
                <w:color w:val="auto"/>
              </w:rPr>
            </w:pPr>
            <w:r>
              <w:rPr>
                <w:rFonts w:ascii="Times New Roman" w:cs="Times New Roman" w:eastAsia="Times New Roman" w:hAnsi="Times New Roman"/>
                <w:sz w:val="16"/>
                <w:szCs w:val="16"/>
                <w:color w:val="auto"/>
              </w:rPr>
              <w:t>Other income (expense)</w:t>
            </w:r>
          </w:p>
        </w:tc>
        <w:tc>
          <w:tcPr>
            <w:tcW w:w="5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480" w:type="dxa"/>
            <w:vAlign w:val="bottom"/>
            <w:tcBorders>
              <w:top w:val="single" w:sz="8" w:color="CCEC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239"/>
        </w:trPr>
        <w:tc>
          <w:tcPr>
            <w:tcW w:w="69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50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4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CFF"/>
          </w:tcPr>
          <w:p>
            <w:pPr>
              <w:spacing w:after="0"/>
              <w:rPr>
                <w:sz w:val="20"/>
                <w:szCs w:val="20"/>
                <w:color w:val="auto"/>
              </w:rPr>
            </w:pPr>
          </w:p>
        </w:tc>
      </w:tr>
      <w:tr>
        <w:trPr>
          <w:trHeight w:val="220"/>
        </w:trPr>
        <w:tc>
          <w:tcPr>
            <w:tcW w:w="6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500" w:type="dxa"/>
            <w:vAlign w:val="bottom"/>
          </w:tcPr>
          <w:p>
            <w:pPr>
              <w:spacing w:after="0"/>
              <w:rPr>
                <w:sz w:val="19"/>
                <w:szCs w:val="19"/>
                <w:color w:val="auto"/>
              </w:rPr>
            </w:pPr>
          </w:p>
        </w:tc>
        <w:tc>
          <w:tcPr>
            <w:tcW w:w="2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(400 )</w:t>
            </w:r>
          </w:p>
        </w:tc>
        <w:tc>
          <w:tcPr>
            <w:tcW w:w="6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(401 )</w:t>
            </w:r>
          </w:p>
        </w:tc>
      </w:tr>
      <w:tr>
        <w:trPr>
          <w:trHeight w:val="239"/>
        </w:trPr>
        <w:tc>
          <w:tcPr>
            <w:tcW w:w="69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50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4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(37 )</w:t>
            </w:r>
          </w:p>
        </w:tc>
      </w:tr>
      <w:tr>
        <w:trPr>
          <w:trHeight w:val="226"/>
        </w:trPr>
        <w:tc>
          <w:tcPr>
            <w:tcW w:w="6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expense</w:t>
            </w:r>
          </w:p>
        </w:tc>
        <w:tc>
          <w:tcPr>
            <w:tcW w:w="500" w:type="dxa"/>
            <w:vAlign w:val="bottom"/>
          </w:tcPr>
          <w:p>
            <w:pPr>
              <w:spacing w:after="0"/>
              <w:rPr>
                <w:sz w:val="19"/>
                <w:szCs w:val="19"/>
                <w:color w:val="auto"/>
              </w:rPr>
            </w:pPr>
          </w:p>
        </w:tc>
        <w:tc>
          <w:tcPr>
            <w:tcW w:w="2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(1,958 )</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500" w:type="dxa"/>
            <w:vAlign w:val="bottom"/>
            <w:shd w:val="clear" w:color="auto" w:fill="CCECFF"/>
          </w:tcPr>
          <w:p>
            <w:pPr>
              <w:spacing w:after="0"/>
              <w:rPr>
                <w:sz w:val="19"/>
                <w:szCs w:val="19"/>
                <w:color w:val="auto"/>
              </w:rPr>
            </w:pPr>
          </w:p>
        </w:tc>
        <w:tc>
          <w:tcPr>
            <w:tcW w:w="2100" w:type="dxa"/>
            <w:vAlign w:val="bottom"/>
            <w:gridSpan w:val="2"/>
            <w:shd w:val="clear" w:color="auto" w:fill="CCECFF"/>
          </w:tcPr>
          <w:p>
            <w:pPr>
              <w:jc w:val="right"/>
              <w:ind w:right="420"/>
              <w:spacing w:after="0"/>
              <w:rPr>
                <w:sz w:val="20"/>
                <w:szCs w:val="20"/>
                <w:color w:val="auto"/>
              </w:rPr>
            </w:pPr>
            <w:r>
              <w:rPr>
                <w:rFonts w:ascii="Times New Roman" w:cs="Times New Roman" w:eastAsia="Times New Roman" w:hAnsi="Times New Roman"/>
                <w:sz w:val="16"/>
                <w:szCs w:val="16"/>
                <w:color w:val="auto"/>
              </w:rPr>
              <w:t>(1,322 )</w:t>
            </w:r>
          </w:p>
        </w:tc>
        <w:tc>
          <w:tcPr>
            <w:tcW w:w="62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(362 )</w:t>
            </w:r>
          </w:p>
        </w:tc>
      </w:tr>
      <w:tr>
        <w:trPr>
          <w:trHeight w:val="20"/>
        </w:trPr>
        <w:tc>
          <w:tcPr>
            <w:tcW w:w="6900" w:type="dxa"/>
            <w:vAlign w:val="bottom"/>
            <w:shd w:val="clear" w:color="auto" w:fill="CCEC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0" w:type="dxa"/>
            <w:vAlign w:val="bottom"/>
            <w:shd w:val="clear" w:color="auto" w:fill="CCEC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(loss) before taxes</w:t>
            </w: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45,464</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(4,483 )</w:t>
            </w:r>
          </w:p>
        </w:tc>
      </w:tr>
      <w:tr>
        <w:trPr>
          <w:trHeight w:val="239"/>
        </w:trPr>
        <w:tc>
          <w:tcPr>
            <w:tcW w:w="69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500" w:type="dxa"/>
            <w:vAlign w:val="bottom"/>
            <w:shd w:val="clear" w:color="auto" w:fill="CCECFF"/>
          </w:tcPr>
          <w:p>
            <w:pPr>
              <w:spacing w:after="0"/>
              <w:rPr>
                <w:sz w:val="20"/>
                <w:szCs w:val="20"/>
                <w:color w:val="auto"/>
              </w:rPr>
            </w:pPr>
          </w:p>
        </w:tc>
        <w:tc>
          <w:tcPr>
            <w:tcW w:w="2100" w:type="dxa"/>
            <w:vAlign w:val="bottom"/>
            <w:gridSpan w:val="2"/>
            <w:shd w:val="clear" w:color="auto" w:fill="CCECFF"/>
          </w:tcPr>
          <w:p>
            <w:pPr>
              <w:jc w:val="right"/>
              <w:ind w:right="420"/>
              <w:spacing w:after="0"/>
              <w:rPr>
                <w:sz w:val="20"/>
                <w:szCs w:val="20"/>
                <w:color w:val="auto"/>
              </w:rPr>
            </w:pPr>
            <w:r>
              <w:rPr>
                <w:rFonts w:ascii="Times New Roman" w:cs="Times New Roman" w:eastAsia="Times New Roman" w:hAnsi="Times New Roman"/>
                <w:sz w:val="16"/>
                <w:szCs w:val="16"/>
                <w:color w:val="auto"/>
              </w:rPr>
              <w:t>(386 )</w:t>
            </w:r>
          </w:p>
        </w:tc>
        <w:tc>
          <w:tcPr>
            <w:tcW w:w="62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26"/>
        </w:trPr>
        <w:tc>
          <w:tcPr>
            <w:tcW w:w="6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500" w:type="dxa"/>
            <w:vAlign w:val="bottom"/>
          </w:tcPr>
          <w:p>
            <w:pPr>
              <w:spacing w:after="0"/>
              <w:rPr>
                <w:sz w:val="19"/>
                <w:szCs w:val="19"/>
                <w:color w:val="auto"/>
              </w:rPr>
            </w:pPr>
          </w:p>
        </w:tc>
        <w:tc>
          <w:tcPr>
            <w:tcW w:w="2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(5,178 )</w:t>
            </w:r>
          </w:p>
        </w:tc>
        <w:tc>
          <w:tcPr>
            <w:tcW w:w="6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r>
      <w:tr>
        <w:trPr>
          <w:trHeight w:val="20"/>
        </w:trPr>
        <w:tc>
          <w:tcPr>
            <w:tcW w:w="6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Total income tax expense</w:t>
            </w:r>
          </w:p>
        </w:tc>
        <w:tc>
          <w:tcPr>
            <w:tcW w:w="500" w:type="dxa"/>
            <w:vAlign w:val="bottom"/>
            <w:shd w:val="clear" w:color="auto" w:fill="CCECFF"/>
          </w:tcPr>
          <w:p>
            <w:pPr>
              <w:spacing w:after="0"/>
              <w:rPr>
                <w:sz w:val="19"/>
                <w:szCs w:val="19"/>
                <w:color w:val="auto"/>
              </w:rPr>
            </w:pPr>
          </w:p>
        </w:tc>
        <w:tc>
          <w:tcPr>
            <w:tcW w:w="2100" w:type="dxa"/>
            <w:vAlign w:val="bottom"/>
            <w:gridSpan w:val="2"/>
            <w:shd w:val="clear" w:color="auto" w:fill="CCECFF"/>
          </w:tcPr>
          <w:p>
            <w:pPr>
              <w:jc w:val="right"/>
              <w:ind w:right="420"/>
              <w:spacing w:after="0"/>
              <w:rPr>
                <w:sz w:val="20"/>
                <w:szCs w:val="20"/>
                <w:color w:val="auto"/>
              </w:rPr>
            </w:pPr>
            <w:r>
              <w:rPr>
                <w:rFonts w:ascii="Times New Roman" w:cs="Times New Roman" w:eastAsia="Times New Roman" w:hAnsi="Times New Roman"/>
                <w:sz w:val="16"/>
                <w:szCs w:val="16"/>
                <w:color w:val="auto"/>
              </w:rPr>
              <w:t>(5,564 )</w:t>
            </w:r>
          </w:p>
        </w:tc>
        <w:tc>
          <w:tcPr>
            <w:tcW w:w="62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(70 )</w:t>
            </w:r>
          </w:p>
        </w:tc>
      </w:tr>
      <w:tr>
        <w:trPr>
          <w:trHeight w:val="20"/>
        </w:trPr>
        <w:tc>
          <w:tcPr>
            <w:tcW w:w="6900" w:type="dxa"/>
            <w:vAlign w:val="bottom"/>
            <w:shd w:val="clear" w:color="auto" w:fill="CCEC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0" w:type="dxa"/>
            <w:vAlign w:val="bottom"/>
            <w:shd w:val="clear" w:color="auto" w:fill="CCEC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6"/>
        </w:trPr>
        <w:tc>
          <w:tcPr>
            <w:tcW w:w="6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 (loss)</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39,900</w:t>
            </w:r>
          </w:p>
        </w:tc>
        <w:tc>
          <w:tcPr>
            <w:tcW w:w="48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(4,553 )</w:t>
            </w:r>
          </w:p>
        </w:tc>
      </w:tr>
      <w:tr>
        <w:trPr>
          <w:trHeight w:val="20"/>
        </w:trPr>
        <w:tc>
          <w:tcPr>
            <w:tcW w:w="6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Net income (loss) per share - basic and diluted</w:t>
            </w:r>
          </w:p>
        </w:tc>
        <w:tc>
          <w:tcPr>
            <w:tcW w:w="500" w:type="dxa"/>
            <w:vAlign w:val="bottom"/>
            <w:shd w:val="clear" w:color="auto" w:fill="CCEC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48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(0.02 )</w:t>
            </w:r>
          </w:p>
        </w:tc>
      </w:tr>
      <w:tr>
        <w:trPr>
          <w:trHeight w:val="220"/>
        </w:trPr>
        <w:tc>
          <w:tcPr>
            <w:tcW w:w="6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296,641,499</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248,654,082</w:t>
            </w:r>
          </w:p>
        </w:tc>
        <w:tc>
          <w:tcPr>
            <w:tcW w:w="100" w:type="dxa"/>
            <w:vAlign w:val="bottom"/>
          </w:tcPr>
          <w:p>
            <w:pPr>
              <w:spacing w:after="0"/>
              <w:rPr>
                <w:sz w:val="19"/>
                <w:szCs w:val="19"/>
                <w:color w:val="auto"/>
              </w:rPr>
            </w:pPr>
          </w:p>
        </w:tc>
      </w:tr>
      <w:tr>
        <w:trPr>
          <w:trHeight w:val="239"/>
        </w:trPr>
        <w:tc>
          <w:tcPr>
            <w:tcW w:w="69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50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304,397,979</w:t>
            </w:r>
          </w:p>
        </w:tc>
        <w:tc>
          <w:tcPr>
            <w:tcW w:w="4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248,654,082</w:t>
            </w:r>
          </w:p>
        </w:tc>
        <w:tc>
          <w:tcPr>
            <w:tcW w:w="100" w:type="dxa"/>
            <w:vAlign w:val="bottom"/>
            <w:shd w:val="clear" w:color="auto" w:fill="CCEC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-3882390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-2416810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-2108200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-1216660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-616585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180"/>
          </w:cols>
          <w:pgMar w:left="340"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p>
      <w:pPr>
        <w:spacing w:after="0" w:line="48" w:lineRule="exact"/>
        <w:rPr>
          <w:sz w:val="20"/>
          <w:szCs w:val="20"/>
          <w:color w:val="auto"/>
        </w:rPr>
      </w:pPr>
    </w:p>
    <w:p>
      <w:pPr>
        <w:ind w:left="100"/>
        <w:spacing w:after="0" w:line="281" w:lineRule="auto"/>
        <w:rPr>
          <w:sz w:val="20"/>
          <w:szCs w:val="20"/>
          <w:color w:val="auto"/>
        </w:rPr>
      </w:pPr>
      <w:r>
        <w:rPr>
          <w:rFonts w:ascii="Times New Roman" w:cs="Times New Roman" w:eastAsia="Times New Roman" w:hAnsi="Times New Roman"/>
          <w:sz w:val="16"/>
          <w:szCs w:val="16"/>
          <w:color w:val="auto"/>
        </w:rPr>
        <w:t>Issuance of common shares, net of offering costs - At-the-market offering</w:t>
      </w:r>
    </w:p>
    <w:p>
      <w:pPr>
        <w:spacing w:after="0" w:line="1" w:lineRule="exact"/>
        <w:rPr>
          <w:sz w:val="20"/>
          <w:szCs w:val="20"/>
          <w:color w:val="auto"/>
        </w:rPr>
      </w:pPr>
    </w:p>
    <w:p>
      <w:pPr>
        <w:ind w:left="100" w:right="100"/>
        <w:spacing w:after="0" w:line="275" w:lineRule="auto"/>
        <w:rPr>
          <w:sz w:val="20"/>
          <w:szCs w:val="20"/>
          <w:color w:val="auto"/>
        </w:rPr>
      </w:pPr>
      <w:r>
        <w:rPr>
          <w:rFonts w:ascii="Times New Roman" w:cs="Times New Roman" w:eastAsia="Times New Roman" w:hAnsi="Times New Roman"/>
          <w:sz w:val="16"/>
          <w:szCs w:val="16"/>
          <w:color w:val="auto"/>
        </w:rPr>
        <w:t>Delivery of common stock underlying restricted stock units, net of shares settled for tax withholding settlement</w:t>
      </w:r>
    </w:p>
    <w:p>
      <w:pPr>
        <w:spacing w:after="0" w:line="2" w:lineRule="exact"/>
        <w:rPr>
          <w:sz w:val="20"/>
          <w:szCs w:val="20"/>
          <w:color w:val="auto"/>
        </w:rPr>
      </w:pPr>
    </w:p>
    <w:p>
      <w:pPr>
        <w:ind w:left="100" w:right="1080"/>
        <w:spacing w:after="0" w:line="351" w:lineRule="auto"/>
        <w:rPr>
          <w:sz w:val="20"/>
          <w:szCs w:val="20"/>
          <w:color w:val="auto"/>
        </w:rPr>
      </w:pPr>
      <w:r>
        <w:rPr>
          <w:rFonts w:ascii="Times New Roman" w:cs="Times New Roman" w:eastAsia="Times New Roman" w:hAnsi="Times New Roman"/>
          <w:sz w:val="16"/>
          <w:szCs w:val="16"/>
          <w:color w:val="auto"/>
        </w:rPr>
        <w:t>Share-based compensation Net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25"/>
        </w:trPr>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ed Deficit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(5,318,67</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3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(136,777 )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c>
          <w:tcPr>
            <w:tcW w:w="60" w:type="dxa"/>
            <w:vAlign w:val="bottom"/>
          </w:tcPr>
          <w:p>
            <w:pPr>
              <w:spacing w:after="0"/>
              <w:rPr>
                <w:sz w:val="18"/>
                <w:szCs w:val="18"/>
                <w:color w:val="auto"/>
              </w:rPr>
            </w:pPr>
          </w:p>
        </w:tc>
      </w:tr>
      <w:tr>
        <w:trPr>
          <w:trHeight w:val="43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14,246,235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64,546</w:t>
            </w:r>
          </w:p>
        </w:tc>
        <w:tc>
          <w:tcPr>
            <w:tcW w:w="60" w:type="dxa"/>
            <w:vAlign w:val="bottom"/>
          </w:tcPr>
          <w:p>
            <w:pPr>
              <w:spacing w:after="0"/>
              <w:rPr>
                <w:sz w:val="24"/>
                <w:szCs w:val="24"/>
                <w:color w:val="auto"/>
              </w:rPr>
            </w:pPr>
          </w:p>
        </w:tc>
      </w:tr>
      <w:tr>
        <w:trPr>
          <w:trHeight w:val="635"/>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2,059,390</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(3,177 )</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(787,098 )</w:t>
            </w: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(3,175 )</w:t>
            </w:r>
          </w:p>
        </w:tc>
      </w:tr>
      <w:tr>
        <w:trPr>
          <w:trHeight w:val="229"/>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66,941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60" w:type="dxa"/>
            <w:vAlign w:val="bottom"/>
          </w:tcPr>
          <w:p>
            <w:pPr>
              <w:spacing w:after="0"/>
              <w:rPr>
                <w:sz w:val="19"/>
                <w:szCs w:val="19"/>
                <w:color w:val="auto"/>
              </w:rPr>
            </w:pPr>
          </w:p>
        </w:tc>
      </w:tr>
      <w:tr>
        <w:trPr>
          <w:trHeight w:val="243"/>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39,900</w:t>
            </w:r>
          </w:p>
        </w:tc>
        <w:tc>
          <w:tcPr>
            <w:tcW w:w="2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39,900</w:t>
            </w:r>
          </w:p>
        </w:tc>
        <w:tc>
          <w:tcPr>
            <w:tcW w:w="60" w:type="dxa"/>
            <w:vAlign w:val="bottom"/>
          </w:tcPr>
          <w:p>
            <w:pPr>
              <w:spacing w:after="0"/>
              <w:rPr>
                <w:sz w:val="21"/>
                <w:szCs w:val="21"/>
                <w:color w:val="auto"/>
              </w:rPr>
            </w:pPr>
          </w:p>
        </w:tc>
      </w:tr>
      <w:tr>
        <w:trPr>
          <w:trHeight w:val="200"/>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(6,105,77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312,649,102</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697,494</w:t>
            </w:r>
          </w:p>
        </w:tc>
        <w:tc>
          <w:tcPr>
            <w:tcW w:w="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(96,877 )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600,924</w:t>
            </w:r>
          </w:p>
        </w:tc>
        <w:tc>
          <w:tcPr>
            <w:tcW w:w="60" w:type="dxa"/>
            <w:vAlign w:val="bottom"/>
          </w:tcPr>
          <w:p>
            <w:pPr>
              <w:spacing w:after="0"/>
              <w:rPr>
                <w:sz w:val="19"/>
                <w:szCs w:val="19"/>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-1550670</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-1002665</wp:posOffset>
            </wp:positionV>
            <wp:extent cx="7132320" cy="403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-454025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900" w:space="60"/>
            <w:col w:w="8220"/>
          </w:cols>
          <w:pgMar w:left="340" w:top="98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p>
      <w:pPr>
        <w:spacing w:after="0" w:line="48" w:lineRule="exact"/>
        <w:rPr>
          <w:sz w:val="20"/>
          <w:szCs w:val="20"/>
          <w:color w:val="auto"/>
        </w:rPr>
      </w:pPr>
    </w:p>
    <w:p>
      <w:pPr>
        <w:ind w:left="100" w:right="40"/>
        <w:spacing w:after="0" w:line="281" w:lineRule="auto"/>
        <w:rPr>
          <w:sz w:val="20"/>
          <w:szCs w:val="20"/>
          <w:color w:val="auto"/>
        </w:rPr>
      </w:pPr>
      <w:r>
        <w:rPr>
          <w:rFonts w:ascii="Times New Roman" w:cs="Times New Roman" w:eastAsia="Times New Roman" w:hAnsi="Times New Roman"/>
          <w:sz w:val="16"/>
          <w:szCs w:val="16"/>
          <w:color w:val="auto"/>
        </w:rPr>
        <w:t>Cumulative effect upon adoption of ASU 2023-08</w:t>
      </w:r>
    </w:p>
    <w:p>
      <w:pPr>
        <w:spacing w:after="0" w:line="1" w:lineRule="exact"/>
        <w:rPr>
          <w:sz w:val="20"/>
          <w:szCs w:val="20"/>
          <w:color w:val="auto"/>
        </w:rPr>
      </w:pPr>
    </w:p>
    <w:p>
      <w:pPr>
        <w:ind w:left="100"/>
        <w:spacing w:after="0" w:line="275" w:lineRule="auto"/>
        <w:rPr>
          <w:sz w:val="20"/>
          <w:szCs w:val="20"/>
          <w:color w:val="auto"/>
        </w:rPr>
      </w:pPr>
      <w:r>
        <w:rPr>
          <w:rFonts w:ascii="Times New Roman" w:cs="Times New Roman" w:eastAsia="Times New Roman" w:hAnsi="Times New Roman"/>
          <w:sz w:val="16"/>
          <w:szCs w:val="16"/>
          <w:color w:val="auto"/>
        </w:rPr>
        <w:t>Delivery of common stock underlying restricted stock units, net of shares settled for tax withholding settlement</w:t>
      </w:r>
    </w:p>
    <w:p>
      <w:pPr>
        <w:spacing w:after="0" w:line="2" w:lineRule="exact"/>
        <w:rPr>
          <w:sz w:val="20"/>
          <w:szCs w:val="20"/>
          <w:color w:val="auto"/>
        </w:rPr>
      </w:pPr>
    </w:p>
    <w:p>
      <w:pPr>
        <w:ind w:left="100" w:right="980"/>
        <w:spacing w:after="0" w:line="351" w:lineRule="auto"/>
        <w:rPr>
          <w:sz w:val="20"/>
          <w:szCs w:val="20"/>
          <w:color w:val="auto"/>
        </w:rPr>
      </w:pPr>
      <w:r>
        <w:rPr>
          <w:rFonts w:ascii="Times New Roman" w:cs="Times New Roman" w:eastAsia="Times New Roman" w:hAnsi="Times New Roman"/>
          <w:sz w:val="16"/>
          <w:szCs w:val="16"/>
          <w:color w:val="auto"/>
        </w:rPr>
        <w:t>Share-based compensation Net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25"/>
        </w:trPr>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ed Deficit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(3,543,34</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251,095,305</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453,854</w:t>
            </w:r>
          </w:p>
        </w:tc>
        <w:tc>
          <w:tcPr>
            <w:tcW w:w="3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(111,209 )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342,892</w:t>
            </w:r>
          </w:p>
        </w:tc>
        <w:tc>
          <w:tcPr>
            <w:tcW w:w="60" w:type="dxa"/>
            <w:vAlign w:val="bottom"/>
          </w:tcPr>
          <w:p>
            <w:pPr>
              <w:spacing w:after="0"/>
              <w:rPr>
                <w:sz w:val="18"/>
                <w:szCs w:val="18"/>
                <w:color w:val="auto"/>
              </w:rPr>
            </w:pPr>
          </w:p>
        </w:tc>
      </w:tr>
      <w:tr>
        <w:trPr>
          <w:trHeight w:val="432"/>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60" w:type="dxa"/>
            <w:vAlign w:val="bottom"/>
          </w:tcPr>
          <w:p>
            <w:pPr>
              <w:spacing w:after="0"/>
              <w:rPr>
                <w:sz w:val="24"/>
                <w:szCs w:val="24"/>
                <w:color w:val="auto"/>
              </w:rPr>
            </w:pPr>
          </w:p>
        </w:tc>
      </w:tr>
      <w:tr>
        <w:trPr>
          <w:trHeight w:val="634"/>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1,954,783</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(483 )</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(600,734 )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(481 )</w:t>
            </w:r>
          </w:p>
        </w:tc>
      </w:tr>
      <w:tr>
        <w:trPr>
          <w:trHeight w:val="230"/>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60" w:type="dxa"/>
            <w:vAlign w:val="bottom"/>
          </w:tcPr>
          <w:p>
            <w:pPr>
              <w:spacing w:after="0"/>
              <w:rPr>
                <w:sz w:val="19"/>
                <w:szCs w:val="19"/>
                <w:color w:val="auto"/>
              </w:rPr>
            </w:pPr>
          </w:p>
        </w:tc>
      </w:tr>
      <w:tr>
        <w:trPr>
          <w:trHeight w:val="243"/>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(4,553 )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(4,553 )</w:t>
            </w:r>
          </w:p>
        </w:tc>
      </w:tr>
      <w:tr>
        <w:trPr>
          <w:trHeight w:val="200"/>
        </w:trPr>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(4,144,08</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253,050,088</w:t>
            </w:r>
          </w:p>
        </w:tc>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462,181</w:t>
            </w:r>
          </w:p>
        </w:tc>
        <w:tc>
          <w:tcPr>
            <w:tcW w:w="3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(115,553 )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346,877</w:t>
            </w:r>
          </w:p>
        </w:tc>
        <w:tc>
          <w:tcPr>
            <w:tcW w:w="60" w:type="dxa"/>
            <w:vAlign w:val="bottom"/>
          </w:tcPr>
          <w:p>
            <w:pPr>
              <w:spacing w:after="0"/>
              <w:rPr>
                <w:sz w:val="19"/>
                <w:szCs w:val="19"/>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-1550670</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-1002030</wp:posOffset>
            </wp:positionV>
            <wp:extent cx="7132320" cy="402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-453390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160"/>
            <w:col w:w="8220"/>
          </w:cols>
          <w:pgMar w:left="340" w:top="98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499110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81" w:right="37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520" w:type="dxa"/>
            <w:vAlign w:val="bottom"/>
          </w:tcPr>
          <w:p>
            <w:pPr>
              <w:spacing w:after="0"/>
              <w:rPr>
                <w:sz w:val="15"/>
                <w:szCs w:val="15"/>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5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6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income (loss)</w:t>
            </w:r>
          </w:p>
        </w:tc>
        <w:tc>
          <w:tcPr>
            <w:tcW w:w="10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39,900</w:t>
            </w:r>
          </w:p>
        </w:tc>
        <w:tc>
          <w:tcPr>
            <w:tcW w:w="380" w:type="dxa"/>
            <w:vAlign w:val="bottom"/>
          </w:tcPr>
          <w:p>
            <w:pPr>
              <w:spacing w:after="0"/>
              <w:rPr>
                <w:sz w:val="16"/>
                <w:szCs w:val="16"/>
                <w:color w:val="auto"/>
              </w:rPr>
            </w:pP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(4,553 )</w:t>
            </w: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(used in) operating activities:</w:t>
            </w:r>
          </w:p>
        </w:tc>
        <w:tc>
          <w:tcPr>
            <w:tcW w:w="106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Depreciation</w:t>
            </w: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17,097</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11,655</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06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Amortization of operating right-of-use asset</w:t>
            </w: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Share-based compensation</w:t>
            </w:r>
          </w:p>
        </w:tc>
        <w:tc>
          <w:tcPr>
            <w:tcW w:w="106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8,317</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8,810</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Equity in (gains) losses of equity investees</w:t>
            </w:r>
          </w:p>
        </w:tc>
        <w:tc>
          <w:tcPr>
            <w:tcW w:w="1060" w:type="dxa"/>
            <w:vAlign w:val="bottom"/>
          </w:tcPr>
          <w:p>
            <w:pPr>
              <w:spacing w:after="0"/>
              <w:rPr>
                <w:sz w:val="16"/>
                <w:szCs w:val="16"/>
                <w:color w:val="auto"/>
              </w:rPr>
            </w:pPr>
          </w:p>
        </w:tc>
        <w:tc>
          <w:tcPr>
            <w:tcW w:w="94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(738 )</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Non-cash lease expense</w:t>
            </w:r>
          </w:p>
        </w:tc>
        <w:tc>
          <w:tcPr>
            <w:tcW w:w="106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1,958</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Income taxes</w:t>
            </w:r>
          </w:p>
        </w:tc>
        <w:tc>
          <w:tcPr>
            <w:tcW w:w="106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5,564</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Bitcoin received as payment for services</w:t>
            </w:r>
          </w:p>
        </w:tc>
        <w:tc>
          <w:tcPr>
            <w:tcW w:w="1060" w:type="dxa"/>
            <w:vAlign w:val="bottom"/>
          </w:tcPr>
          <w:p>
            <w:pPr>
              <w:spacing w:after="0"/>
              <w:rPr>
                <w:sz w:val="16"/>
                <w:szCs w:val="16"/>
                <w:color w:val="auto"/>
              </w:rPr>
            </w:pPr>
          </w:p>
        </w:tc>
        <w:tc>
          <w:tcPr>
            <w:tcW w:w="94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(48,079 )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(21,717 )</w:t>
            </w: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Change in fair value of derivative asset</w:t>
            </w:r>
          </w:p>
        </w:tc>
        <w:tc>
          <w:tcPr>
            <w:tcW w:w="106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(7,359 )</w:t>
            </w: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(5,328 )</w:t>
            </w: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Change in fair value of warrant liability</w:t>
            </w:r>
          </w:p>
        </w:tc>
        <w:tc>
          <w:tcPr>
            <w:tcW w:w="1060" w:type="dxa"/>
            <w:vAlign w:val="bottom"/>
          </w:tcPr>
          <w:p>
            <w:pPr>
              <w:spacing w:after="0"/>
              <w:rPr>
                <w:sz w:val="16"/>
                <w:szCs w:val="16"/>
                <w:color w:val="auto"/>
              </w:rPr>
            </w:pPr>
          </w:p>
        </w:tc>
        <w:tc>
          <w:tcPr>
            <w:tcW w:w="94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(250 )</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Gains on fair value of bitcoin</w:t>
            </w:r>
          </w:p>
        </w:tc>
        <w:tc>
          <w:tcPr>
            <w:tcW w:w="106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(40,556 )</w:t>
            </w: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(4,264 )</w:t>
            </w:r>
          </w:p>
        </w:tc>
      </w:tr>
      <w:tr>
        <w:trPr>
          <w:trHeight w:val="189"/>
        </w:trPr>
        <w:tc>
          <w:tcPr>
            <w:tcW w:w="7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5"/>
                <w:szCs w:val="15"/>
                <w:color w:val="auto"/>
              </w:rPr>
              <w:t>Accounts receivable</w:t>
            </w:r>
          </w:p>
        </w:tc>
        <w:tc>
          <w:tcPr>
            <w:tcW w:w="106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(58 )</w:t>
            </w: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(183 )</w:t>
            </w:r>
          </w:p>
        </w:tc>
      </w:tr>
      <w:tr>
        <w:trPr>
          <w:trHeight w:val="189"/>
        </w:trPr>
        <w:tc>
          <w:tcPr>
            <w:tcW w:w="75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Receivables, related party</w:t>
            </w:r>
          </w:p>
        </w:tc>
        <w:tc>
          <w:tcPr>
            <w:tcW w:w="1060" w:type="dxa"/>
            <w:vAlign w:val="bottom"/>
          </w:tcPr>
          <w:p>
            <w:pPr>
              <w:spacing w:after="0"/>
              <w:rPr>
                <w:sz w:val="16"/>
                <w:szCs w:val="16"/>
                <w:color w:val="auto"/>
              </w:rPr>
            </w:pPr>
          </w:p>
        </w:tc>
        <w:tc>
          <w:tcPr>
            <w:tcW w:w="94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(185 )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(189 )</w:t>
            </w:r>
          </w:p>
        </w:tc>
      </w:tr>
      <w:tr>
        <w:trPr>
          <w:trHeight w:val="18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6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2,975</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Security deposits</w:t>
            </w: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(12 )</w:t>
            </w:r>
          </w:p>
        </w:tc>
      </w:tr>
      <w:tr>
        <w:trPr>
          <w:trHeight w:val="18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5"/>
                <w:szCs w:val="15"/>
                <w:color w:val="auto"/>
              </w:rPr>
              <w:t>Accounts payable</w:t>
            </w:r>
          </w:p>
        </w:tc>
        <w:tc>
          <w:tcPr>
            <w:tcW w:w="106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2,540</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2,913</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Accounts payable, related party</w:t>
            </w: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(1,529 )</w:t>
            </w:r>
          </w:p>
        </w:tc>
      </w:tr>
      <w:tr>
        <w:trPr>
          <w:trHeight w:val="189"/>
        </w:trPr>
        <w:tc>
          <w:tcPr>
            <w:tcW w:w="75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06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(6,123 )</w:t>
            </w: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Lease liabilities</w:t>
            </w:r>
          </w:p>
        </w:tc>
        <w:tc>
          <w:tcPr>
            <w:tcW w:w="1060" w:type="dxa"/>
            <w:vAlign w:val="bottom"/>
          </w:tcPr>
          <w:p>
            <w:pPr>
              <w:spacing w:after="0"/>
              <w:rPr>
                <w:sz w:val="16"/>
                <w:szCs w:val="16"/>
                <w:color w:val="auto"/>
              </w:rPr>
            </w:pPr>
          </w:p>
        </w:tc>
        <w:tc>
          <w:tcPr>
            <w:tcW w:w="94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(217 )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(248 )</w:t>
            </w:r>
          </w:p>
        </w:tc>
      </w:tr>
      <w:tr>
        <w:trPr>
          <w:trHeight w:val="183"/>
        </w:trPr>
        <w:tc>
          <w:tcPr>
            <w:tcW w:w="7520" w:type="dxa"/>
            <w:vAlign w:val="bottom"/>
            <w:tcBorders>
              <w:top w:val="single" w:sz="8" w:color="CCECFF"/>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060" w:type="dxa"/>
            <w:vAlign w:val="bottom"/>
            <w:tcBorders>
              <w:top w:val="single" w:sz="8" w:color="auto"/>
              <w:bottom w:val="single" w:sz="8" w:color="auto"/>
            </w:tcBorders>
            <w:shd w:val="clear" w:color="auto" w:fill="CCECFF"/>
          </w:tcPr>
          <w:p>
            <w:pPr>
              <w:spacing w:after="0"/>
              <w:rPr>
                <w:sz w:val="15"/>
                <w:szCs w:val="15"/>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(26,636</w:t>
            </w:r>
          </w:p>
        </w:tc>
        <w:tc>
          <w:tcPr>
            <w:tcW w:w="380" w:type="dxa"/>
            <w:vAlign w:val="bottom"/>
            <w:tcBorders>
              <w:top w:val="single" w:sz="8" w:color="CCECFF"/>
              <w:bottom w:val="single" w:sz="8" w:color="CCECFF"/>
            </w:tcBorders>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CFF"/>
          </w:tcPr>
          <w:p>
            <w:pPr>
              <w:spacing w:after="0"/>
              <w:rPr>
                <w:sz w:val="15"/>
                <w:szCs w:val="15"/>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(10,142</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83"/>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Proceeds from sale of bitcoin</w:t>
            </w:r>
          </w:p>
        </w:tc>
        <w:tc>
          <w:tcPr>
            <w:tcW w:w="106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20,958</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Deposits on equipment</w:t>
            </w:r>
          </w:p>
        </w:tc>
        <w:tc>
          <w:tcPr>
            <w:tcW w:w="1060" w:type="dxa"/>
            <w:vAlign w:val="bottom"/>
          </w:tcPr>
          <w:p>
            <w:pPr>
              <w:spacing w:after="0"/>
              <w:rPr>
                <w:sz w:val="16"/>
                <w:szCs w:val="16"/>
                <w:color w:val="auto"/>
              </w:rPr>
            </w:pPr>
          </w:p>
        </w:tc>
        <w:tc>
          <w:tcPr>
            <w:tcW w:w="94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(4,536 )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(1,106 )</w:t>
            </w: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06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(7,902 )</w:t>
            </w: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(17,947 )</w:t>
            </w: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Purchases and development of software</w:t>
            </w:r>
          </w:p>
        </w:tc>
        <w:tc>
          <w:tcPr>
            <w:tcW w:w="1060" w:type="dxa"/>
            <w:vAlign w:val="bottom"/>
          </w:tcPr>
          <w:p>
            <w:pPr>
              <w:spacing w:after="0"/>
              <w:rPr>
                <w:sz w:val="16"/>
                <w:szCs w:val="16"/>
                <w:color w:val="auto"/>
              </w:rPr>
            </w:pPr>
          </w:p>
        </w:tc>
        <w:tc>
          <w:tcPr>
            <w:tcW w:w="94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(200 )</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Capital distributions from equity investees</w:t>
            </w:r>
          </w:p>
        </w:tc>
        <w:tc>
          <w:tcPr>
            <w:tcW w:w="106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3,807</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Investment in equity investees</w:t>
            </w:r>
          </w:p>
        </w:tc>
        <w:tc>
          <w:tcPr>
            <w:tcW w:w="1060" w:type="dxa"/>
            <w:vAlign w:val="bottom"/>
          </w:tcPr>
          <w:p>
            <w:pPr>
              <w:spacing w:after="0"/>
              <w:rPr>
                <w:sz w:val="16"/>
                <w:szCs w:val="16"/>
                <w:color w:val="auto"/>
              </w:rPr>
            </w:pPr>
          </w:p>
        </w:tc>
        <w:tc>
          <w:tcPr>
            <w:tcW w:w="94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(18,319 )</w:t>
            </w:r>
          </w:p>
        </w:tc>
        <w:tc>
          <w:tcPr>
            <w:tcW w:w="10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(3,094 )</w:t>
            </w:r>
          </w:p>
        </w:tc>
      </w:tr>
      <w:tr>
        <w:trPr>
          <w:trHeight w:val="20"/>
        </w:trPr>
        <w:tc>
          <w:tcPr>
            <w:tcW w:w="7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Net cash (used in) provided by investing activities</w:t>
            </w:r>
          </w:p>
        </w:tc>
        <w:tc>
          <w:tcPr>
            <w:tcW w:w="1060" w:type="dxa"/>
            <w:vAlign w:val="bottom"/>
            <w:shd w:val="clear" w:color="auto" w:fill="CCECFF"/>
          </w:tcPr>
          <w:p>
            <w:pPr>
              <w:spacing w:after="0"/>
              <w:rPr>
                <w:sz w:val="15"/>
                <w:szCs w:val="15"/>
                <w:color w:val="auto"/>
              </w:rPr>
            </w:pPr>
          </w:p>
        </w:tc>
        <w:tc>
          <w:tcPr>
            <w:tcW w:w="94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(30,957 )</w:t>
            </w:r>
          </w:p>
        </w:tc>
        <w:tc>
          <w:tcPr>
            <w:tcW w:w="10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2,618</w:t>
            </w:r>
          </w:p>
        </w:tc>
        <w:tc>
          <w:tcPr>
            <w:tcW w:w="100" w:type="dxa"/>
            <w:vAlign w:val="bottom"/>
            <w:shd w:val="clear" w:color="auto" w:fill="CCECFF"/>
          </w:tcPr>
          <w:p>
            <w:pPr>
              <w:spacing w:after="0"/>
              <w:rPr>
                <w:sz w:val="15"/>
                <w:szCs w:val="15"/>
                <w:color w:val="auto"/>
              </w:rPr>
            </w:pPr>
          </w:p>
        </w:tc>
      </w:tr>
      <w:tr>
        <w:trPr>
          <w:trHeight w:val="183"/>
        </w:trPr>
        <w:tc>
          <w:tcPr>
            <w:tcW w:w="7520" w:type="dxa"/>
            <w:vAlign w:val="bottom"/>
            <w:tcBorders>
              <w:top w:val="single" w:sz="8" w:color="CCECFF"/>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80" w:type="dxa"/>
            <w:vAlign w:val="bottom"/>
            <w:tcBorders>
              <w:top w:val="single" w:sz="8" w:color="CCEC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CFF"/>
            </w:tcBorders>
          </w:tcPr>
          <w:p>
            <w:pPr>
              <w:spacing w:after="0"/>
              <w:rPr>
                <w:sz w:val="15"/>
                <w:szCs w:val="15"/>
                <w:color w:val="auto"/>
              </w:rPr>
            </w:pP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Proceeds from the issuance of common stock</w:t>
            </w:r>
          </w:p>
        </w:tc>
        <w:tc>
          <w:tcPr>
            <w:tcW w:w="106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66,171</w:t>
            </w:r>
          </w:p>
        </w:tc>
        <w:tc>
          <w:tcPr>
            <w:tcW w:w="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CFF"/>
          </w:tcPr>
          <w:p>
            <w:pPr>
              <w:spacing w:after="0"/>
              <w:rPr>
                <w:sz w:val="16"/>
                <w:szCs w:val="16"/>
                <w:color w:val="auto"/>
              </w:rPr>
            </w:pP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Offering costs paid for the issuance of common stock</w:t>
            </w:r>
          </w:p>
        </w:tc>
        <w:tc>
          <w:tcPr>
            <w:tcW w:w="1060" w:type="dxa"/>
            <w:vAlign w:val="bottom"/>
          </w:tcPr>
          <w:p>
            <w:pPr>
              <w:spacing w:after="0"/>
              <w:rPr>
                <w:sz w:val="16"/>
                <w:szCs w:val="16"/>
                <w:color w:val="auto"/>
              </w:rPr>
            </w:pPr>
          </w:p>
        </w:tc>
        <w:tc>
          <w:tcPr>
            <w:tcW w:w="94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(1,623 )</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9"/>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Repurchase of common shares to pay employee withholding taxes</w:t>
            </w:r>
          </w:p>
        </w:tc>
        <w:tc>
          <w:tcPr>
            <w:tcW w:w="106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224"/>
              <w:spacing w:after="0"/>
              <w:rPr>
                <w:sz w:val="20"/>
                <w:szCs w:val="20"/>
                <w:color w:val="auto"/>
              </w:rPr>
            </w:pPr>
            <w:r>
              <w:rPr>
                <w:rFonts w:ascii="Times New Roman" w:cs="Times New Roman" w:eastAsia="Times New Roman" w:hAnsi="Times New Roman"/>
                <w:sz w:val="15"/>
                <w:szCs w:val="15"/>
                <w:color w:val="auto"/>
              </w:rPr>
              <w:t>(3,177 )</w:t>
            </w:r>
          </w:p>
        </w:tc>
        <w:tc>
          <w:tcPr>
            <w:tcW w:w="104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(481 )</w:t>
            </w:r>
          </w:p>
        </w:tc>
      </w:tr>
      <w:tr>
        <w:trPr>
          <w:trHeight w:val="189"/>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Principal payments on financing lease</w:t>
            </w:r>
          </w:p>
        </w:tc>
        <w:tc>
          <w:tcPr>
            <w:tcW w:w="1060" w:type="dxa"/>
            <w:vAlign w:val="bottom"/>
          </w:tcPr>
          <w:p>
            <w:pPr>
              <w:spacing w:after="0"/>
              <w:rPr>
                <w:sz w:val="16"/>
                <w:szCs w:val="16"/>
                <w:color w:val="auto"/>
              </w:rPr>
            </w:pPr>
          </w:p>
        </w:tc>
        <w:tc>
          <w:tcPr>
            <w:tcW w:w="94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(1,208 )</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20"/>
        </w:trPr>
        <w:tc>
          <w:tcPr>
            <w:tcW w:w="7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06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60,163</w:t>
            </w:r>
          </w:p>
        </w:tc>
        <w:tc>
          <w:tcPr>
            <w:tcW w:w="3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(481 )</w:t>
            </w:r>
          </w:p>
        </w:tc>
      </w:tr>
      <w:tr>
        <w:trPr>
          <w:trHeight w:val="20"/>
        </w:trPr>
        <w:tc>
          <w:tcPr>
            <w:tcW w:w="7520" w:type="dxa"/>
            <w:vAlign w:val="bottom"/>
            <w:shd w:val="clear" w:color="auto" w:fill="CCEC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83"/>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2,570</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(8,005 )</w:t>
            </w:r>
          </w:p>
        </w:tc>
      </w:tr>
      <w:tr>
        <w:trPr>
          <w:trHeight w:val="189"/>
        </w:trPr>
        <w:tc>
          <w:tcPr>
            <w:tcW w:w="75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5"/>
                <w:szCs w:val="15"/>
                <w:color w:val="auto"/>
              </w:rPr>
              <w:t>Cash and cash equivalents, beginning of the period</w:t>
            </w:r>
          </w:p>
        </w:tc>
        <w:tc>
          <w:tcPr>
            <w:tcW w:w="1060" w:type="dxa"/>
            <w:vAlign w:val="bottom"/>
            <w:tcBorders>
              <w:bottom w:val="single" w:sz="8" w:color="auto"/>
            </w:tcBorders>
            <w:shd w:val="clear" w:color="auto" w:fill="CCECFF"/>
          </w:tcPr>
          <w:p>
            <w:pPr>
              <w:spacing w:after="0"/>
              <w:rPr>
                <w:sz w:val="16"/>
                <w:szCs w:val="16"/>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86,105</w:t>
            </w:r>
          </w:p>
        </w:tc>
        <w:tc>
          <w:tcPr>
            <w:tcW w:w="380" w:type="dxa"/>
            <w:vAlign w:val="bottom"/>
            <w:tcBorders>
              <w:bottom w:val="single" w:sz="8" w:color="CCECFF"/>
            </w:tcBorders>
            <w:shd w:val="clear" w:color="auto" w:fill="CCECFF"/>
          </w:tcPr>
          <w:p>
            <w:pPr>
              <w:spacing w:after="0"/>
              <w:rPr>
                <w:sz w:val="16"/>
                <w:szCs w:val="16"/>
                <w:color w:val="auto"/>
              </w:rPr>
            </w:pPr>
          </w:p>
        </w:tc>
        <w:tc>
          <w:tcPr>
            <w:tcW w:w="1040" w:type="dxa"/>
            <w:vAlign w:val="bottom"/>
            <w:tcBorders>
              <w:bottom w:val="single" w:sz="8" w:color="auto"/>
            </w:tcBorders>
            <w:shd w:val="clear" w:color="auto" w:fill="CCECFF"/>
          </w:tcPr>
          <w:p>
            <w:pPr>
              <w:spacing w:after="0"/>
              <w:rPr>
                <w:sz w:val="16"/>
                <w:szCs w:val="16"/>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11,927</w:t>
            </w:r>
          </w:p>
        </w:tc>
        <w:tc>
          <w:tcPr>
            <w:tcW w:w="100" w:type="dxa"/>
            <w:vAlign w:val="bottom"/>
            <w:tcBorders>
              <w:bottom w:val="single" w:sz="8" w:color="CCECFF"/>
            </w:tcBorders>
            <w:shd w:val="clear" w:color="auto" w:fill="CCECFF"/>
          </w:tcPr>
          <w:p>
            <w:pPr>
              <w:spacing w:after="0"/>
              <w:rPr>
                <w:sz w:val="16"/>
                <w:szCs w:val="16"/>
                <w:color w:val="auto"/>
              </w:rPr>
            </w:pPr>
          </w:p>
        </w:tc>
      </w:tr>
      <w:tr>
        <w:trPr>
          <w:trHeight w:val="183"/>
        </w:trPr>
        <w:tc>
          <w:tcPr>
            <w:tcW w:w="7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Cash and cash equivalents, end of the period</w:t>
            </w:r>
          </w:p>
        </w:tc>
        <w:tc>
          <w:tcPr>
            <w:tcW w:w="106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88,675</w:t>
            </w:r>
          </w:p>
        </w:tc>
        <w:tc>
          <w:tcPr>
            <w:tcW w:w="380" w:type="dxa"/>
            <w:vAlign w:val="bottom"/>
          </w:tcPr>
          <w:p>
            <w:pPr>
              <w:spacing w:after="0"/>
              <w:rPr>
                <w:sz w:val="15"/>
                <w:szCs w:val="15"/>
                <w:color w:val="auto"/>
              </w:rPr>
            </w:pP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3,922</w:t>
            </w:r>
          </w:p>
        </w:tc>
        <w:tc>
          <w:tcPr>
            <w:tcW w:w="100" w:type="dxa"/>
            <w:vAlign w:val="bottom"/>
          </w:tcPr>
          <w:p>
            <w:pPr>
              <w:spacing w:after="0"/>
              <w:rPr>
                <w:sz w:val="15"/>
                <w:szCs w:val="15"/>
                <w:color w:val="auto"/>
              </w:rPr>
            </w:pPr>
          </w:p>
        </w:tc>
      </w:tr>
      <w:tr>
        <w:trPr>
          <w:trHeight w:val="20"/>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5795645</wp:posOffset>
            </wp:positionH>
            <wp:positionV relativeFrom="paragraph">
              <wp:posOffset>-2258060</wp:posOffset>
            </wp:positionV>
            <wp:extent cx="10287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-2258060</wp:posOffset>
            </wp:positionV>
            <wp:extent cx="9398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-1139190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-402590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-153670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3"/>
        </w:trPr>
        <w:tc>
          <w:tcPr>
            <w:tcW w:w="7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30"/>
        </w:trPr>
        <w:tc>
          <w:tcPr>
            <w:tcW w:w="7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80" w:type="dxa"/>
            <w:vAlign w:val="bottom"/>
            <w:shd w:val="clear" w:color="auto" w:fill="CCECFF"/>
          </w:tcPr>
          <w:p>
            <w:pPr>
              <w:spacing w:after="0"/>
              <w:rPr>
                <w:sz w:val="19"/>
                <w:szCs w:val="19"/>
                <w:color w:val="auto"/>
              </w:rPr>
            </w:pPr>
          </w:p>
        </w:tc>
        <w:tc>
          <w:tcPr>
            <w:tcW w:w="126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2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71,533</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380" w:type="dxa"/>
            <w:vAlign w:val="bottom"/>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7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Settlement of related party payable related to master services and supply agreement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method investment acquired for non-cash consideration</w:t>
            </w:r>
          </w:p>
        </w:tc>
        <w:tc>
          <w:tcPr>
            <w:tcW w:w="380" w:type="dxa"/>
            <w:vAlign w:val="bottom"/>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shd w:val="clear" w:color="auto" w:fill="CCECFF"/>
          </w:tcPr>
          <w:p>
            <w:pPr>
              <w:spacing w:after="0"/>
              <w:rPr>
                <w:sz w:val="20"/>
                <w:szCs w:val="20"/>
                <w:color w:val="auto"/>
              </w:rPr>
            </w:pPr>
          </w:p>
        </w:tc>
      </w:tr>
      <w:tr>
        <w:trPr>
          <w:trHeight w:val="22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purchases in accounts payable, accounts payable, related party and accrued expenses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100" w:type="dxa"/>
            <w:vAlign w:val="bottom"/>
          </w:tcPr>
          <w:p>
            <w:pPr>
              <w:spacing w:after="0"/>
              <w:rPr>
                <w:sz w:val="19"/>
                <w:szCs w:val="19"/>
                <w:color w:val="auto"/>
              </w:rPr>
            </w:pPr>
          </w:p>
        </w:tc>
      </w:tr>
      <w:tr>
        <w:trPr>
          <w:trHeight w:val="239"/>
        </w:trPr>
        <w:tc>
          <w:tcPr>
            <w:tcW w:w="75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Deposits on equipment in accounts payable, accounts payable, related party and accrued expenses</w:t>
            </w:r>
          </w:p>
        </w:tc>
        <w:tc>
          <w:tcPr>
            <w:tcW w:w="380" w:type="dxa"/>
            <w:vAlign w:val="bottom"/>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shd w:val="clear" w:color="auto" w:fill="CCECFF"/>
          </w:tcPr>
          <w:p>
            <w:pPr>
              <w:spacing w:after="0"/>
              <w:rPr>
                <w:sz w:val="20"/>
                <w:szCs w:val="20"/>
                <w:color w:val="auto"/>
              </w:rPr>
            </w:pPr>
          </w:p>
        </w:tc>
      </w:tr>
      <w:tr>
        <w:trPr>
          <w:trHeight w:val="209"/>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Finance lease cost in accrued expenses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8"/>
                <w:szCs w:val="18"/>
                <w:color w:val="auto"/>
              </w:rPr>
            </w:pPr>
          </w:p>
        </w:tc>
      </w:tr>
      <w:tr>
        <w:trPr>
          <w:trHeight w:val="236"/>
        </w:trPr>
        <w:tc>
          <w:tcPr>
            <w:tcW w:w="9900" w:type="dxa"/>
            <w:vAlign w:val="bottom"/>
            <w:gridSpan w:val="5"/>
          </w:tcPr>
          <w:p>
            <w:pPr>
              <w:ind w:left="1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Cipher Mining Inc. (“Cipher” or the “Company”) is an emerging technology company that develops and operates industrial scale bitcoin mining data centers. The Company operates or jointly operates four bitcoin mining data centers in Texas including one wholly-owned data center and three partially-owned data centers that were acquired through investments in joint ventures. Bitcoin mining is the Company’s principal revenue generating business activity. The Company began deployment of capacity in the first quarter of 2022, with mining operations beginning at the partially-owned Alborz facility in February 2022 (the “Alborz Facility”). In August 2022, installation of the last mining rigs delivered to the Alborz Facility was completed. In October 2022, installation at the partially-owned Bear facility (the “Bear Facility”) and the partially-owned Chief facility (the “Chief Facility”) were also completed. In November 2022, the Company began bitcoin mining operations at the wholly-owned Odessa facility (the “Odessa Facility”). In September 2023, the Company finalized the buildout of the operations at the Odessa Facility. In December 2023, the Company announced the acquisition of a site for a new wholly-owned data center in Winkler County, Texas, the “Black Pearl Facility”, which is expected to commence operations in 2025.</w:t>
      </w:r>
    </w:p>
    <w:p>
      <w:pPr>
        <w:spacing w:after="0" w:line="14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Cipher Mining Technologies Inc. (“CMTI”) was established on January 7, 2021, in Delaware, by Bitfury Top HoldCo B.V. and its subsidiaries (“Bitfury Top HoldCo” and, with its subsidiaries, the “Bitfury Group”). Bitfury Top HoldCo (together with Bitfury Holding B.V., a subsidiary of Bitfury Top HoldCo, and referred to herein as “Bitfury Holding”) beneficially owned approximately 38.8% of the Company’s common stock, $0.001 par value per share (“Common Stock”), as of March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Out-of-period-adjustments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and power sales for the three months ended March 31, 2023 included out-of-period adjustments of approximately $1.0 million and $0.6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 that increased both cost of revenue and power sales on the unaudited condensed consolidated statements of operations for the three</w:t>
      </w:r>
    </w:p>
    <w:p>
      <w:pPr>
        <w:spacing w:after="0" w:line="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months ended March 31, 2023, and resulted in net increases to operating loss and loss before taxes of approximately $0.4 million during the same period. These out-of-period adjustments related to power costs and power sales for the year ended December 31, 2022 at the Company’s Odessa Facility, which are invoiced on a net basis by the Company’s power provider. Management evaluated the impact of this error on the Company’s previously issued audited consolidated financial statements for the year ended December 31, 2022, as well as on its unaudited condensed consolidated financial statements for the three months ended March 31, 2023, assessing the error both quantitatively and qualitatively, and concluded that the error was not material to the financial statements for either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limited business history</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As of March 31, 2024, the Company had approximate balances of cash and cash equivalents of $88.7 million, working capital of $219.3 million, total stockholders’ equity of $600.9 million and an accumulated deficit of $96.9 million. In prior years, the Company, in large part, relied on proceeds from the consummation of its business combination with GWAC to fund its operations; however, during the fiscal year ended December 31, 2023, the Company used proceeds from sales of bitcoin earned by or received from its bitcoin mining data centers, as well as strategic sales of shares through “at-the-market” offerings to support its operating expenses and capital expenditures. During the three months ended March 31, 2024, the Company has used “at-the-market” offerings at strategic times to raise cash, but has not sold bitcoin for additional funds.</w:t>
      </w:r>
    </w:p>
    <w:p>
      <w:pPr>
        <w:spacing w:after="0" w:line="14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$26.6 million of cash was used for operating activities during the three months ended March 31, 2024.</w:t>
      </w:r>
    </w:p>
    <w:p>
      <w:pPr>
        <w:spacing w:after="0" w:line="153"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During the three months ended March 31, 2024, the Company paid approximately $4.5 million for deposits on equipment in connection with new miner purchases for its Odessa Facility, and reclassified approximately $5.2 million to property and equipment related to these miners being placed into service.</w:t>
      </w:r>
    </w:p>
    <w:p>
      <w:pPr>
        <w:spacing w:after="0" w:line="9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August 14, 2023, the Company, through CMTI, entered into a master loan agreement with Coinbase Credit, Inc., as lender, and Coinbase, Inc., as lending service provider, for a secured credit line up to $10.0 million (the “Credit Facility”). See Note 13.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80"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for additional information regarding the Credit Facility. As of March 31, 2024, the Company has not drawn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w:t>
      </w:r>
    </w:p>
    <w:p>
      <w:pPr>
        <w:spacing w:after="0" w:line="13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Company’s existing financial resources, including access to the Credit Facility, combined with projected cash and bitcoin inflows from its data centers and its ability to sell bitcoin received or earned, will be sufficient to enable the Company to meet its operating and capital requirements for at least 12 months from the date these unaudited condensed consolidated financial statements are issued.</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The business is subject to risks inherent in the establishment of a new business enterprise, including limited capital resources, possible delays in exploration and/or development, and possible cost overruns due to price and cost increases in services. The Company may require additional capital to pursue certain business opportunities or respond to technological advancements, competitive dynamics or technologies, challenges, acquisitions or unforeseen circumstances. Additionally, the Company has incurred and expects to continue to incur significant costs related to operating as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U.S. (“GAAP”) as determined by the FASB and pursuant to the accounting and disclosure rules and regulations of the Securities and Exchange Commission (“SEC”).</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subsidiaries, including CMTI. All intercompany transactions and balances have been eliminated.</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 Effective for the quarter ended March 31, 2024, the Company changed the presentation of its condensed consolidated income statement to separately disclose Compensation and benefits from General and administrative. The Company believes this presentation provides increased transparency on the nature of the respective financial statement line items. As a result, the Company reported $11.9 million as Compensation and benefits for the three months ended March 31, 2023 which was previously reported in General and administrative.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its derivative asset and warrant liability under Level 3 of the fair value hierarchy, useful lives of property</w:t>
      </w:r>
    </w:p>
    <w:p>
      <w:pPr>
        <w:sectPr>
          <w:pgSz w:w="11900" w:h="16838" w:orient="portrait"/>
          <w:cols w:equalWidth="0" w:num="1">
            <w:col w:w="11220"/>
          </w:cols>
          <w:pgMar w:left="320" w:top="765" w:right="35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equipment, the asset retirement obligation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description of the Company’s significant accounting policies is included in the Company’s 2023 Form 10-K. You should read the unaudited condensed consolidated financial statements in conjunction with the Company’s audited consolidated financial statements and accompanying notes in the Company’s 2023 Form 10-K. Except as disclosed herein, there has been no material change in the information disclosed in the notes to the Company’s audited consolidated financial statements included in the Company’s 2023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is comprised of several members of its executive management team. The Company views its operations and manages its business in one segment.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per share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allocated to common shareholders by the weighted average number of common shares outstanding during the period. Diluted net income (loss) per common share adjusts net income (loss) and net income (loss) per common share for the effect of all potentially dilutive shares of Common Stock. Potential common shares consist of the Company’s outstanding warrants to purchase Common Stock, as well as unvested restricted stock units (“RSUs”).</w:t>
      </w:r>
    </w:p>
    <w:p>
      <w:pPr>
        <w:spacing w:after="0" w:line="18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dilutive effect of RSUs was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potential common shares have been excluded from the computation of diluted net loss per common share for the three months ended March 31, 2023, as the effect would be to reduce the net loss per common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net income (loss) per share computations for the periods indicated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income (loss) per share:</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39,900</w:t>
            </w:r>
          </w:p>
        </w:tc>
        <w:tc>
          <w:tcPr>
            <w:tcW w:w="76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(4,553 )</w:t>
            </w:r>
          </w:p>
        </w:tc>
      </w:tr>
      <w:tr>
        <w:trPr>
          <w:trHeight w:val="20"/>
        </w:trPr>
        <w:tc>
          <w:tcPr>
            <w:tcW w:w="6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30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296,641,499</w:t>
            </w:r>
          </w:p>
        </w:tc>
        <w:tc>
          <w:tcPr>
            <w:tcW w:w="200" w:type="dxa"/>
            <w:vAlign w:val="bottom"/>
            <w:shd w:val="clear" w:color="auto" w:fill="CCECFF"/>
          </w:tcPr>
          <w:p>
            <w:pPr>
              <w:spacing w:after="0"/>
              <w:rPr>
                <w:sz w:val="19"/>
                <w:szCs w:val="19"/>
                <w:color w:val="auto"/>
              </w:rPr>
            </w:pPr>
          </w:p>
        </w:tc>
        <w:tc>
          <w:tcPr>
            <w:tcW w:w="560" w:type="dxa"/>
            <w:vAlign w:val="bottom"/>
            <w:shd w:val="clear" w:color="auto" w:fill="CCECFF"/>
          </w:tcPr>
          <w:p>
            <w:pPr>
              <w:spacing w:after="0"/>
              <w:rPr>
                <w:sz w:val="19"/>
                <w:szCs w:val="19"/>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248,654,082</w:t>
            </w:r>
          </w:p>
        </w:tc>
        <w:tc>
          <w:tcPr>
            <w:tcW w:w="100" w:type="dxa"/>
            <w:vAlign w:val="bottom"/>
            <w:shd w:val="clear" w:color="auto" w:fill="CCECFF"/>
          </w:tcPr>
          <w:p>
            <w:pPr>
              <w:spacing w:after="0"/>
              <w:rPr>
                <w:sz w:val="19"/>
                <w:szCs w:val="19"/>
                <w:color w:val="auto"/>
              </w:rPr>
            </w:pP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RSUs</w:t>
            </w:r>
          </w:p>
        </w:tc>
        <w:tc>
          <w:tcPr>
            <w:tcW w:w="1300" w:type="dxa"/>
            <w:vAlign w:val="bottom"/>
            <w:tcBorders>
              <w:bottom w:val="single" w:sz="8" w:color="auto"/>
            </w:tcBorders>
            <w:shd w:val="clear" w:color="auto" w:fill="CCECFF"/>
          </w:tcPr>
          <w:p>
            <w:pPr>
              <w:spacing w:after="0"/>
              <w:rPr>
                <w:sz w:val="20"/>
                <w:szCs w:val="20"/>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7,756,480</w:t>
            </w:r>
          </w:p>
        </w:tc>
        <w:tc>
          <w:tcPr>
            <w:tcW w:w="200" w:type="dxa"/>
            <w:vAlign w:val="bottom"/>
            <w:tcBorders>
              <w:bottom w:val="single" w:sz="8" w:color="CCECFF"/>
            </w:tcBorders>
            <w:shd w:val="clear" w:color="auto" w:fill="CCECFF"/>
          </w:tcPr>
          <w:p>
            <w:pPr>
              <w:spacing w:after="0"/>
              <w:rPr>
                <w:sz w:val="20"/>
                <w:szCs w:val="20"/>
                <w:color w:val="auto"/>
              </w:rPr>
            </w:pPr>
          </w:p>
        </w:tc>
        <w:tc>
          <w:tcPr>
            <w:tcW w:w="560" w:type="dxa"/>
            <w:vAlign w:val="bottom"/>
            <w:tcBorders>
              <w:bottom w:val="single" w:sz="8" w:color="auto"/>
            </w:tcBorders>
            <w:shd w:val="clear" w:color="auto" w:fill="CCECFF"/>
          </w:tcPr>
          <w:p>
            <w:pPr>
              <w:spacing w:after="0"/>
              <w:rPr>
                <w:sz w:val="20"/>
                <w:szCs w:val="20"/>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1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304,397,979</w:t>
            </w:r>
          </w:p>
        </w:tc>
        <w:tc>
          <w:tcPr>
            <w:tcW w:w="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248,654,082</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18"/>
                <w:szCs w:val="18"/>
                <w:color w:val="auto"/>
              </w:rPr>
            </w:pPr>
          </w:p>
        </w:tc>
        <w:tc>
          <w:tcPr>
            <w:tcW w:w="130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760" w:type="dxa"/>
            <w:vAlign w:val="bottom"/>
            <w:gridSpan w:val="2"/>
            <w:shd w:val="clear" w:color="auto" w:fill="CCECFF"/>
          </w:tcPr>
          <w:p>
            <w:pPr>
              <w:spacing w:after="0"/>
              <w:rPr>
                <w:sz w:val="18"/>
                <w:szCs w:val="18"/>
                <w:color w:val="auto"/>
              </w:rPr>
            </w:pPr>
          </w:p>
        </w:tc>
        <w:tc>
          <w:tcPr>
            <w:tcW w:w="1880" w:type="dxa"/>
            <w:vAlign w:val="bottom"/>
            <w:gridSpan w:val="2"/>
            <w:shd w:val="clear" w:color="auto" w:fill="CCECFF"/>
          </w:tcPr>
          <w:p>
            <w:pPr>
              <w:spacing w:after="0"/>
              <w:rPr>
                <w:sz w:val="18"/>
                <w:szCs w:val="18"/>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0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(0.02 )</w:t>
            </w:r>
          </w:p>
        </w:tc>
      </w:tr>
      <w:tr>
        <w:trPr>
          <w:trHeight w:val="20"/>
        </w:trPr>
        <w:tc>
          <w:tcPr>
            <w:tcW w:w="6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1300" w:type="dxa"/>
            <w:vAlign w:val="bottom"/>
            <w:tcBorders>
              <w:bottom w:val="single" w:sz="8" w:color="auto"/>
            </w:tcBorders>
            <w:shd w:val="clear" w:color="auto" w:fill="CCEC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00" w:type="dxa"/>
            <w:vAlign w:val="bottom"/>
            <w:tcBorders>
              <w:bottom w:val="single" w:sz="8" w:color="CCECFF"/>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-668020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shares that are excluded from the computation of diluted net income (loss) per common share at March 31, 2024 and 2023, because including them would have been antidilutive.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40" w:type="dxa"/>
            <w:vAlign w:val="bottom"/>
          </w:tcPr>
          <w:p>
            <w:pPr>
              <w:spacing w:after="0"/>
              <w:rPr>
                <w:sz w:val="19"/>
                <w:szCs w:val="19"/>
                <w:color w:val="auto"/>
              </w:rPr>
            </w:pPr>
          </w:p>
        </w:tc>
        <w:tc>
          <w:tcPr>
            <w:tcW w:w="240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16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30"/>
        </w:trPr>
        <w:tc>
          <w:tcPr>
            <w:tcW w:w="7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8,613,980</w:t>
            </w:r>
          </w:p>
        </w:tc>
        <w:tc>
          <w:tcPr>
            <w:tcW w:w="38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8,499,980</w:t>
            </w:r>
          </w:p>
        </w:tc>
        <w:tc>
          <w:tcPr>
            <w:tcW w:w="100" w:type="dxa"/>
            <w:vAlign w:val="bottom"/>
            <w:shd w:val="clear" w:color="auto" w:fill="CCECFF"/>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100" w:type="dxa"/>
            <w:vAlign w:val="bottom"/>
          </w:tcPr>
          <w:p>
            <w:pPr>
              <w:spacing w:after="0"/>
              <w:rPr>
                <w:sz w:val="19"/>
                <w:szCs w:val="19"/>
                <w:color w:val="auto"/>
              </w:rPr>
            </w:pPr>
          </w:p>
        </w:tc>
      </w:tr>
      <w:tr>
        <w:trPr>
          <w:trHeight w:val="236"/>
        </w:trPr>
        <w:tc>
          <w:tcPr>
            <w:tcW w:w="75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CFF"/>
            </w:tcBorders>
            <w:shd w:val="clear" w:color="auto" w:fill="CCECFF"/>
          </w:tcPr>
          <w:p>
            <w:pPr>
              <w:spacing w:after="0"/>
              <w:rPr>
                <w:sz w:val="20"/>
                <w:szCs w:val="20"/>
                <w:color w:val="auto"/>
              </w:rPr>
            </w:pPr>
          </w:p>
        </w:tc>
        <w:tc>
          <w:tcPr>
            <w:tcW w:w="400" w:type="dxa"/>
            <w:vAlign w:val="bottom"/>
            <w:tcBorders>
              <w:bottom w:val="single" w:sz="8" w:color="auto"/>
            </w:tcBorders>
            <w:shd w:val="clear" w:color="auto" w:fill="CCECFF"/>
          </w:tcPr>
          <w:p>
            <w:pPr>
              <w:spacing w:after="0"/>
              <w:rPr>
                <w:sz w:val="20"/>
                <w:szCs w:val="20"/>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18,541,618</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0"/>
        </w:trPr>
        <w:tc>
          <w:tcPr>
            <w:tcW w:w="754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8,613,980</w:t>
            </w:r>
          </w:p>
        </w:tc>
        <w:tc>
          <w:tcPr>
            <w:tcW w:w="3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27,155,598</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-179705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8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2023-08, Intangibles-Goodwill and Other-Crypto Assets (Subtopic 350-60): Accounting for and Disclosure of Crypto Assets (“ASU 2023-08”). The Company adopted ASU 2023-08 effective January 1, 2023, as reflected in the Company’s Form 10-K for the year ended December 31, 2023. The adoption resulted in a $0.2 million adjustment to opening Retained earnings on January 1, 2023, as well as a reduction of Operating loss, and Net loss of $2.0 million, and a reduction of Basic and diluted net loss per share of $0.01 as reported for the three months ended March 31, 2023.</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7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96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20" w:type="dxa"/>
            <w:vAlign w:val="bottom"/>
            <w:shd w:val="clear" w:color="auto" w:fill="CCEE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CEEFF"/>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Cumulative effect upon adoption of ASU 2023-08</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r>
      <w:tr>
        <w:trPr>
          <w:trHeight w:val="247"/>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96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CFF"/>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recognized from bitcoin mined, net of receivable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00" w:type="dxa"/>
            <w:vAlign w:val="bottom"/>
          </w:tcPr>
          <w:p>
            <w:pPr>
              <w:spacing w:after="0"/>
              <w:rPr>
                <w:sz w:val="20"/>
                <w:szCs w:val="20"/>
                <w:color w:val="auto"/>
              </w:rPr>
            </w:pPr>
          </w:p>
        </w:tc>
      </w:tr>
      <w:tr>
        <w:trPr>
          <w:trHeight w:val="247"/>
        </w:trPr>
        <w:tc>
          <w:tcPr>
            <w:tcW w:w="76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Proceeds from sale of bitcoin</w:t>
            </w:r>
          </w:p>
        </w:tc>
        <w:tc>
          <w:tcPr>
            <w:tcW w:w="96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(20,958 )</w:t>
            </w:r>
          </w:p>
        </w:tc>
      </w:tr>
      <w:tr>
        <w:trPr>
          <w:trHeight w:val="243"/>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bitcoin</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tcPr>
          <w:p>
            <w:pPr>
              <w:spacing w:after="0"/>
              <w:rPr>
                <w:sz w:val="21"/>
                <w:szCs w:val="21"/>
                <w:color w:val="auto"/>
              </w:rPr>
            </w:pPr>
          </w:p>
        </w:tc>
      </w:tr>
      <w:tr>
        <w:trPr>
          <w:trHeight w:val="276"/>
        </w:trPr>
        <w:tc>
          <w:tcPr>
            <w:tcW w:w="7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960" w:type="dxa"/>
            <w:vAlign w:val="bottom"/>
            <w:tcBorders>
              <w:bottom w:val="single" w:sz="8" w:color="auto"/>
            </w:tcBorders>
            <w:shd w:val="clear" w:color="auto" w:fill="CCEC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5"/>
              </w:rPr>
              <w:t>123,307</w:t>
            </w:r>
          </w:p>
        </w:tc>
        <w:tc>
          <w:tcPr>
            <w:tcW w:w="440" w:type="dxa"/>
            <w:vAlign w:val="bottom"/>
            <w:tcBorders>
              <w:bottom w:val="single" w:sz="8" w:color="CCECFF"/>
            </w:tcBorders>
            <w:gridSpan w:val="2"/>
            <w:shd w:val="clear" w:color="auto" w:fill="CCECFF"/>
          </w:tcPr>
          <w:p>
            <w:pPr>
              <w:spacing w:after="0"/>
              <w:rPr>
                <w:sz w:val="24"/>
                <w:szCs w:val="24"/>
                <w:color w:val="auto"/>
              </w:rPr>
            </w:pPr>
          </w:p>
        </w:tc>
        <w:tc>
          <w:tcPr>
            <w:tcW w:w="36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held approximately 1,730, and 780 bitcoin at March 31, 2024, and December 31, 2023, respectively. The associated fair value and cost basis of bitcoin held was $123.3 million, and $80.7 million, respectively, at March 31, 2024, and $33.0 million, and $30.9 million, respectively at December 31, 2023. Fair value of bitcoin is estimated using the closing price of bitcoin, which is a Level 1 input (i.e., an observable input such as a quoted price in an active market for an identical asset).</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may pledge bitcoin as collateral related to bitcoin trading strategies. As of March 31, 2024, 67 bitcoin with a fair value of $4.8 million were pledged. Restrictions on that collateral lapsed on April 1, 2024. As of December 31, 2023, 10 bitcoin with a fair value of $0.4 million were pledged. Restrictions on that collateral lapsed on January 26,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Luminant Power Agreement</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ET Services Company LLC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provisions. The Luminant Power Agreement provides for a subsequent automatic annual renewal unless either party provides written notice to the other party of its intent to terminate the agreement at least six months prior to the expiration of the then current term. Starting from July 1, 2022, and prior to the receipt of interconnection approval from the Electric Reliability Council of Texas (“ERCOT”), under the take or pay framework of the Luminant Power Agreement and pursuant to the ramp-up schedule agreed to between Luminant and Cipher, Luminant began sales of the scheduled energy in the ERCOT market.</w:t>
      </w:r>
    </w:p>
    <w:p>
      <w:pPr>
        <w:spacing w:after="0" w:line="16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Because ERCOT allows for net settlement, the Company’s management determined that, as of July 1, 2022, the Luminant Power Agreement met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Because the Company has the ability to sell its electricity in the ERCOT market rather than take physical delivery, physical delivery is not probable through the entirety of the contract and therefore, the Company’s management does not believe the normal purchases and normal sales scope exception applies to the Luminant Power Agreement. Accordingly, the Luminant Power Agreement (the non-hedging derivative contract) is recorded at its estimated fair value each reporting period with the change in the fair value recorded in change in fair value of derivative asset in the consolidated statements of operations. See additional information regarding valuation of the Luminant Power Agreement derivative in Note 17.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Depending on the spot market price of electricity, the Company may opportunistically sell electricity in the ERCOT market in exchange for cash payments, rather than utilizing the power to mine for bitcoin at the Odessa Facility during peak times in order to most efficiently manage the Company’s operating costs. The Company earned approximately $1.2 million and $0.1 million, from power sales for the three months ended March 31, 2024, and 2023, respectively, and recorded this amount in power sales within costs and operating expenses (income) on the unaudited condensed consolidated statement of operations, with the corresponding cost of the power sold recorded in cost of revenue. See Note 1.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for information regarding the out-of-period adjustments recorded during the three months ended March 31, 2023, which affected cost of power, power sales, net operating loss and net loss on the Company’s unaudited condensed consolidated statement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2140" w:type="dxa"/>
            <w:vAlign w:val="bottom"/>
            <w:tcBorders>
              <w:top w:val="single" w:sz="8" w:color="auto"/>
            </w:tcBorders>
            <w:shd w:val="clear" w:color="auto" w:fill="CCEEFF"/>
          </w:tcPr>
          <w:p>
            <w:pPr>
              <w:jc w:val="right"/>
              <w:ind w:right="19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168,684</w:t>
            </w:r>
          </w:p>
        </w:tc>
        <w:tc>
          <w:tcPr>
            <w:tcW w:w="56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163,523</w:t>
            </w:r>
          </w:p>
        </w:tc>
        <w:tc>
          <w:tcPr>
            <w:tcW w:w="100" w:type="dxa"/>
            <w:vAlign w:val="bottom"/>
            <w:shd w:val="clear" w:color="auto" w:fill="CCEEFF"/>
          </w:tcPr>
          <w:p>
            <w:pPr>
              <w:spacing w:after="0"/>
              <w:rPr>
                <w:sz w:val="21"/>
                <w:szCs w:val="2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137,496</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138,883</w:t>
            </w:r>
          </w:p>
        </w:tc>
        <w:tc>
          <w:tcPr>
            <w:tcW w:w="100" w:type="dxa"/>
            <w:vAlign w:val="bottom"/>
          </w:tcPr>
          <w:p>
            <w:pPr>
              <w:spacing w:after="0"/>
              <w:rPr>
                <w:sz w:val="20"/>
                <w:szCs w:val="20"/>
                <w:color w:val="auto"/>
              </w:rPr>
            </w:pPr>
          </w:p>
        </w:tc>
      </w:tr>
      <w:tr>
        <w:trPr>
          <w:trHeight w:val="247"/>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14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5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CFF"/>
          </w:tcPr>
          <w:p>
            <w:pPr>
              <w:spacing w:after="0"/>
              <w:rPr>
                <w:sz w:val="21"/>
                <w:szCs w:val="2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Autos</w:t>
            </w:r>
          </w:p>
        </w:tc>
        <w:tc>
          <w:tcPr>
            <w:tcW w:w="2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r>
      <w:tr>
        <w:trPr>
          <w:trHeight w:val="247"/>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14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6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CFF"/>
          </w:tcPr>
          <w:p>
            <w:pPr>
              <w:spacing w:after="0"/>
              <w:rPr>
                <w:sz w:val="21"/>
                <w:szCs w:val="2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41"/>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214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314,404</w:t>
            </w:r>
          </w:p>
        </w:tc>
        <w:tc>
          <w:tcPr>
            <w:tcW w:w="560" w:type="dxa"/>
            <w:vAlign w:val="bottom"/>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2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302,895</w:t>
            </w:r>
          </w:p>
        </w:tc>
        <w:tc>
          <w:tcPr>
            <w:tcW w:w="100" w:type="dxa"/>
            <w:vAlign w:val="bottom"/>
            <w:shd w:val="clear" w:color="auto" w:fill="CCECFF"/>
          </w:tcPr>
          <w:p>
            <w:pPr>
              <w:spacing w:after="0"/>
              <w:rPr>
                <w:sz w:val="20"/>
                <w:szCs w:val="20"/>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4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(75,863 )</w:t>
            </w:r>
          </w:p>
        </w:tc>
        <w:tc>
          <w:tcPr>
            <w:tcW w:w="400" w:type="dxa"/>
            <w:vAlign w:val="bottom"/>
          </w:tcPr>
          <w:p>
            <w:pPr>
              <w:spacing w:after="0"/>
              <w:rPr>
                <w:sz w:val="20"/>
                <w:szCs w:val="20"/>
                <w:color w:val="auto"/>
              </w:rPr>
            </w:pPr>
          </w:p>
        </w:tc>
        <w:tc>
          <w:tcPr>
            <w:tcW w:w="2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(59,080 )</w:t>
            </w:r>
          </w:p>
        </w:tc>
      </w:tr>
      <w:tr>
        <w:trPr>
          <w:trHeight w:val="281"/>
        </w:trPr>
        <w:tc>
          <w:tcPr>
            <w:tcW w:w="4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40" w:type="dxa"/>
            <w:vAlign w:val="bottom"/>
            <w:tcBorders>
              <w:top w:val="single" w:sz="8" w:color="auto"/>
              <w:bottom w:val="single" w:sz="8" w:color="auto"/>
            </w:tcBorders>
            <w:shd w:val="clear" w:color="auto" w:fill="CCECFF"/>
          </w:tcPr>
          <w:p>
            <w:pPr>
              <w:jc w:val="right"/>
              <w:ind w:right="19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238,541</w:t>
            </w:r>
          </w:p>
        </w:tc>
        <w:tc>
          <w:tcPr>
            <w:tcW w:w="56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243,815</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added approximately $7.7 million of construction-in-progress related to the Black Pearl Facility. Depreciation expense was approximately $17.1 million and $11.7 million, respectively, for the three months ended March 31, 2024 and 2023, and included approximately $0.8 million, and $0.4 million respectively, of accretion expense related to the Company’s asset retirement obligation.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3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4, 2023, the Company entered into an agreement with Bitmain to purchase 1.2 EH/s worth of miners for a total purchase price of $24.0 million to be paid in cash and coupons, or $16.8 million in cash after applying coupons. Related to this agreement, the Company has made installment payments of $13.0 million, $5.2 million of which has been placed into service and reclassified into Property and equipment as of March 31, 2024. The remaining batches of miners are expected to be delivered by June 2024.</w:t>
      </w:r>
    </w:p>
    <w:p>
      <w:pPr>
        <w:spacing w:after="0" w:line="28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December 18, 2023, the Company entered into a second agreement with Bitmain to purchase 7.1 EH/s of the latest generation miners to be delivered in the first half of 2025. The Company paid a deposit of $9.9 million upon execution of the agreement. The agreement has an option to purchase an additional 8.7 EH/s in 2024. The Company paid $12.2 million as a deposit, which can be used towards purchases under this option. As of March 31, 2024, the option has not been exercised.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 IN EQUITY INVESTEES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49% equity interest in its partially owned mining operations Alborz LLC, Bear LLC and Chief, LLC (the “Data Center LLCs”).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fiscal year 2022, the Company contributed miners and mining equipment to the Alborz, Bear and Chief Facilities. The majority of these contributed miners had a fair value that was lower than the cost paid by the Company to obtain them, and the Company recognized losses at the time of the contributions, resulting in basis differences related to the Company’s investments in the Data Center LLCs, which recorded the contributions of equipment from the Company at the historical cost paid by the Company to obtain the equipment. As the Data Center LLCs depreciate the historical cost of these miners on their respective financial statements over the expected depreciation period of five years, the Company accretes these basis differences over the same period and records the accretion amount for each reporting period within equity in losses of equity investees on its statements of operations until these miners are fully depreciated and the corresponding basis differences are fully accreted. As of March 31, 2024, the Company had remaining basis differences totaling approximately $23.1 million that have not yet been accreted.</w:t>
      </w:r>
    </w:p>
    <w:p>
      <w:pPr>
        <w:spacing w:after="0" w:line="16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Activity in the Company’s investments in equity investees during the three months ended March 31, 2024, and 2023, consisted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3780" w:type="dxa"/>
            <w:vAlign w:val="bottom"/>
            <w:shd w:val="clear" w:color="auto" w:fill="CCECFF"/>
          </w:tcPr>
          <w:p>
            <w:pPr>
              <w:spacing w:after="0"/>
              <w:rPr>
                <w:sz w:val="21"/>
                <w:szCs w:val="21"/>
                <w:color w:val="auto"/>
              </w:rPr>
            </w:pPr>
          </w:p>
        </w:tc>
        <w:tc>
          <w:tcPr>
            <w:tcW w:w="9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100" w:type="dxa"/>
            <w:vAlign w:val="bottom"/>
            <w:shd w:val="clear" w:color="auto" w:fill="CCEEFF"/>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contributed mining equipment and other capital contributions</w:t>
            </w:r>
          </w:p>
        </w:tc>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0"/>
                <w:szCs w:val="20"/>
                <w:color w:val="auto"/>
              </w:rPr>
            </w:pPr>
          </w:p>
        </w:tc>
      </w:tr>
      <w:tr>
        <w:trPr>
          <w:trHeight w:val="247"/>
        </w:trPr>
        <w:tc>
          <w:tcPr>
            <w:tcW w:w="5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37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CFF"/>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distributions</w:t>
            </w:r>
          </w:p>
        </w:tc>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(3,807 )</w:t>
            </w:r>
          </w:p>
        </w:tc>
      </w:tr>
      <w:tr>
        <w:trPr>
          <w:trHeight w:val="247"/>
        </w:trPr>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3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3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(2,420 )</w:t>
            </w:r>
          </w:p>
        </w:tc>
      </w:tr>
      <w:tr>
        <w:trPr>
          <w:trHeight w:val="237"/>
        </w:trPr>
        <w:tc>
          <w:tcPr>
            <w:tcW w:w="5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3780" w:type="dxa"/>
            <w:vAlign w:val="bottom"/>
            <w:tcBorders>
              <w:bottom w:val="single" w:sz="8" w:color="CCECFF"/>
            </w:tcBorders>
            <w:shd w:val="clear" w:color="auto" w:fill="CCEC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53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3780" w:type="dxa"/>
            <w:vAlign w:val="bottom"/>
            <w:shd w:val="clear" w:color="auto" w:fill="CCECFF"/>
          </w:tcPr>
          <w:p>
            <w:pPr>
              <w:spacing w:after="0"/>
              <w:rPr>
                <w:sz w:val="21"/>
                <w:szCs w:val="21"/>
                <w:color w:val="auto"/>
              </w:rPr>
            </w:pPr>
          </w:p>
        </w:tc>
        <w:tc>
          <w:tcPr>
            <w:tcW w:w="9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shd w:val="clear" w:color="auto" w:fill="CCEEFF"/>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contributed mining equipment and other capital contributions</w:t>
            </w:r>
          </w:p>
        </w:tc>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100" w:type="dxa"/>
            <w:vAlign w:val="bottom"/>
          </w:tcPr>
          <w:p>
            <w:pPr>
              <w:spacing w:after="0"/>
              <w:rPr>
                <w:sz w:val="20"/>
                <w:szCs w:val="20"/>
                <w:color w:val="auto"/>
              </w:rPr>
            </w:pPr>
          </w:p>
        </w:tc>
      </w:tr>
      <w:tr>
        <w:trPr>
          <w:trHeight w:val="247"/>
        </w:trPr>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3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distributions</w:t>
            </w:r>
          </w:p>
        </w:tc>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3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(1,694 )</w:t>
            </w: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3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(933 )</w:t>
            </w:r>
          </w:p>
        </w:tc>
      </w:tr>
      <w:tr>
        <w:trPr>
          <w:trHeight w:val="237"/>
        </w:trPr>
        <w:tc>
          <w:tcPr>
            <w:tcW w:w="5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3780" w:type="dxa"/>
            <w:vAlign w:val="bottom"/>
            <w:tcBorders>
              <w:bottom w:val="single" w:sz="8" w:color="CCECFF"/>
            </w:tcBorders>
            <w:shd w:val="clear" w:color="auto" w:fill="CCEC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641"/>
        </w:trPr>
        <w:tc>
          <w:tcPr>
            <w:tcW w:w="5360" w:type="dxa"/>
            <w:vAlign w:val="bottom"/>
          </w:tcPr>
          <w:p>
            <w:pPr>
              <w:spacing w:after="0"/>
              <w:rPr>
                <w:sz w:val="24"/>
                <w:szCs w:val="24"/>
                <w:color w:val="auto"/>
              </w:rPr>
            </w:pPr>
          </w:p>
        </w:tc>
        <w:tc>
          <w:tcPr>
            <w:tcW w:w="3780" w:type="dxa"/>
            <w:vAlign w:val="bottom"/>
          </w:tcPr>
          <w:p>
            <w:pPr>
              <w:jc w:val="right"/>
              <w:ind w:right="333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3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consisted of the following for the dates indicated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30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2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50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00" w:type="dxa"/>
            <w:vAlign w:val="bottom"/>
          </w:tcPr>
          <w:p>
            <w:pPr>
              <w:spacing w:after="0"/>
              <w:rPr>
                <w:sz w:val="20"/>
                <w:szCs w:val="20"/>
                <w:color w:val="auto"/>
              </w:rPr>
            </w:pPr>
          </w:p>
        </w:tc>
      </w:tr>
      <w:tr>
        <w:trPr>
          <w:trHeight w:val="2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80" w:type="dxa"/>
            <w:vAlign w:val="bottom"/>
            <w:gridSpan w:val="3"/>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00" w:type="dxa"/>
            <w:vAlign w:val="bottom"/>
            <w:shd w:val="clear" w:color="auto" w:fill="CCECFF"/>
          </w:tcPr>
          <w:p>
            <w:pPr>
              <w:spacing w:after="0"/>
              <w:rPr>
                <w:sz w:val="20"/>
                <w:szCs w:val="20"/>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(153 )</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280" w:type="dxa"/>
            <w:vAlign w:val="bottom"/>
            <w:gridSpan w:val="2"/>
            <w:shd w:val="clear" w:color="auto" w:fill="CCECFF"/>
          </w:tcPr>
          <w:p>
            <w:pPr>
              <w:spacing w:after="0"/>
              <w:rPr>
                <w:sz w:val="22"/>
                <w:szCs w:val="22"/>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(270 )</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shd w:val="clear" w:color="auto" w:fill="CCECFF"/>
          </w:tcPr>
          <w:p>
            <w:pPr>
              <w:spacing w:after="0"/>
              <w:rPr>
                <w:sz w:val="22"/>
                <w:szCs w:val="22"/>
                <w:color w:val="auto"/>
              </w:rPr>
            </w:pPr>
          </w:p>
        </w:tc>
      </w:tr>
      <w:tr>
        <w:trPr>
          <w:trHeight w:val="20"/>
        </w:trPr>
        <w:tc>
          <w:tcPr>
            <w:tcW w:w="30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-25400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30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2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50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00" w:type="dxa"/>
            <w:vAlign w:val="bottom"/>
          </w:tcPr>
          <w:p>
            <w:pPr>
              <w:spacing w:after="0"/>
              <w:rPr>
                <w:sz w:val="20"/>
                <w:szCs w:val="20"/>
                <w:color w:val="auto"/>
              </w:rPr>
            </w:pPr>
          </w:p>
        </w:tc>
      </w:tr>
      <w:tr>
        <w:trPr>
          <w:trHeight w:val="2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80" w:type="dxa"/>
            <w:vAlign w:val="bottom"/>
            <w:gridSpan w:val="3"/>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shd w:val="clear" w:color="auto" w:fill="CCECFF"/>
          </w:tcPr>
          <w:p>
            <w:pPr>
              <w:spacing w:after="0"/>
              <w:rPr>
                <w:sz w:val="20"/>
                <w:szCs w:val="20"/>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280" w:type="dxa"/>
            <w:vAlign w:val="bottom"/>
            <w:gridSpan w:val="2"/>
            <w:shd w:val="clear" w:color="auto" w:fill="CCECFF"/>
          </w:tcPr>
          <w:p>
            <w:pPr>
              <w:spacing w:after="0"/>
              <w:rPr>
                <w:sz w:val="22"/>
                <w:szCs w:val="22"/>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shd w:val="clear" w:color="auto" w:fill="CCECFF"/>
          </w:tcPr>
          <w:p>
            <w:pPr>
              <w:spacing w:after="0"/>
              <w:rPr>
                <w:sz w:val="22"/>
                <w:szCs w:val="22"/>
                <w:color w:val="auto"/>
              </w:rPr>
            </w:pPr>
          </w:p>
        </w:tc>
      </w:tr>
      <w:tr>
        <w:trPr>
          <w:trHeight w:val="20"/>
        </w:trPr>
        <w:tc>
          <w:tcPr>
            <w:tcW w:w="30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$0.1 million and nil in the three months ended March 31, 2024 and 2023, respectively. The Company expects to record amortization expense as follows over the next five subsequent years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20" w:type="dxa"/>
            <w:vAlign w:val="bottom"/>
          </w:tcPr>
          <w:p>
            <w:pPr>
              <w:spacing w:after="0"/>
              <w:rPr>
                <w:sz w:val="21"/>
                <w:szCs w:val="21"/>
                <w:color w:val="auto"/>
              </w:rPr>
            </w:pPr>
          </w:p>
        </w:tc>
        <w:tc>
          <w:tcPr>
            <w:tcW w:w="4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Remaining Year Ended December 31, 2024</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24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9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420" w:type="dxa"/>
            <w:vAlign w:val="bottom"/>
          </w:tcPr>
          <w:p>
            <w:pPr>
              <w:spacing w:after="0"/>
              <w:rPr>
                <w:sz w:val="21"/>
                <w:szCs w:val="21"/>
                <w:color w:val="auto"/>
              </w:rPr>
            </w:pPr>
          </w:p>
        </w:tc>
        <w:tc>
          <w:tcPr>
            <w:tcW w:w="4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96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24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9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420" w:type="dxa"/>
            <w:vAlign w:val="bottom"/>
          </w:tcPr>
          <w:p>
            <w:pPr>
              <w:spacing w:after="0"/>
              <w:rPr>
                <w:sz w:val="21"/>
                <w:szCs w:val="21"/>
                <w:color w:val="auto"/>
              </w:rPr>
            </w:pPr>
          </w:p>
        </w:tc>
        <w:tc>
          <w:tcPr>
            <w:tcW w:w="4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96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82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7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24"/>
                <w:szCs w:val="24"/>
                <w:color w:val="auto"/>
              </w:rPr>
            </w:pPr>
          </w:p>
        </w:tc>
      </w:tr>
      <w:tr>
        <w:trPr>
          <w:trHeight w:val="243"/>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Luminant Power Purchase Agreement collateral</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12,554</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00" w:type="dxa"/>
            <w:vAlign w:val="bottom"/>
            <w:shd w:val="clear" w:color="auto" w:fill="CCEEFF"/>
          </w:tcPr>
          <w:p>
            <w:pPr>
              <w:spacing w:after="0"/>
              <w:rPr>
                <w:sz w:val="21"/>
                <w:szCs w:val="21"/>
                <w:color w:val="auto"/>
              </w:rPr>
            </w:pPr>
          </w:p>
        </w:tc>
      </w:tr>
      <w:tr>
        <w:trPr>
          <w:trHeight w:val="23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Luminant Purchase and Sale Agreement collateral</w:t>
            </w:r>
          </w:p>
        </w:tc>
        <w:tc>
          <w:tcPr>
            <w:tcW w:w="9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3,063</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0"/>
                <w:szCs w:val="20"/>
                <w:color w:val="auto"/>
              </w:rPr>
            </w:pPr>
          </w:p>
        </w:tc>
      </w:tr>
      <w:tr>
        <w:trPr>
          <w:trHeight w:val="247"/>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security deposits</w:t>
            </w:r>
          </w:p>
        </w:tc>
        <w:tc>
          <w:tcPr>
            <w:tcW w:w="9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21"/>
                <w:szCs w:val="21"/>
                <w:color w:val="auto"/>
              </w:rPr>
            </w:pPr>
          </w:p>
        </w:tc>
      </w:tr>
      <w:tr>
        <w:trPr>
          <w:trHeight w:val="23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Black Pearl</w:t>
            </w:r>
          </w:p>
        </w:tc>
        <w:tc>
          <w:tcPr>
            <w:tcW w:w="9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Pr>
          <w:p>
            <w:pPr>
              <w:spacing w:after="0"/>
              <w:rPr>
                <w:sz w:val="20"/>
                <w:szCs w:val="20"/>
                <w:color w:val="auto"/>
              </w:rPr>
            </w:pPr>
          </w:p>
        </w:tc>
      </w:tr>
      <w:tr>
        <w:trPr>
          <w:trHeight w:val="247"/>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9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1,009</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security deposits</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23,855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23,855</w:t>
            </w:r>
          </w:p>
        </w:tc>
        <w:tc>
          <w:tcPr>
            <w:tcW w:w="10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were $2.9 million and $3.7 million as of March 31, 2024 and December 31, 2023, respectively, primarily consisting of prepaid insurance in both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43"/>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6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100" w:type="dxa"/>
            <w:vAlign w:val="bottom"/>
            <w:shd w:val="clear" w:color="auto" w:fill="CCECFF"/>
          </w:tcPr>
          <w:p>
            <w:pPr>
              <w:spacing w:after="0"/>
              <w:rPr>
                <w:sz w:val="21"/>
                <w:szCs w:val="2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costs</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r>
      <w:tr>
        <w:trPr>
          <w:trHeight w:val="247"/>
        </w:trPr>
        <w:tc>
          <w:tcPr>
            <w:tcW w:w="7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Due to broker</w:t>
            </w:r>
          </w:p>
        </w:tc>
        <w:tc>
          <w:tcPr>
            <w:tcW w:w="220" w:type="dxa"/>
            <w:vAlign w:val="bottom"/>
            <w:shd w:val="clear" w:color="auto" w:fill="CCECFF"/>
          </w:tcPr>
          <w:p>
            <w:pPr>
              <w:spacing w:after="0"/>
              <w:rPr>
                <w:sz w:val="21"/>
                <w:szCs w:val="21"/>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4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Pr>
          <w:p>
            <w:pPr>
              <w:spacing w:after="0"/>
              <w:rPr>
                <w:sz w:val="20"/>
                <w:szCs w:val="20"/>
                <w:color w:val="auto"/>
              </w:rPr>
            </w:pPr>
          </w:p>
        </w:tc>
      </w:tr>
      <w:tr>
        <w:trPr>
          <w:trHeight w:val="247"/>
        </w:trPr>
        <w:tc>
          <w:tcPr>
            <w:tcW w:w="7200" w:type="dxa"/>
            <w:vAlign w:val="bottom"/>
            <w:shd w:val="clear" w:color="auto" w:fill="CCECFF"/>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Legal settlement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CFF"/>
          </w:tcPr>
          <w:p>
            <w:pPr>
              <w:spacing w:after="0"/>
              <w:rPr>
                <w:sz w:val="21"/>
                <w:szCs w:val="21"/>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C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r>
      <w:tr>
        <w:trPr>
          <w:trHeight w:val="277"/>
        </w:trPr>
        <w:tc>
          <w:tcPr>
            <w:tcW w:w="7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6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100" w:type="dxa"/>
            <w:vAlign w:val="bottom"/>
            <w:shd w:val="clear" w:color="auto" w:fill="CCECFF"/>
          </w:tcPr>
          <w:p>
            <w:pPr>
              <w:spacing w:after="0"/>
              <w:rPr>
                <w:sz w:val="24"/>
                <w:szCs w:val="24"/>
                <w:color w:val="auto"/>
              </w:rPr>
            </w:pPr>
          </w:p>
        </w:tc>
      </w:tr>
      <w:tr>
        <w:trPr>
          <w:trHeight w:val="223"/>
        </w:trPr>
        <w:tc>
          <w:tcPr>
            <w:tcW w:w="720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__________</w:t>
            </w:r>
          </w:p>
        </w:tc>
        <w:tc>
          <w:tcPr>
            <w:tcW w:w="2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440" w:type="dxa"/>
            <w:vAlign w:val="bottom"/>
            <w:tcBorders>
              <w:top w:val="single" w:sz="8" w:color="CCEC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-179070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-162560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980" w:hanging="223"/>
        <w:spacing w:after="0" w:line="211" w:lineRule="auto"/>
        <w:tabs>
          <w:tab w:leader="none" w:pos="9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regarding the legal settlement accrual as of March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Related party receivables were $0.4 million, and $0.2 million as of March 31, 2024 and December 31, 2023, respectively, consisting of expenses paid on behalf of the Data Center LLCs.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deposits on equipment and related party payables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8, 2022, the Company entered into two agreements with Bitfury USA Inc. (“Bitfury USA”), made under, and as a part of, the Master Services and Supply Agreement to purchase BlockBox air-cooled containers. Additionally, Bitfury USA contracted with third-party vendors for the purchase of equipment and the receipt of services related to Cipher’s future mining operations. Pursuant to one of these arrangements between Bitfury USA and a third-party vendor, Paradigm Controls of Texas, LLC (“Paradigm”), the Company made payments directly to Paradigm in place of Bitfury USA, in respect of manufacturing services for BBACs, totaling approximately $5.8 million during the year ended December 31, 2023 and the Company’s obligations to Bitfury USA under the Master Services and Supply Agreement were reduced by the same amount. The Company and Bitfury Top HoldCo terminated the Master Services and Supply Agreement on February 28, 2024, for no additional consideration.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Luminant Lease Agreement</w:t>
      </w:r>
    </w:p>
    <w:p>
      <w:pPr>
        <w:spacing w:after="0" w:line="20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Company entered into a series of agreements with affiliates of Luminant, including the Lease Agreement dated June 29, 2021, with amendment and restatement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3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w:t>
      </w:r>
    </w:p>
    <w:p>
      <w:pPr>
        <w:spacing w:after="0" w:line="13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July 11, 2023, the Company entered into an amendment of the payment schedule to the Luminant Purchase and Sale Agreement, reflecting monthly installments of principal and interest totaling $19.7 million on an undiscounted basis, due over the remaining four-year period starting in July 2023. On August 23, 2023, the Company entered into a second amendment of the Luminant Lease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Agreement, the terms of which included confirming the initial term will end on July 31, 2027. These amendments did not have a material impact on the Company’s unaudited condensed consolidated financial statements.</w:t>
      </w:r>
    </w:p>
    <w:p>
      <w:pPr>
        <w:spacing w:after="0" w:line="13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headquarters lease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entered into an operating lease for office space located in New York. The lease has an initial term of 64 months and commenced on February 1, 2022. The lease does not provide the Company with renewal options.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80" w:type="dxa"/>
            <w:vAlign w:val="bottom"/>
          </w:tcPr>
          <w:p>
            <w:pPr>
              <w:spacing w:after="0"/>
              <w:rPr>
                <w:sz w:val="19"/>
                <w:szCs w:val="19"/>
                <w:color w:val="auto"/>
              </w:rPr>
            </w:pPr>
          </w:p>
        </w:tc>
        <w:tc>
          <w:tcPr>
            <w:tcW w:w="33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18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21"/>
                <w:szCs w:val="21"/>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200" w:type="dxa"/>
            <w:vAlign w:val="bottom"/>
            <w:tcBorders>
              <w:top w:val="single" w:sz="8" w:color="auto"/>
            </w:tcBorders>
            <w:shd w:val="clear" w:color="auto" w:fill="CCECFF"/>
          </w:tcPr>
          <w:p>
            <w:pPr>
              <w:spacing w:after="0"/>
              <w:rPr>
                <w:sz w:val="21"/>
                <w:szCs w:val="21"/>
                <w:color w:val="auto"/>
              </w:rPr>
            </w:pPr>
          </w:p>
        </w:tc>
        <w:tc>
          <w:tcPr>
            <w:tcW w:w="560" w:type="dxa"/>
            <w:vAlign w:val="bottom"/>
            <w:tcBorders>
              <w:top w:val="single" w:sz="8" w:color="auto"/>
            </w:tcBorders>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1160" w:type="dxa"/>
            <w:vAlign w:val="bottom"/>
            <w:tcBorders>
              <w:top w:val="single" w:sz="8" w:color="auto"/>
            </w:tcBorders>
            <w:shd w:val="clear" w:color="auto" w:fill="CCECFF"/>
          </w:tcPr>
          <w:p>
            <w:pPr>
              <w:spacing w:after="0"/>
              <w:rPr>
                <w:sz w:val="21"/>
                <w:szCs w:val="21"/>
                <w:color w:val="auto"/>
              </w:rPr>
            </w:pPr>
          </w:p>
        </w:tc>
        <w:tc>
          <w:tcPr>
            <w:tcW w:w="58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43"/>
        </w:trPr>
        <w:tc>
          <w:tcPr>
            <w:tcW w:w="71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4"/>
                <w:szCs w:val="24"/>
                <w:color w:val="auto"/>
                <w:vertAlign w:val="superscript"/>
              </w:rPr>
              <w:t>(1)</w:t>
            </w:r>
          </w:p>
        </w:tc>
        <w:tc>
          <w:tcPr>
            <w:tcW w:w="120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1"/>
                <w:szCs w:val="21"/>
                <w:color w:val="auto"/>
              </w:rPr>
            </w:pPr>
          </w:p>
        </w:tc>
      </w:tr>
      <w:tr>
        <w:trPr>
          <w:trHeight w:val="243"/>
        </w:trPr>
        <w:tc>
          <w:tcPr>
            <w:tcW w:w="7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200" w:type="dxa"/>
            <w:vAlign w:val="bottom"/>
            <w:tcBorders>
              <w:bottom w:val="single" w:sz="8" w:color="auto"/>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6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auto"/>
            </w:tcBorders>
            <w:shd w:val="clear" w:color="auto" w:fill="CCECFF"/>
          </w:tcPr>
          <w:p>
            <w:pPr>
              <w:spacing w:after="0"/>
              <w:rPr>
                <w:sz w:val="21"/>
                <w:szCs w:val="2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0"/>
                <w:szCs w:val="20"/>
                <w:color w:val="auto"/>
              </w:rPr>
            </w:pPr>
          </w:p>
        </w:tc>
      </w:tr>
      <w:tr>
        <w:trPr>
          <w:trHeight w:val="247"/>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0" w:type="dxa"/>
            <w:vAlign w:val="bottom"/>
            <w:shd w:val="clear" w:color="auto" w:fill="CCECFF"/>
          </w:tcPr>
          <w:p>
            <w:pPr>
              <w:spacing w:after="0"/>
              <w:rPr>
                <w:sz w:val="21"/>
                <w:szCs w:val="21"/>
                <w:color w:val="auto"/>
              </w:rPr>
            </w:pPr>
          </w:p>
        </w:tc>
        <w:tc>
          <w:tcPr>
            <w:tcW w:w="56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116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r>
      <w:tr>
        <w:trPr>
          <w:trHeight w:val="247"/>
        </w:trPr>
        <w:tc>
          <w:tcPr>
            <w:tcW w:w="7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1200" w:type="dxa"/>
            <w:vAlign w:val="bottom"/>
            <w:tcBorders>
              <w:bottom w:val="single" w:sz="8" w:color="auto"/>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CFF"/>
            </w:tcBorders>
            <w:shd w:val="clear" w:color="auto" w:fill="CCECFF"/>
          </w:tcPr>
          <w:p>
            <w:pPr>
              <w:spacing w:after="0"/>
              <w:rPr>
                <w:sz w:val="21"/>
                <w:szCs w:val="21"/>
                <w:color w:val="auto"/>
              </w:rPr>
            </w:pPr>
          </w:p>
        </w:tc>
        <w:tc>
          <w:tcPr>
            <w:tcW w:w="1160" w:type="dxa"/>
            <w:vAlign w:val="bottom"/>
            <w:tcBorders>
              <w:bottom w:val="single" w:sz="8" w:color="auto"/>
            </w:tcBorders>
            <w:shd w:val="clear" w:color="auto" w:fill="CCECFF"/>
          </w:tcPr>
          <w:p>
            <w:pPr>
              <w:spacing w:after="0"/>
              <w:rPr>
                <w:sz w:val="21"/>
                <w:szCs w:val="2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0"/>
                <w:szCs w:val="20"/>
                <w:color w:val="auto"/>
              </w:rPr>
            </w:pPr>
          </w:p>
        </w:tc>
      </w:tr>
      <w:tr>
        <w:trPr>
          <w:trHeight w:val="277"/>
        </w:trPr>
        <w:tc>
          <w:tcPr>
            <w:tcW w:w="71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1200" w:type="dxa"/>
            <w:vAlign w:val="bottom"/>
            <w:shd w:val="clear" w:color="auto" w:fill="CCEC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620" w:type="dxa"/>
            <w:vAlign w:val="bottom"/>
            <w:gridSpan w:val="2"/>
            <w:shd w:val="clear" w:color="auto" w:fill="CCEC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CFF"/>
          </w:tcPr>
          <w:p>
            <w:pPr>
              <w:spacing w:after="0"/>
              <w:rPr>
                <w:sz w:val="24"/>
                <w:szCs w:val="24"/>
                <w:color w:val="auto"/>
              </w:rPr>
            </w:pPr>
          </w:p>
        </w:tc>
      </w:tr>
      <w:tr>
        <w:trPr>
          <w:trHeight w:val="197"/>
        </w:trPr>
        <w:tc>
          <w:tcPr>
            <w:tcW w:w="7180" w:type="dxa"/>
            <w:vAlign w:val="bottom"/>
            <w:tcBorders>
              <w:top w:val="single" w:sz="8" w:color="CCECFF"/>
            </w:tcBorders>
          </w:tcPr>
          <w:p>
            <w:pPr>
              <w:spacing w:after="0" w:line="197" w:lineRule="exact"/>
              <w:rPr>
                <w:sz w:val="20"/>
                <w:szCs w:val="20"/>
                <w:color w:val="auto"/>
              </w:rPr>
            </w:pPr>
            <w:r>
              <w:rPr>
                <w:rFonts w:ascii="Times New Roman" w:cs="Times New Roman" w:eastAsia="Times New Roman" w:hAnsi="Times New Roman"/>
                <w:sz w:val="18"/>
                <w:szCs w:val="18"/>
                <w:color w:val="auto"/>
              </w:rPr>
              <w:t>__________</w:t>
            </w:r>
          </w:p>
        </w:tc>
        <w:tc>
          <w:tcPr>
            <w:tcW w:w="1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60" w:type="dxa"/>
            <w:vAlign w:val="bottom"/>
            <w:tcBorders>
              <w:top w:val="single" w:sz="8" w:color="CCEC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-1114425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-1114425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-488315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-162560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-145415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4400" w:firstLine="757"/>
        <w:spacing w:after="0" w:line="423" w:lineRule="auto"/>
        <w:tabs>
          <w:tab w:leader="none" w:pos="934"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Amortization of finance lease ROU assets is included within depreciation expense. The Company did not incur any variable lease costs during any of the periods presented.</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80" w:type="dxa"/>
            <w:vAlign w:val="bottom"/>
            <w:gridSpan w:val="7"/>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3"/>
        </w:trPr>
        <w:tc>
          <w:tcPr>
            <w:tcW w:w="7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shd w:val="clear" w:color="auto" w:fill="CCECFF"/>
          </w:tcPr>
          <w:p>
            <w:pPr>
              <w:spacing w:after="0"/>
              <w:rPr>
                <w:sz w:val="21"/>
                <w:szCs w:val="21"/>
                <w:color w:val="auto"/>
              </w:rPr>
            </w:pPr>
          </w:p>
        </w:tc>
        <w:tc>
          <w:tcPr>
            <w:tcW w:w="44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466"/>
        </w:trPr>
        <w:tc>
          <w:tcPr>
            <w:tcW w:w="7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24"/>
                <w:szCs w:val="24"/>
                <w:color w:val="auto"/>
              </w:rPr>
            </w:pP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3"/>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240" w:type="dxa"/>
            <w:vAlign w:val="bottom"/>
            <w:tcBorders>
              <w:top w:val="single" w:sz="8" w:color="auto"/>
            </w:tcBorders>
            <w:shd w:val="clear" w:color="auto" w:fill="CCECFF"/>
          </w:tcPr>
          <w:p>
            <w:pPr>
              <w:spacing w:after="0"/>
              <w:rPr>
                <w:sz w:val="21"/>
                <w:szCs w:val="21"/>
                <w:color w:val="auto"/>
              </w:rPr>
            </w:pPr>
          </w:p>
        </w:tc>
        <w:tc>
          <w:tcPr>
            <w:tcW w:w="1540" w:type="dxa"/>
            <w:vAlign w:val="bottom"/>
            <w:tcBorders>
              <w:top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shd w:val="clear" w:color="auto" w:fill="CCECFF"/>
          </w:tcPr>
          <w:p>
            <w:pPr>
              <w:spacing w:after="0"/>
              <w:rPr>
                <w:sz w:val="21"/>
                <w:szCs w:val="21"/>
                <w:color w:val="auto"/>
              </w:rPr>
            </w:pPr>
          </w:p>
        </w:tc>
        <w:tc>
          <w:tcPr>
            <w:tcW w:w="160" w:type="dxa"/>
            <w:vAlign w:val="bottom"/>
            <w:tcBorders>
              <w:top w:val="single" w:sz="8" w:color="auto"/>
            </w:tcBorders>
            <w:shd w:val="clear" w:color="auto" w:fill="CCECFF"/>
          </w:tcPr>
          <w:p>
            <w:pPr>
              <w:spacing w:after="0"/>
              <w:rPr>
                <w:sz w:val="21"/>
                <w:szCs w:val="21"/>
                <w:color w:val="auto"/>
              </w:rPr>
            </w:pPr>
          </w:p>
        </w:tc>
        <w:tc>
          <w:tcPr>
            <w:tcW w:w="1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24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240" w:type="dxa"/>
            <w:vAlign w:val="bottom"/>
          </w:tcPr>
          <w:p>
            <w:pPr>
              <w:spacing w:after="0"/>
              <w:rPr>
                <w:sz w:val="20"/>
                <w:szCs w:val="20"/>
                <w:color w:val="auto"/>
              </w:rPr>
            </w:pPr>
          </w:p>
        </w:tc>
        <w:tc>
          <w:tcPr>
            <w:tcW w:w="1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11.0 %</w:t>
            </w:r>
          </w:p>
        </w:tc>
        <w:tc>
          <w:tcPr>
            <w:tcW w:w="16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5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240" w:type="dxa"/>
            <w:vAlign w:val="bottom"/>
          </w:tcPr>
          <w:p>
            <w:pPr>
              <w:spacing w:after="0"/>
              <w:rPr>
                <w:sz w:val="21"/>
                <w:szCs w:val="21"/>
                <w:color w:val="auto"/>
              </w:rPr>
            </w:pPr>
          </w:p>
        </w:tc>
        <w:tc>
          <w:tcPr>
            <w:tcW w:w="1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9.9 %</w:t>
            </w:r>
          </w:p>
        </w:tc>
        <w:tc>
          <w:tcPr>
            <w:tcW w:w="16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0"/>
        </w:trPr>
        <w:tc>
          <w:tcPr>
            <w:tcW w:w="7180" w:type="dxa"/>
            <w:vAlign w:val="bottom"/>
            <w:shd w:val="clear" w:color="auto" w:fill="CCEC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Finance lease ROU assets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10,399</w:t>
            </w:r>
          </w:p>
        </w:tc>
        <w:tc>
          <w:tcPr>
            <w:tcW w:w="44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3" w:lineRule="exact"/>
        <w:rPr>
          <w:sz w:val="20"/>
          <w:szCs w:val="20"/>
          <w:color w:val="auto"/>
        </w:rPr>
      </w:pPr>
    </w:p>
    <w:p>
      <w:pPr>
        <w:ind w:left="760" w:right="460" w:hanging="303"/>
        <w:spacing w:after="0" w:line="230" w:lineRule="auto"/>
        <w:tabs>
          <w:tab w:leader="none" w:pos="691"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 of March 31, 2024 and December 31, 2023, the Company had recorded accumulated amortization of approximately $2.0 million and $1.3 million, respectively, for the finance lease ROU assets. Finance lease ROU assets are recorded within property and equipment, net on the Company’s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future minimum lease payments during the next five years are as follows (in thousands):</w:t>
      </w:r>
    </w:p>
    <w:p>
      <w:pPr>
        <w:sectPr>
          <w:pgSz w:w="11900" w:h="16838" w:orient="portrait"/>
          <w:cols w:equalWidth="0" w:num="1">
            <w:col w:w="11300"/>
          </w:cols>
          <w:pgMar w:left="320" w:top="765"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8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20" w:type="dxa"/>
            <w:vAlign w:val="bottom"/>
          </w:tcPr>
          <w:p>
            <w:pPr>
              <w:spacing w:after="0"/>
              <w:rPr>
                <w:sz w:val="21"/>
                <w:szCs w:val="21"/>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400" w:type="dxa"/>
            <w:vAlign w:val="bottom"/>
            <w:shd w:val="clear" w:color="auto" w:fill="CCECFF"/>
          </w:tcPr>
          <w:p>
            <w:pPr>
              <w:spacing w:after="0"/>
              <w:rPr>
                <w:sz w:val="21"/>
                <w:szCs w:val="21"/>
                <w:color w:val="auto"/>
              </w:rPr>
            </w:pPr>
          </w:p>
        </w:tc>
        <w:tc>
          <w:tcPr>
            <w:tcW w:w="540" w:type="dxa"/>
            <w:vAlign w:val="bottom"/>
            <w:tcBorders>
              <w:top w:val="single" w:sz="8" w:color="auto"/>
            </w:tcBorders>
            <w:shd w:val="clear" w:color="auto" w:fill="CCEC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380" w:type="dxa"/>
            <w:vAlign w:val="bottom"/>
            <w:shd w:val="clear" w:color="auto" w:fill="CCECFF"/>
          </w:tcPr>
          <w:p>
            <w:pPr>
              <w:spacing w:after="0"/>
              <w:rPr>
                <w:sz w:val="21"/>
                <w:szCs w:val="21"/>
                <w:color w:val="auto"/>
              </w:rPr>
            </w:pPr>
          </w:p>
        </w:tc>
        <w:tc>
          <w:tcPr>
            <w:tcW w:w="320" w:type="dxa"/>
            <w:vAlign w:val="bottom"/>
            <w:tcBorders>
              <w:top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shd w:val="clear" w:color="auto" w:fill="CCECFF"/>
          </w:tcPr>
          <w:p>
            <w:pPr>
              <w:spacing w:after="0"/>
              <w:rPr>
                <w:sz w:val="21"/>
                <w:szCs w:val="21"/>
                <w:color w:val="auto"/>
              </w:rPr>
            </w:pPr>
          </w:p>
        </w:tc>
      </w:tr>
      <w:tr>
        <w:trPr>
          <w:trHeight w:val="23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Pr>
          <w:p>
            <w:pPr>
              <w:spacing w:after="0"/>
              <w:rPr>
                <w:sz w:val="20"/>
                <w:szCs w:val="20"/>
                <w:color w:val="auto"/>
              </w:rPr>
            </w:pPr>
          </w:p>
        </w:tc>
      </w:tr>
      <w:tr>
        <w:trPr>
          <w:trHeight w:val="247"/>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40" w:type="dxa"/>
            <w:vAlign w:val="bottom"/>
            <w:shd w:val="clear" w:color="auto" w:fill="CCECFF"/>
          </w:tcPr>
          <w:p>
            <w:pPr>
              <w:spacing w:after="0"/>
              <w:rPr>
                <w:sz w:val="21"/>
                <w:szCs w:val="21"/>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40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3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shd w:val="clear" w:color="auto" w:fill="CCECFF"/>
          </w:tcPr>
          <w:p>
            <w:pPr>
              <w:spacing w:after="0"/>
              <w:rPr>
                <w:sz w:val="21"/>
                <w:szCs w:val="21"/>
                <w:color w:val="auto"/>
              </w:rPr>
            </w:pPr>
          </w:p>
        </w:tc>
      </w:tr>
      <w:tr>
        <w:trPr>
          <w:trHeight w:val="23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20"/>
                <w:szCs w:val="20"/>
                <w:color w:val="auto"/>
              </w:rPr>
            </w:pPr>
          </w:p>
        </w:tc>
      </w:tr>
      <w:tr>
        <w:trPr>
          <w:trHeight w:val="247"/>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40" w:type="dxa"/>
            <w:vAlign w:val="bottom"/>
            <w:shd w:val="clear" w:color="auto" w:fill="CCECFF"/>
          </w:tcPr>
          <w:p>
            <w:pPr>
              <w:spacing w:after="0"/>
              <w:rPr>
                <w:sz w:val="21"/>
                <w:szCs w:val="21"/>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3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21"/>
                <w:szCs w:val="21"/>
                <w:color w:val="auto"/>
              </w:rPr>
            </w:pPr>
          </w:p>
        </w:tc>
      </w:tr>
      <w:tr>
        <w:trPr>
          <w:trHeight w:val="237"/>
        </w:trPr>
        <w:tc>
          <w:tcPr>
            <w:tcW w:w="60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CFF"/>
          </w:tcPr>
          <w:p>
            <w:pPr>
              <w:spacing w:after="0"/>
              <w:rPr>
                <w:sz w:val="20"/>
                <w:szCs w:val="20"/>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40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26,215</w:t>
            </w:r>
          </w:p>
        </w:tc>
        <w:tc>
          <w:tcPr>
            <w:tcW w:w="100" w:type="dxa"/>
            <w:vAlign w:val="bottom"/>
            <w:shd w:val="clear" w:color="auto" w:fill="CCECFF"/>
          </w:tcPr>
          <w:p>
            <w:pPr>
              <w:spacing w:after="0"/>
              <w:rPr>
                <w:sz w:val="20"/>
                <w:szCs w:val="20"/>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40" w:type="dxa"/>
            <w:vAlign w:val="bottom"/>
          </w:tcPr>
          <w:p>
            <w:pPr>
              <w:spacing w:after="0"/>
              <w:rPr>
                <w:sz w:val="21"/>
                <w:szCs w:val="21"/>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(2,801 )</w:t>
            </w:r>
          </w:p>
        </w:tc>
        <w:tc>
          <w:tcPr>
            <w:tcW w:w="5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(2,469 )</w:t>
            </w:r>
          </w:p>
        </w:tc>
        <w:tc>
          <w:tcPr>
            <w:tcW w:w="3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(5,270 )</w:t>
            </w:r>
          </w:p>
        </w:tc>
      </w:tr>
      <w:tr>
        <w:trPr>
          <w:trHeight w:val="277"/>
        </w:trPr>
        <w:tc>
          <w:tcPr>
            <w:tcW w:w="60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400" w:type="dxa"/>
            <w:vAlign w:val="bottom"/>
            <w:tcBorders>
              <w:bottom w:val="single" w:sz="8" w:color="CCECFF"/>
            </w:tcBorders>
            <w:shd w:val="clear" w:color="auto" w:fill="CCECFF"/>
          </w:tcPr>
          <w:p>
            <w:pPr>
              <w:spacing w:after="0"/>
              <w:rPr>
                <w:sz w:val="24"/>
                <w:szCs w:val="24"/>
                <w:color w:val="auto"/>
              </w:rPr>
            </w:pPr>
          </w:p>
        </w:tc>
        <w:tc>
          <w:tcPr>
            <w:tcW w:w="540" w:type="dxa"/>
            <w:vAlign w:val="bottom"/>
            <w:tcBorders>
              <w:top w:val="single" w:sz="8" w:color="auto"/>
              <w:bottom w:val="single" w:sz="8" w:color="auto"/>
            </w:tcBorders>
            <w:shd w:val="clear" w:color="auto" w:fill="CCEC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38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-25400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March 31, 2024. The Company does not anticipate recognizing any significant losses relating to these arrangements.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14, 2023, the Company, through CMTI, entered into a master loan agreement with Coinbase Credit, Inc., as lender, and Coinbase, Inc., as lending service provider. Pursuant to the master loan agreement, the Company established a secured line of credit up to $10.0 million (the “Credit Facility”). The Company will not incur commitment fees for unused portions of the Credit Facility. The borrowing rate on amounts drawn against the Credit Facility is determined on the basis of the Federal Funds Target Rate - Upper Bound, plus 2.5%, calculated daily based on a 365-day year and payable monthly for the duration of the loan. Borrowings under the Credit Facility are available on demand, open term, and collateralized by bitcoin transferred to the lending service provider’s platform. As of March 31, 2024 the Company has not drawn upon the Credit Facility.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unaudited condensed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unaudited condensed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Luminant Power Agreement</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November 18, 2022, Luminant filed suit against CMTI in the 95th District Court of Dallas County, Texas, asserting Texas state law claims for declaratory judgment and “money had and received”, seeking recoupment and return of money previously paid by Luminant to CMTI in connection with Luminant’s (and its affiliates’) construction and energization of Cipher’s bitcoin mining data</w:t>
      </w:r>
    </w:p>
    <w:p>
      <w:pPr>
        <w:sectPr>
          <w:pgSz w:w="11900" w:h="16838" w:orient="portrait"/>
          <w:cols w:equalWidth="0" w:num="1">
            <w:col w:w="11240"/>
          </w:cols>
          <w:pgMar w:left="320" w:top="76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center in Odessa, Texas. These prior payments were (i) the sum of $5.1 million paid to CMTI in September 2022 pursuant to a contractual provision requiring such payment in the parties’ written and executed August 25, 2022 Third Amendment to the Luminant Power Agreement, and (ii) the sum of $1.7 million also paid to CMTI in September 2022, as agreed by the parties, for electrical power sold by Luminant for CMTI’s benefit into the open market prior to the final energization of the Odessa Facility. Luminant contended that such payments were mistaken because, although voluntarily made by Luminant, they were not actually due under the terms of the Luminant Power Agreement, as amended. The Company filed its answer on January 17, 2023, denying any liability to Luminant. Cipher did not receive payment from Luminant for electricity sold in the ERCOT market in September 2022 and October 2022.</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established a $2.0 million accrual for the cost of resolving the claims in the second quarter of 2023, $1.5 million of which has been paid as of March 31, 2024 in connection with the Luminant Settlement (defined below).</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July 11, 2023, the Company entered into an amendment of the payment schedule to the Luminant Purchase and Sale Agreement, reflecting monthly installments of principal and interest totaling $19.7 million on an undiscounted basis, due over the remaining four-year period starting in July 2023.</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August 23, 2023, the Company settled the dispute with Luminant (the “Luminant Settlement”). In connection with the Luminant Settlement, the Company, through CMTI, entered into (i) a Fourth Amendment to the Power Purchase Agreement (the “Amended PPA”) with Luminant, which amended the Luminant Power Agreement and (ii) a Second Amendment to the Lease Agreement (the "Amended Lease") with an affiliate of Luminant, which amended the Luminant Lease Agreement.</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Amended PPA, among other items, reduces the notice requirements that CMTI must satisfy in connection with changes to its energy consumption at the Odessa Facility and the Amended Lease provides that the initial term of the agreement shall end on July 31, 2027.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March 31, 2024, 510,000,000 shares with a par value of $0.001 per share are authorized, of which, 500,000,000 shares are designated as Common Stock and 10,000,000 shares are designated as preferred stock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unaudited condensed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5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issued 2,059,390 shares of Common Stock to officers, employees and consultants in settlement of an equal number of fully vested RSUs awarded to these individuals, and 66,941 shares of Common Stock to directors, pursuant to grants made under the Cipher Mining Inc. 2021 Incentive Award Plan (the “Incentive Award Plan”). The Company immediately repurchased 787,098 of these shares of Common Stock from officers and employees, with a fair value of approximately $3.2 million, to cover taxes related to the settlement of vested RSUs, as permitted by the Incentive Award Plan. The Company placed the repurchased shares in treasury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 In connection with the filing of the Registration Statement, the Company also entered into an at the market offering agreement (the “Prior Sales Agreement”) with H.C. Wainwright &amp; Co., LLC (the “Prior Agent”), under which the Company may, from time to time, sell shares of its Common Stock having an aggregate offering price of up to $250.0 million in “at the market” offerings through the Prior Agent. Effective August 1, 2023, the Company terminated the Prior Sales Agreement.</w:t>
      </w:r>
    </w:p>
    <w:p>
      <w:pPr>
        <w:spacing w:after="0" w:line="190"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On August 3,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the Company may offer and sell, from time to time through or to the Agents, shares of its Common Stock, for aggregate gross proceeds of up to $250.0 million (the “Shares”). The offering and</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March 6, 2024, the Company entered into an amendment (the “Amendment”) to the Sales Agreement (as amended, the “Amended Sales Agreement”) by and among the Original Agents, Stifel, Nicolaus &amp; Company, Incorporated (“Stifel”) and Virtu Americas LLC (“Virtu”) (each of the Original Agents, Stifel and Virtu, an “Agent” and, together, the “Agents”). The Amendment modifies the Sales Agreement to include Stifel and Virtu as additional agents under the Amended Sales Agreement. On March 6, 2024, the Company also filed an amendment to the Prospectus Supplement (i) increasing the dollar amount of shares available to be sold pursuant to the Amended Sales Agreement, to $296,560,661, which consists of $96,560,661 remaining as originally authorized under the Prospectus Supplement and an additional $200,000,000, and (ii) including Stifel, Nicolaus &amp; Company, Incorporated and Virtu Americas LLC as additional Agents.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Sales Agreement, the Agent selected by the Company (such Agent, the “Designated Agent”) may sell the Shares in sales deemed to be “at the market offerings” as defined in Rule 415(a)(4) promulgated under the Securities Act. The Company has no obligation to sell any of the Shares under the Sales Agreement and may at any time suspend or terminate the offering of the Shares pursuant to the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Sales Agreement, the Company agreed to pay the Designated Agent a commission up to 3.0% of the aggregate gross proceeds from any Shares sold through such Designated Agent pursuant to the Sales Agreement. In addition, the Company agreed to reimburse certain expenses incurred by the Agents in connection with the Sales Agreement. During the three months ended March 31, 2024, in connection with the Prior Sales Agreement and the Sales Agreement, the Company received proceeds of approximately $64.5 million, net of issuance costs, from the sale of 14,246,235 shares of common stock, with an average net selling price of $4.53 per share. Subsequent to March 31, 2024, the Company received additional proceeds of $17.8 million, net of issuance costs, from the sale of 3,362,680 shares of common stock, with an average net selling price of $5.29 per share.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WARRANTS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8,499,980 Public Warrants and 114,000 Private Placement Warrants outstanding as of December 31, 2023, and 8,613,980 Public Warrants and no Private Placement Warrants outstanding as of March 31, 2024.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SHARE-BASED COMPENSATION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Equity Plan is increased on January 1 of each calendar year beginning in 2022 and ending in 2031 by an amount equal to (a) three percent (3%) of the total number of shares of Common Stock outstanding on the final day of the immediately preceding calendar year or (b) such smaller number of shares determined by the Board. On January 1, 2024, this resulted in an increase of 8,728,736 shares of Common Stock available for issuance under the Incentive Award Plan. As of March 31, 2024, 4,732,483 shares of Common Stock were available for issuance under the Incentive Award Plan.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expense in Compensation and benefits on the unaudited condensed consolidated statements of operations for the following categories of awards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80" w:type="dxa"/>
            <w:vAlign w:val="bottom"/>
          </w:tcPr>
          <w:p>
            <w:pPr>
              <w:spacing w:after="0"/>
              <w:rPr>
                <w:sz w:val="19"/>
                <w:szCs w:val="19"/>
                <w:color w:val="auto"/>
              </w:rPr>
            </w:pPr>
          </w:p>
        </w:tc>
        <w:tc>
          <w:tcPr>
            <w:tcW w:w="37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9"/>
                <w:szCs w:val="19"/>
                <w:color w:val="auto"/>
              </w:rPr>
            </w:pPr>
          </w:p>
        </w:tc>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3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340" w:type="dxa"/>
            <w:vAlign w:val="bottom"/>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shd w:val="clear" w:color="auto" w:fill="CCEEFF"/>
          </w:tcPr>
          <w:p>
            <w:pPr>
              <w:spacing w:after="0"/>
              <w:rPr>
                <w:sz w:val="21"/>
                <w:szCs w:val="21"/>
                <w:color w:val="auto"/>
              </w:rPr>
            </w:pP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20"/>
                <w:szCs w:val="20"/>
                <w:color w:val="auto"/>
              </w:rPr>
            </w:pPr>
          </w:p>
        </w:tc>
      </w:tr>
      <w:tr>
        <w:trPr>
          <w:trHeight w:val="247"/>
        </w:trPr>
        <w:tc>
          <w:tcPr>
            <w:tcW w:w="6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fully-vested</w:t>
            </w:r>
          </w:p>
        </w:tc>
        <w:tc>
          <w:tcPr>
            <w:tcW w:w="13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34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7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-187960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three months ended March 31, 2024 is shown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9"/>
              </w:rPr>
              <w:t>Weighted Average Grant Date</w:t>
            </w:r>
          </w:p>
        </w:tc>
        <w:tc>
          <w:tcPr>
            <w:tcW w:w="100" w:type="dxa"/>
            <w:vAlign w:val="bottom"/>
          </w:tcPr>
          <w:p>
            <w:pPr>
              <w:spacing w:after="0"/>
              <w:rPr>
                <w:sz w:val="17"/>
                <w:szCs w:val="17"/>
                <w:color w:val="auto"/>
              </w:rPr>
            </w:pPr>
          </w:p>
        </w:tc>
      </w:tr>
      <w:tr>
        <w:trPr>
          <w:trHeight w:val="225"/>
        </w:trPr>
        <w:tc>
          <w:tcPr>
            <w:tcW w:w="5840" w:type="dxa"/>
            <w:vAlign w:val="bottom"/>
          </w:tcPr>
          <w:p>
            <w:pPr>
              <w:spacing w:after="0"/>
              <w:rPr>
                <w:sz w:val="19"/>
                <w:szCs w:val="19"/>
                <w:color w:val="auto"/>
              </w:rPr>
            </w:pPr>
          </w:p>
        </w:tc>
        <w:tc>
          <w:tcPr>
            <w:tcW w:w="292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9"/>
                <w:szCs w:val="19"/>
                <w:color w:val="auto"/>
              </w:rPr>
            </w:pPr>
          </w:p>
        </w:tc>
        <w:tc>
          <w:tcPr>
            <w:tcW w:w="2260" w:type="dxa"/>
            <w:vAlign w:val="bottom"/>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9"/>
                <w:szCs w:val="19"/>
                <w:color w:val="auto"/>
              </w:rPr>
            </w:pPr>
          </w:p>
        </w:tc>
      </w:tr>
      <w:tr>
        <w:trPr>
          <w:trHeight w:val="243"/>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2023</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17,047,242</w:t>
            </w:r>
          </w:p>
        </w:tc>
        <w:tc>
          <w:tcPr>
            <w:tcW w:w="4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21"/>
                <w:szCs w:val="2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10,550,154</w:t>
            </w:r>
          </w:p>
        </w:tc>
        <w:tc>
          <w:tcPr>
            <w:tcW w:w="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r>
      <w:tr>
        <w:trPr>
          <w:trHeight w:val="247"/>
        </w:trPr>
        <w:tc>
          <w:tcPr>
            <w:tcW w:w="5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(2,059,390 )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21"/>
                <w:szCs w:val="21"/>
                <w:color w:val="auto"/>
              </w:rPr>
            </w:pPr>
          </w:p>
        </w:tc>
      </w:tr>
      <w:tr>
        <w:trPr>
          <w:trHeight w:val="236"/>
        </w:trPr>
        <w:tc>
          <w:tcPr>
            <w:tcW w:w="58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2024</w:t>
            </w:r>
          </w:p>
        </w:tc>
        <w:tc>
          <w:tcPr>
            <w:tcW w:w="2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25,538,006</w:t>
            </w:r>
          </w:p>
        </w:tc>
        <w:tc>
          <w:tcPr>
            <w:tcW w:w="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CCEEFF"/>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March 31, 2024, there was approximately $48.5 million of unrecognized compensation expense related to unvested Service-based RSUs, which is expected to be recognized over a weighted-average vesting period of approximately 1.4 years.</w:t>
      </w:r>
    </w:p>
    <w:p>
      <w:pPr>
        <w:spacing w:after="0" w:line="13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If not fully vested upon grant, Service-based RSUs awarded generally vest over a period ranging from two to four years in equal installments on the award’s anniversary of the vesting commencement date, which will generally coincide with the timing when the employee or consultant began to provide services to the Company, as determined by the Board, and which may precede the grant date. 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Chief Executive Officer (“CEO”) remains in continuous service through such achievement, any then-unvested Service-based RSUs awarded to the CEO will also vest.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was no new activity for unvested Performance-based RSUs during the three months ended March 31, 2024. There were 4,257,710 unvested Performance-based RSUs with a weighted average grant date fair value of $7.76 as of both March 31, 2024 and December 31, 2023. As of March 31, 2024, there was approximately $3.2 million of unrecognized compensation expense related to unvested Performance-based RSUs, which is expected to be recognized over a weighted-average derived service period of approximately 0.3 years.</w:t>
      </w:r>
    </w:p>
    <w:p>
      <w:pPr>
        <w:spacing w:after="0" w:line="1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One-third of the outstanding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Fair Value Measured as of March 31, 2024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77,378</w:t>
            </w:r>
          </w:p>
        </w:tc>
        <w:tc>
          <w:tcPr>
            <w:tcW w:w="660" w:type="dxa"/>
            <w:vAlign w:val="bottom"/>
            <w:gridSpan w:val="3"/>
            <w:shd w:val="clear" w:color="auto" w:fill="CCEC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77,378</w:t>
            </w: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123,307</w:t>
            </w:r>
          </w:p>
        </w:tc>
        <w:tc>
          <w:tcPr>
            <w:tcW w:w="100" w:type="dxa"/>
            <w:vAlign w:val="bottom"/>
          </w:tcPr>
          <w:p>
            <w:pPr>
              <w:spacing w:after="0"/>
              <w:rPr>
                <w:sz w:val="20"/>
                <w:szCs w:val="20"/>
                <w:color w:val="auto"/>
              </w:rPr>
            </w:pPr>
          </w:p>
        </w:tc>
      </w:tr>
      <w:tr>
        <w:trPr>
          <w:trHeight w:val="247"/>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C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100,950</w:t>
            </w: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100,950</w:t>
            </w:r>
          </w:p>
        </w:tc>
        <w:tc>
          <w:tcPr>
            <w:tcW w:w="100" w:type="dxa"/>
            <w:vAlign w:val="bottom"/>
          </w:tcPr>
          <w:p>
            <w:pPr>
              <w:spacing w:after="0"/>
              <w:rPr>
                <w:sz w:val="21"/>
                <w:szCs w:val="21"/>
                <w:color w:val="auto"/>
              </w:rPr>
            </w:pPr>
          </w:p>
        </w:tc>
      </w:tr>
      <w:tr>
        <w:trPr>
          <w:trHeight w:val="272"/>
        </w:trPr>
        <w:tc>
          <w:tcPr>
            <w:tcW w:w="470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201,365</w:t>
            </w:r>
          </w:p>
        </w:tc>
        <w:tc>
          <w:tcPr>
            <w:tcW w:w="400" w:type="dxa"/>
            <w:vAlign w:val="bottom"/>
            <w:tcBorders>
              <w:bottom w:val="single" w:sz="8" w:color="CCECFF"/>
            </w:tcBorders>
            <w:gridSpan w:val="2"/>
            <w:shd w:val="clear" w:color="auto" w:fill="CCECFF"/>
          </w:tcPr>
          <w:p>
            <w:pPr>
              <w:spacing w:after="0"/>
              <w:rPr>
                <w:sz w:val="23"/>
                <w:szCs w:val="23"/>
                <w:color w:val="auto"/>
              </w:rPr>
            </w:pPr>
          </w:p>
        </w:tc>
        <w:tc>
          <w:tcPr>
            <w:tcW w:w="26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CFF"/>
            </w:tcBorders>
            <w:gridSpan w:val="2"/>
            <w:shd w:val="clear" w:color="auto" w:fill="CCECFF"/>
          </w:tcPr>
          <w:p>
            <w:pPr>
              <w:spacing w:after="0"/>
              <w:rPr>
                <w:sz w:val="23"/>
                <w:szCs w:val="23"/>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100,950</w:t>
            </w:r>
          </w:p>
        </w:tc>
        <w:tc>
          <w:tcPr>
            <w:tcW w:w="36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302,315</w:t>
            </w:r>
          </w:p>
        </w:tc>
        <w:tc>
          <w:tcPr>
            <w:tcW w:w="100" w:type="dxa"/>
            <w:vAlign w:val="bottom"/>
            <w:tcBorders>
              <w:bottom w:val="single" w:sz="8" w:color="CCECFF"/>
            </w:tcBorders>
            <w:shd w:val="clear" w:color="auto" w:fill="CCECFF"/>
          </w:tcPr>
          <w:p>
            <w:pPr>
              <w:spacing w:after="0"/>
              <w:rPr>
                <w:sz w:val="23"/>
                <w:szCs w:val="23"/>
                <w:color w:val="auto"/>
              </w:rPr>
            </w:pPr>
          </w:p>
        </w:tc>
      </w:tr>
      <w:tr>
        <w:trPr>
          <w:trHeight w:val="437"/>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2023</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660" w:type="dxa"/>
            <w:vAlign w:val="bottom"/>
            <w:gridSpan w:val="3"/>
            <w:shd w:val="clear" w:color="auto" w:fill="CCEC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00" w:type="dxa"/>
            <w:vAlign w:val="bottom"/>
          </w:tcPr>
          <w:p>
            <w:pPr>
              <w:spacing w:after="0"/>
              <w:rPr>
                <w:sz w:val="20"/>
                <w:szCs w:val="20"/>
                <w:color w:val="auto"/>
              </w:rPr>
            </w:pPr>
          </w:p>
        </w:tc>
      </w:tr>
      <w:tr>
        <w:trPr>
          <w:trHeight w:val="247"/>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C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100" w:type="dxa"/>
            <w:vAlign w:val="bottom"/>
          </w:tcPr>
          <w:p>
            <w:pPr>
              <w:spacing w:after="0"/>
              <w:rPr>
                <w:sz w:val="21"/>
                <w:szCs w:val="21"/>
                <w:color w:val="auto"/>
              </w:rPr>
            </w:pPr>
          </w:p>
        </w:tc>
      </w:tr>
      <w:tr>
        <w:trPr>
          <w:trHeight w:val="272"/>
        </w:trPr>
        <w:tc>
          <w:tcPr>
            <w:tcW w:w="4700" w:type="dxa"/>
            <w:vAlign w:val="bottom"/>
            <w:shd w:val="clear" w:color="auto" w:fill="CCECFF"/>
          </w:tcPr>
          <w:p>
            <w:pPr>
              <w:spacing w:after="0"/>
              <w:rPr>
                <w:sz w:val="23"/>
                <w:szCs w:val="23"/>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99,545</w:t>
            </w:r>
          </w:p>
        </w:tc>
        <w:tc>
          <w:tcPr>
            <w:tcW w:w="660" w:type="dxa"/>
            <w:vAlign w:val="bottom"/>
            <w:gridSpan w:val="3"/>
            <w:shd w:val="clear" w:color="auto" w:fill="CCEC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360" w:type="dxa"/>
            <w:vAlign w:val="bottom"/>
            <w:shd w:val="clear" w:color="auto" w:fill="CCECFF"/>
          </w:tcPr>
          <w:p>
            <w:pPr>
              <w:spacing w:after="0"/>
              <w:rPr>
                <w:sz w:val="23"/>
                <w:szCs w:val="23"/>
                <w:color w:val="auto"/>
              </w:rPr>
            </w:pPr>
          </w:p>
        </w:tc>
        <w:tc>
          <w:tcPr>
            <w:tcW w:w="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193,136</w:t>
            </w:r>
          </w:p>
        </w:tc>
        <w:tc>
          <w:tcPr>
            <w:tcW w:w="100" w:type="dxa"/>
            <w:vAlign w:val="bottom"/>
            <w:shd w:val="clear" w:color="auto" w:fill="CCECFF"/>
          </w:tcPr>
          <w:p>
            <w:pPr>
              <w:spacing w:after="0"/>
              <w:rPr>
                <w:sz w:val="23"/>
                <w:szCs w:val="23"/>
                <w:color w:val="auto"/>
              </w:rPr>
            </w:pPr>
          </w:p>
        </w:tc>
      </w:tr>
      <w:tr>
        <w:trPr>
          <w:trHeight w:val="225"/>
        </w:trPr>
        <w:tc>
          <w:tcPr>
            <w:tcW w:w="470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CCEC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60" w:type="dxa"/>
            <w:vAlign w:val="bottom"/>
            <w:tcBorders>
              <w:top w:val="single" w:sz="8" w:color="CCEC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45"/>
        </w:trPr>
        <w:tc>
          <w:tcPr>
            <w:tcW w:w="4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CFF"/>
            </w:tcBorders>
            <w:shd w:val="clear" w:color="auto" w:fill="CCECFF"/>
          </w:tcPr>
          <w:p>
            <w:pPr>
              <w:spacing w:after="0"/>
              <w:rPr>
                <w:sz w:val="21"/>
                <w:szCs w:val="21"/>
                <w:color w:val="auto"/>
              </w:rPr>
            </w:pPr>
          </w:p>
        </w:tc>
        <w:tc>
          <w:tcPr>
            <w:tcW w:w="540" w:type="dxa"/>
            <w:vAlign w:val="bottom"/>
            <w:tcBorders>
              <w:bottom w:val="single" w:sz="8" w:color="auto"/>
            </w:tcBorders>
            <w:gridSpan w:val="2"/>
            <w:shd w:val="clear" w:color="auto" w:fill="CCEC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c>
          <w:tcPr>
            <w:tcW w:w="520" w:type="dxa"/>
            <w:vAlign w:val="bottom"/>
            <w:tcBorders>
              <w:bottom w:val="single" w:sz="8" w:color="auto"/>
            </w:tcBorders>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47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-2091055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-2073910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-2091055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-2073910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-2091055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-2073910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-521970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-504825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-521970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-504825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-521970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-504825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-187960</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asset</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derivative asset, related to the Luminant Power Agreement, is divided between current and noncurrent assets, and was initially recorded on its unaudited condensed consolidated balance sheets on the derivative asset’s effective date of July 1, 2022, with an offsetting amount recorded to change in fair value of derivative asset in costs and operating expenses on the unaudited condensed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which has a remaining term of approximately 3.3 years. The valuations performed by the third-party valuation firm engaged by the Company utilized pre-tax discount rates of 6.23% and 6.11% as of March 31, 2024 and December 31, 2023,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changes to the quoted forward electricity rates, as well as unobservable inputs (e.g., changes in estimated usage rates and discount rate assumptions).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derivative asset measured using significant unobservable inputs (Level 3) for the three months ended March 31, 2024, and 2023 (in thousands):</w:t>
      </w:r>
    </w:p>
    <w:p>
      <w:pPr>
        <w:sectPr>
          <w:pgSz w:w="11900" w:h="16838" w:orient="portrait"/>
          <w:cols w:equalWidth="0" w:num="1">
            <w:col w:w="11240"/>
          </w:cols>
          <w:pgMar w:left="320" w:top="765"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66,702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-127635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16116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0"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-127635</wp:posOffset>
            </wp:positionV>
            <wp:extent cx="713232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93,591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-127635</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16116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0"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100,950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-120650</wp:posOffset>
            </wp:positionV>
            <wp:extent cx="713232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53" w:lineRule="exact"/>
        <w:rPr>
          <w:sz w:val="20"/>
          <w:szCs w:val="20"/>
          <w:color w:val="auto"/>
        </w:rPr>
      </w:pPr>
    </w:p>
    <w:p>
      <w:pPr>
        <w:sectPr>
          <w:pgSz w:w="11900" w:h="16838" w:orient="portrait"/>
          <w:cols w:equalWidth="0" w:num="2">
            <w:col w:w="7880" w:space="720"/>
            <w:col w:w="2640"/>
          </w:cols>
          <w:pgMar w:left="320" w:top="765" w:right="339" w:bottom="1440" w:gutter="0" w:footer="0" w:header="0"/>
          <w:type w:val="continuous"/>
        </w:sect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Private Placement Warrants (as defined in Note 15.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are its only liability classified within Level 3 of the fair value hierarchy because the fair value is based on significant inputs that are unobservable in the market. 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 As of March 31, 2024, all Private Placement Warrants were converted to Public Warrants, and as such no Private Placement Warrants were outstanding as of March 31, 2024.</w:t>
      </w:r>
    </w:p>
    <w:p>
      <w:pPr>
        <w:spacing w:after="0" w:line="14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its Common Stock. The following table presents significant assumptions utilized in the valuations of the Private Placement Warrants as of the dates indicated:</w:t>
      </w:r>
    </w:p>
    <w:p>
      <w:pPr>
        <w:spacing w:after="0" w:line="192" w:lineRule="exact"/>
        <w:rPr>
          <w:sz w:val="20"/>
          <w:szCs w:val="20"/>
          <w:color w:val="auto"/>
        </w:rPr>
      </w:pPr>
    </w:p>
    <w:tbl>
      <w:tblPr>
        <w:tblLayout w:type="fixed"/>
        <w:tblInd w:w="3220" w:type="dxa"/>
        <w:tblCellMar>
          <w:top w:w="0" w:type="dxa"/>
          <w:left w:w="0" w:type="dxa"/>
          <w:bottom w:w="0" w:type="dxa"/>
          <w:right w:w="0" w:type="dxa"/>
        </w:tblCellMar>
      </w:tblPr>
      <w:tr>
        <w:trPr>
          <w:trHeight w:val="225"/>
        </w:trPr>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3"/>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40" w:type="dxa"/>
            <w:vAlign w:val="bottom"/>
            <w:tcBorders>
              <w:top w:val="single" w:sz="8" w:color="auto"/>
            </w:tcBorders>
            <w:shd w:val="clear" w:color="auto" w:fill="CCECFF"/>
          </w:tcPr>
          <w:p>
            <w:pPr>
              <w:spacing w:after="0"/>
              <w:rPr>
                <w:sz w:val="21"/>
                <w:szCs w:val="21"/>
                <w:color w:val="auto"/>
              </w:rPr>
            </w:pPr>
          </w:p>
        </w:tc>
        <w:tc>
          <w:tcPr>
            <w:tcW w:w="1880" w:type="dxa"/>
            <w:vAlign w:val="bottom"/>
            <w:tcBorders>
              <w:top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 rate</w:t>
            </w:r>
          </w:p>
        </w:tc>
        <w:tc>
          <w:tcPr>
            <w:tcW w:w="2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52"/>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shd w:val="clear" w:color="auto" w:fill="CCECFF"/>
          </w:tcPr>
          <w:p>
            <w:pPr>
              <w:spacing w:after="0"/>
              <w:rPr>
                <w:sz w:val="21"/>
                <w:szCs w:val="21"/>
                <w:color w:val="auto"/>
              </w:rPr>
            </w:pPr>
          </w:p>
        </w:tc>
        <w:tc>
          <w:tcPr>
            <w:tcW w:w="188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w:t>
            </w:r>
          </w:p>
        </w:tc>
        <w:tc>
          <w:tcPr>
            <w:tcW w:w="2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r>
      <w:tr>
        <w:trPr>
          <w:trHeight w:val="247"/>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21"/>
                <w:szCs w:val="21"/>
                <w:color w:val="auto"/>
              </w:rPr>
            </w:pPr>
          </w:p>
        </w:tc>
      </w:tr>
    </w:tbl>
    <w:p>
      <w:pPr>
        <w:spacing w:after="0" w:line="1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estimated fair value of the Private Placement Warrants for the three months ended March 31, 2024 and 2023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40" w:type="dxa"/>
            <w:vAlign w:val="bottom"/>
            <w:shd w:val="clear" w:color="auto" w:fill="CCEC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CFF"/>
          </w:tcPr>
          <w:p>
            <w:pPr>
              <w:spacing w:after="0"/>
              <w:rPr>
                <w:sz w:val="21"/>
                <w:szCs w:val="21"/>
                <w:color w:val="auto"/>
              </w:rPr>
            </w:pPr>
          </w:p>
        </w:tc>
      </w:tr>
      <w:tr>
        <w:trPr>
          <w:trHeight w:val="243"/>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r>
      <w:tr>
        <w:trPr>
          <w:trHeight w:val="277"/>
        </w:trPr>
        <w:tc>
          <w:tcPr>
            <w:tcW w:w="8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140" w:type="dxa"/>
            <w:vAlign w:val="bottom"/>
            <w:tcBorders>
              <w:bottom w:val="single" w:sz="8" w:color="auto"/>
            </w:tcBorders>
            <w:shd w:val="clear" w:color="auto" w:fill="CCEC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23"/>
        </w:trPr>
        <w:tc>
          <w:tcPr>
            <w:tcW w:w="8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shd w:val="clear" w:color="auto" w:fill="CCEC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CFF"/>
          </w:tcPr>
          <w:p>
            <w:pPr>
              <w:spacing w:after="0"/>
              <w:rPr>
                <w:sz w:val="21"/>
                <w:szCs w:val="21"/>
                <w:color w:val="auto"/>
              </w:rPr>
            </w:pPr>
          </w:p>
        </w:tc>
      </w:tr>
      <w:tr>
        <w:trPr>
          <w:trHeight w:val="243"/>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14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(250 )</w:t>
            </w:r>
          </w:p>
        </w:tc>
      </w:tr>
      <w:tr>
        <w:trPr>
          <w:trHeight w:val="276"/>
        </w:trPr>
        <w:tc>
          <w:tcPr>
            <w:tcW w:w="8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40" w:type="dxa"/>
            <w:vAlign w:val="bottom"/>
            <w:tcBorders>
              <w:top w:val="single" w:sz="8" w:color="auto"/>
              <w:bottom w:val="single" w:sz="8" w:color="auto"/>
            </w:tcBorders>
            <w:shd w:val="clear" w:color="auto" w:fill="CCEC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determination of income tax expense in the unaudited condensed consolidated statements of operations is based upon the estimated effective tax rate for the year, adjusted for the impact of any discrete items which are accounted for in the period in which they occur. The Company recorded an income tax expense of approximately 12.2% of income before taxes for the three months ended March 31, 2024 and an income tax expense of approximately (1.6%) of loss before taxes for the three months ended March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the Bitcoin protocol underwent a halving. A halving is an event where the bitcoin reward produced upon mining a block is reduced by 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Halvings are scheduled to occur once every 210,000 blocks are mined, which occurs roughly every four years.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noted in the “Risk Factors” section of the Company’s 2023 Form 10-K, a halving reduces the number of new bitcoin being generated by the network. While the effect is to slow the pace of the release of new coins, it has no impact on the quantity of total bitcoin already outstanding. As a result, the price of bitcoin could rise or fall based on overall investor and consumer demand. Given a stable network hashrate, should the price of bitcoin remain unchanged after the halving, the Company’s revenue related to mining new coins would be reduced by 50%, with a significant impact on profit.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as well as our audited consolidated financial statements and related notes disclosed in our 2023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2023 Form 10-K and this Quarterly Report and in other parts of this Quarterly Report.</w:t>
      </w:r>
    </w:p>
    <w:p>
      <w:pPr>
        <w:spacing w:after="0" w:line="15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“Cipher Mining,” “we,” “us” or “our” refers to Cipher Mining Inc. and its consolidated subsidiaries, unless otherwise indicated.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are an emerging technology company that develops and operates industrial scale bitcoin mining data centers. Cipher Mining Inc., through itself and its consolidated subsidiaries, including Cipher Mining Technologies Inc. (“CMTI”), currently operates four bitcoin mining data centers in Texas. We are also developing an additional wholly-owned data center in Winkler County, TX (“Black Pearl” or the “Black Pearl Facility”) for up to 300 MW, and we expect to energize 300 MW in 2025. Bitcoin mining is our principal revenue generating business activity.</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operate four bitcoin mining data centers in Texas, including one wholly-owned and three partially-owned data centers acquired through investments in joint ventures. Our largest data center is our Odessa data center (the “Odessa Facility”), which is our wholly-owned 207 MW facility located in Odessa, Texas. We also operate our Alborz data center (the “Alborz Facility”), which is located near Happy, Texas and is partially-owned through a joint venture with WindHQ LLC (“WindHQ”). Our Bear data center (the “Bear Facility”) and our Chief data center (the “Chief Facility”) are both located near Andrews, Texas and are also partially-owned through separate joint ventures with WindHQ. We have a 49% membership interest in Alborz LLC, Bear LLC and Chief LLC, which own the Alborz Facility, the Bear Facility and the Chief Facility, respectively. Our fifth data center, Black Pearl, is expected to commence operations in 2025.</w:t>
      </w:r>
    </w:p>
    <w:p>
      <w:pPr>
        <w:spacing w:after="0" w:line="14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current intention is to continue to expand our bitcoin mining business by developing additional data centers, expanding capacity at our current data centers, developing our treasury management platform and entering into other arrangements, such as joint ventures, data center hosting agreements, or software licensing arrangements.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key mission is to expand and strengthen the Bitcoin network’s critical infrastructure. As of April 30, 2024, we operated an aggregate hashrate capacity of approximately 8.7 EH/s, deploying approximately 267 MW of electricity, of which we owned an aggregate hashrate capacity of approximately 7.7 EH/s, deploying approximately 236 MW of electricity.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the Bitcoin protocol underwent a halving. A halving is an event where the bitcoin reward produced upon mining a block is reduced by 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Halvings are scheduled to occur once every 210,000 blocks are mined, which occurs roughly every four years.</w:t>
      </w:r>
    </w:p>
    <w:p>
      <w:pPr>
        <w:spacing w:after="0" w:line="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noted in the “Risk Factors” section of our 2023 Form 10-K, a halving reduces the number of new bitcoin being generated by the network. While the effect is to slow the pace of the release of new coins, it has no impact on the quantity of total bitcoin already outstanding. As a result, the price of bitcoin could rise or fall based on overall investor and consumer demand. Given a stable network hashrate, should the price of bitcoin remain unchanged after the halving, our revenue related to mining new coins would be reduced by 50%, with a significant impact on profit.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0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“Factors Affecting Our Results of Operations” in the “Management’s Discussion and Analysis of Financial Condition and Results of Operations” section of our 2023 Form 10-K. Our financial position and results of operations depend to a significant extent on those factors.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Summary of Bitcoin Mining Results</w:t>
      </w:r>
    </w:p>
    <w:p>
      <w:pPr>
        <w:spacing w:after="0" w:line="20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mining activities, including bitcoin production and sales of bitcoin (dollar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0" w:type="dxa"/>
            <w:vAlign w:val="bottom"/>
          </w:tcPr>
          <w:p>
            <w:pPr>
              <w:spacing w:after="0"/>
              <w:rPr>
                <w:sz w:val="21"/>
                <w:szCs w:val="21"/>
                <w:color w:val="auto"/>
              </w:rPr>
            </w:pPr>
          </w:p>
        </w:tc>
        <w:tc>
          <w:tcPr>
            <w:tcW w:w="14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52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r>
      <w:tr>
        <w:trPr>
          <w:trHeight w:val="243"/>
        </w:trPr>
        <w:tc>
          <w:tcPr>
            <w:tcW w:w="82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00" w:type="dxa"/>
            <w:vAlign w:val="bottom"/>
            <w:shd w:val="clear" w:color="auto" w:fill="CCECFF"/>
          </w:tcPr>
          <w:p>
            <w:pPr>
              <w:spacing w:after="0"/>
              <w:rPr>
                <w:sz w:val="21"/>
                <w:szCs w:val="21"/>
                <w:color w:val="auto"/>
              </w:rPr>
            </w:pPr>
          </w:p>
        </w:tc>
      </w:tr>
      <w:tr>
        <w:trPr>
          <w:trHeight w:val="239"/>
        </w:trPr>
        <w:tc>
          <w:tcPr>
            <w:tcW w:w="8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20"/>
                <w:szCs w:val="20"/>
                <w:color w:val="auto"/>
              </w:rPr>
            </w:pPr>
          </w:p>
        </w:tc>
      </w:tr>
      <w:tr>
        <w:trPr>
          <w:trHeight w:val="247"/>
        </w:trPr>
        <w:tc>
          <w:tcPr>
            <w:tcW w:w="826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Revenue recognized from bitcoin mined, net of receivable</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44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100" w:type="dxa"/>
            <w:vAlign w:val="bottom"/>
            <w:shd w:val="clear" w:color="auto" w:fill="CCECFF"/>
          </w:tcPr>
          <w:p>
            <w:pPr>
              <w:spacing w:after="0"/>
              <w:rPr>
                <w:sz w:val="21"/>
                <w:szCs w:val="21"/>
                <w:color w:val="auto"/>
              </w:rPr>
            </w:pPr>
          </w:p>
        </w:tc>
      </w:tr>
      <w:tr>
        <w:trPr>
          <w:trHeight w:val="243"/>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bitcoin</w:t>
            </w:r>
          </w:p>
        </w:tc>
        <w:tc>
          <w:tcPr>
            <w:tcW w:w="14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40,556</w:t>
            </w:r>
          </w:p>
        </w:tc>
        <w:tc>
          <w:tcPr>
            <w:tcW w:w="100" w:type="dxa"/>
            <w:vAlign w:val="bottom"/>
          </w:tcPr>
          <w:p>
            <w:pPr>
              <w:spacing w:after="0"/>
              <w:rPr>
                <w:sz w:val="21"/>
                <w:szCs w:val="21"/>
                <w:color w:val="auto"/>
              </w:rPr>
            </w:pPr>
          </w:p>
        </w:tc>
      </w:tr>
      <w:tr>
        <w:trPr>
          <w:trHeight w:val="277"/>
        </w:trPr>
        <w:tc>
          <w:tcPr>
            <w:tcW w:w="68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60" w:type="dxa"/>
            <w:vAlign w:val="bottom"/>
            <w:tcBorders>
              <w:bottom w:val="single" w:sz="8" w:color="auto"/>
            </w:tcBorders>
            <w:shd w:val="clear" w:color="auto" w:fill="CCECFF"/>
          </w:tcPr>
          <w:p>
            <w:pPr>
              <w:spacing w:after="0"/>
              <w:rPr>
                <w:sz w:val="24"/>
                <w:szCs w:val="24"/>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44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123,307</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components of our results of operations, refer to the “Management’s Discussion and Analysis of Financial Condition and Results of Operations” section of our 2023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19"/>
                <w:szCs w:val="19"/>
                <w:color w:val="auto"/>
              </w:rPr>
            </w:pPr>
          </w:p>
        </w:tc>
        <w:tc>
          <w:tcPr>
            <w:tcW w:w="364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86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Revenue - bitcoin mining</w:t>
            </w:r>
          </w:p>
        </w:tc>
        <w:tc>
          <w:tcPr>
            <w:tcW w:w="1260" w:type="dxa"/>
            <w:vAlign w:val="bottom"/>
            <w:tcBorders>
              <w:bottom w:val="single" w:sz="8" w:color="auto"/>
            </w:tcBorders>
            <w:shd w:val="clear" w:color="auto" w:fill="CCECFF"/>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48,137</w:t>
            </w:r>
          </w:p>
        </w:tc>
        <w:tc>
          <w:tcPr>
            <w:tcW w:w="44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auto"/>
            </w:tcBorders>
            <w:shd w:val="clear" w:color="auto" w:fill="CCEC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21,895</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6"/>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126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14,820</w:t>
            </w:r>
          </w:p>
        </w:tc>
        <w:tc>
          <w:tcPr>
            <w:tcW w:w="440" w:type="dxa"/>
            <w:vAlign w:val="bottom"/>
            <w:shd w:val="clear" w:color="auto" w:fill="CCECFF"/>
          </w:tcPr>
          <w:p>
            <w:pPr>
              <w:spacing w:after="0"/>
              <w:rPr>
                <w:sz w:val="20"/>
                <w:szCs w:val="20"/>
                <w:color w:val="auto"/>
              </w:rPr>
            </w:pPr>
          </w:p>
        </w:tc>
        <w:tc>
          <w:tcPr>
            <w:tcW w:w="12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8,141</w:t>
            </w:r>
          </w:p>
        </w:tc>
        <w:tc>
          <w:tcPr>
            <w:tcW w:w="100" w:type="dxa"/>
            <w:vAlign w:val="bottom"/>
            <w:shd w:val="clear" w:color="auto" w:fill="CCECFF"/>
          </w:tcPr>
          <w:p>
            <w:pPr>
              <w:spacing w:after="0"/>
              <w:rPr>
                <w:sz w:val="20"/>
                <w:szCs w:val="20"/>
                <w:color w:val="auto"/>
              </w:rPr>
            </w:pPr>
          </w:p>
        </w:tc>
      </w:tr>
      <w:tr>
        <w:trPr>
          <w:trHeight w:val="220"/>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13,036</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100" w:type="dxa"/>
            <w:vAlign w:val="bottom"/>
          </w:tcPr>
          <w:p>
            <w:pPr>
              <w:spacing w:after="0"/>
              <w:rPr>
                <w:sz w:val="19"/>
                <w:szCs w:val="19"/>
                <w:color w:val="auto"/>
              </w:rPr>
            </w:pP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6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440" w:type="dxa"/>
            <w:vAlign w:val="bottom"/>
            <w:shd w:val="clear" w:color="auto" w:fill="CCECFF"/>
          </w:tcPr>
          <w:p>
            <w:pPr>
              <w:spacing w:after="0"/>
              <w:rPr>
                <w:sz w:val="20"/>
                <w:szCs w:val="20"/>
                <w:color w:val="auto"/>
              </w:rPr>
            </w:pPr>
          </w:p>
        </w:tc>
        <w:tc>
          <w:tcPr>
            <w:tcW w:w="12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5,483</w:t>
            </w:r>
          </w:p>
        </w:tc>
        <w:tc>
          <w:tcPr>
            <w:tcW w:w="100" w:type="dxa"/>
            <w:vAlign w:val="bottom"/>
            <w:shd w:val="clear" w:color="auto" w:fill="CCECFF"/>
          </w:tcPr>
          <w:p>
            <w:pPr>
              <w:spacing w:after="0"/>
              <w:rPr>
                <w:sz w:val="20"/>
                <w:szCs w:val="20"/>
                <w:color w:val="auto"/>
              </w:rPr>
            </w:pPr>
          </w:p>
        </w:tc>
      </w:tr>
      <w:tr>
        <w:trPr>
          <w:trHeight w:val="220"/>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17,244</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11,655</w:t>
            </w:r>
          </w:p>
        </w:tc>
        <w:tc>
          <w:tcPr>
            <w:tcW w:w="100" w:type="dxa"/>
            <w:vAlign w:val="bottom"/>
          </w:tcPr>
          <w:p>
            <w:pPr>
              <w:spacing w:after="0"/>
              <w:rPr>
                <w:sz w:val="19"/>
                <w:szCs w:val="19"/>
                <w:color w:val="auto"/>
              </w:rPr>
            </w:pP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1260" w:type="dxa"/>
            <w:vAlign w:val="bottom"/>
            <w:shd w:val="clear" w:color="auto" w:fill="CCECFF"/>
          </w:tcPr>
          <w:p>
            <w:pPr>
              <w:spacing w:after="0"/>
              <w:rPr>
                <w:sz w:val="20"/>
                <w:szCs w:val="20"/>
                <w:color w:val="auto"/>
              </w:rPr>
            </w:pPr>
          </w:p>
        </w:tc>
        <w:tc>
          <w:tcPr>
            <w:tcW w:w="110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6"/>
                <w:szCs w:val="16"/>
                <w:color w:val="auto"/>
              </w:rPr>
              <w:t>(7,359 )</w:t>
            </w:r>
          </w:p>
        </w:tc>
        <w:tc>
          <w:tcPr>
            <w:tcW w:w="1280" w:type="dxa"/>
            <w:vAlign w:val="bottom"/>
            <w:shd w:val="clear" w:color="auto" w:fill="CCECFF"/>
          </w:tcPr>
          <w:p>
            <w:pPr>
              <w:spacing w:after="0"/>
              <w:rPr>
                <w:sz w:val="20"/>
                <w:szCs w:val="20"/>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(5,328 )</w:t>
            </w:r>
          </w:p>
        </w:tc>
      </w:tr>
      <w:tr>
        <w:trPr>
          <w:trHeight w:val="220"/>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 sales</w:t>
            </w:r>
          </w:p>
        </w:tc>
        <w:tc>
          <w:tcPr>
            <w:tcW w:w="12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(1,173 )</w:t>
            </w:r>
          </w:p>
        </w:tc>
        <w:tc>
          <w:tcPr>
            <w:tcW w:w="1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(gains) losses of equity investees</w:t>
            </w:r>
          </w:p>
        </w:tc>
        <w:tc>
          <w:tcPr>
            <w:tcW w:w="1260" w:type="dxa"/>
            <w:vAlign w:val="bottom"/>
            <w:shd w:val="clear" w:color="auto" w:fill="CCECFF"/>
          </w:tcPr>
          <w:p>
            <w:pPr>
              <w:spacing w:after="0"/>
              <w:rPr>
                <w:sz w:val="20"/>
                <w:szCs w:val="20"/>
                <w:color w:val="auto"/>
              </w:rPr>
            </w:pPr>
          </w:p>
        </w:tc>
        <w:tc>
          <w:tcPr>
            <w:tcW w:w="110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6"/>
                <w:szCs w:val="16"/>
                <w:color w:val="auto"/>
              </w:rPr>
              <w:t>(738 )</w:t>
            </w:r>
          </w:p>
        </w:tc>
        <w:tc>
          <w:tcPr>
            <w:tcW w:w="12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CFF"/>
          </w:tcPr>
          <w:p>
            <w:pPr>
              <w:spacing w:after="0"/>
              <w:rPr>
                <w:sz w:val="20"/>
                <w:szCs w:val="20"/>
                <w:color w:val="auto"/>
              </w:rPr>
            </w:pPr>
          </w:p>
        </w:tc>
      </w:tr>
      <w:tr>
        <w:trPr>
          <w:trHeight w:val="220"/>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Gains on fair value of bitcoin</w:t>
            </w:r>
          </w:p>
        </w:tc>
        <w:tc>
          <w:tcPr>
            <w:tcW w:w="12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(40,556 )</w:t>
            </w:r>
          </w:p>
        </w:tc>
        <w:tc>
          <w:tcPr>
            <w:tcW w:w="1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(4,264 )</w:t>
            </w:r>
          </w:p>
        </w:tc>
      </w:tr>
      <w:tr>
        <w:trPr>
          <w:trHeight w:val="236"/>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Other gains</w:t>
            </w:r>
          </w:p>
        </w:tc>
        <w:tc>
          <w:tcPr>
            <w:tcW w:w="126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CFF"/>
          </w:tcPr>
          <w:p>
            <w:pPr>
              <w:spacing w:after="0"/>
              <w:rPr>
                <w:sz w:val="20"/>
                <w:szCs w:val="20"/>
                <w:color w:val="auto"/>
              </w:rPr>
            </w:pPr>
          </w:p>
        </w:tc>
        <w:tc>
          <w:tcPr>
            <w:tcW w:w="1280" w:type="dxa"/>
            <w:vAlign w:val="bottom"/>
            <w:shd w:val="clear" w:color="auto" w:fill="CCECFF"/>
          </w:tcPr>
          <w:p>
            <w:pPr>
              <w:spacing w:after="0"/>
              <w:rPr>
                <w:sz w:val="20"/>
                <w:szCs w:val="20"/>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(2,260 )</w:t>
            </w:r>
          </w:p>
        </w:tc>
      </w:tr>
      <w:tr>
        <w:trPr>
          <w:trHeight w:val="223"/>
        </w:trPr>
        <w:tc>
          <w:tcPr>
            <w:tcW w:w="6860" w:type="dxa"/>
            <w:vAlign w:val="bottom"/>
            <w:tcBorders>
              <w:top w:val="single" w:sz="8" w:color="CCECFF"/>
            </w:tcBorders>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440" w:type="dxa"/>
            <w:vAlign w:val="bottom"/>
            <w:tcBorders>
              <w:top w:val="single" w:sz="8" w:color="CCECFF"/>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26,016</w:t>
            </w:r>
          </w:p>
        </w:tc>
        <w:tc>
          <w:tcPr>
            <w:tcW w:w="100" w:type="dxa"/>
            <w:vAlign w:val="bottom"/>
            <w:tcBorders>
              <w:top w:val="single" w:sz="8" w:color="CCECFF"/>
            </w:tcBorders>
          </w:tcPr>
          <w:p>
            <w:pPr>
              <w:spacing w:after="0"/>
              <w:rPr>
                <w:sz w:val="19"/>
                <w:szCs w:val="19"/>
                <w:color w:val="auto"/>
              </w:rPr>
            </w:pPr>
          </w:p>
        </w:tc>
      </w:tr>
      <w:tr>
        <w:trPr>
          <w:trHeight w:val="223"/>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Operating income (loss)</w:t>
            </w:r>
          </w:p>
        </w:tc>
        <w:tc>
          <w:tcPr>
            <w:tcW w:w="126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46,786</w:t>
            </w:r>
          </w:p>
        </w:tc>
        <w:tc>
          <w:tcPr>
            <w:tcW w:w="440" w:type="dxa"/>
            <w:vAlign w:val="bottom"/>
            <w:shd w:val="clear" w:color="auto" w:fill="CCECFF"/>
          </w:tcPr>
          <w:p>
            <w:pPr>
              <w:spacing w:after="0"/>
              <w:rPr>
                <w:sz w:val="19"/>
                <w:szCs w:val="19"/>
                <w:color w:val="auto"/>
              </w:rPr>
            </w:pPr>
          </w:p>
        </w:tc>
        <w:tc>
          <w:tcPr>
            <w:tcW w:w="1280" w:type="dxa"/>
            <w:vAlign w:val="bottom"/>
            <w:shd w:val="clear" w:color="auto" w:fill="CCECFF"/>
          </w:tcPr>
          <w:p>
            <w:pPr>
              <w:spacing w:after="0"/>
              <w:rPr>
                <w:sz w:val="19"/>
                <w:szCs w:val="19"/>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(4,121 )</w:t>
            </w:r>
          </w:p>
        </w:tc>
      </w:tr>
      <w:tr>
        <w:trPr>
          <w:trHeight w:val="216"/>
        </w:trPr>
        <w:tc>
          <w:tcPr>
            <w:tcW w:w="6860" w:type="dxa"/>
            <w:vAlign w:val="bottom"/>
            <w:tcBorders>
              <w:top w:val="single" w:sz="8" w:color="CCECFF"/>
            </w:tcBorders>
          </w:tcPr>
          <w:p>
            <w:pPr>
              <w:ind w:left="60"/>
              <w:spacing w:after="0"/>
              <w:rPr>
                <w:sz w:val="20"/>
                <w:szCs w:val="20"/>
                <w:color w:val="auto"/>
              </w:rPr>
            </w:pPr>
            <w:r>
              <w:rPr>
                <w:rFonts w:ascii="Times New Roman" w:cs="Times New Roman" w:eastAsia="Times New Roman" w:hAnsi="Times New Roman"/>
                <w:sz w:val="16"/>
                <w:szCs w:val="16"/>
                <w:color w:val="auto"/>
              </w:rPr>
              <w:t>Other income (expense)</w:t>
            </w: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Borders>
              <w:top w:val="single" w:sz="8" w:color="CCEC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126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440" w:type="dxa"/>
            <w:vAlign w:val="bottom"/>
            <w:shd w:val="clear" w:color="auto" w:fill="CCECFF"/>
          </w:tcPr>
          <w:p>
            <w:pPr>
              <w:spacing w:after="0"/>
              <w:rPr>
                <w:sz w:val="20"/>
                <w:szCs w:val="20"/>
                <w:color w:val="auto"/>
              </w:rPr>
            </w:pPr>
          </w:p>
        </w:tc>
        <w:tc>
          <w:tcPr>
            <w:tcW w:w="12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CFF"/>
          </w:tcPr>
          <w:p>
            <w:pPr>
              <w:spacing w:after="0"/>
              <w:rPr>
                <w:sz w:val="20"/>
                <w:szCs w:val="20"/>
                <w:color w:val="auto"/>
              </w:rPr>
            </w:pPr>
          </w:p>
        </w:tc>
      </w:tr>
      <w:tr>
        <w:trPr>
          <w:trHeight w:val="220"/>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2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(400 )</w:t>
            </w:r>
          </w:p>
        </w:tc>
        <w:tc>
          <w:tcPr>
            <w:tcW w:w="1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(401 )</w:t>
            </w:r>
          </w:p>
        </w:tc>
      </w:tr>
      <w:tr>
        <w:trPr>
          <w:trHeight w:val="239"/>
        </w:trPr>
        <w:tc>
          <w:tcPr>
            <w:tcW w:w="68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26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440" w:type="dxa"/>
            <w:vAlign w:val="bottom"/>
            <w:shd w:val="clear" w:color="auto" w:fill="CCECFF"/>
          </w:tcPr>
          <w:p>
            <w:pPr>
              <w:spacing w:after="0"/>
              <w:rPr>
                <w:sz w:val="20"/>
                <w:szCs w:val="20"/>
                <w:color w:val="auto"/>
              </w:rPr>
            </w:pPr>
          </w:p>
        </w:tc>
        <w:tc>
          <w:tcPr>
            <w:tcW w:w="1280" w:type="dxa"/>
            <w:vAlign w:val="bottom"/>
            <w:shd w:val="clear" w:color="auto" w:fill="CCECFF"/>
          </w:tcPr>
          <w:p>
            <w:pPr>
              <w:spacing w:after="0"/>
              <w:rPr>
                <w:sz w:val="20"/>
                <w:szCs w:val="20"/>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(37 )</w:t>
            </w:r>
          </w:p>
        </w:tc>
      </w:tr>
      <w:tr>
        <w:trPr>
          <w:trHeight w:val="226"/>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expense</w:t>
            </w:r>
          </w:p>
        </w:tc>
        <w:tc>
          <w:tcPr>
            <w:tcW w:w="12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(1,958 )</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26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6"/>
                <w:szCs w:val="16"/>
                <w:color w:val="auto"/>
              </w:rPr>
              <w:t>(1,322 )</w:t>
            </w:r>
          </w:p>
        </w:tc>
        <w:tc>
          <w:tcPr>
            <w:tcW w:w="1280" w:type="dxa"/>
            <w:vAlign w:val="bottom"/>
            <w:shd w:val="clear" w:color="auto" w:fill="CCECFF"/>
          </w:tcPr>
          <w:p>
            <w:pPr>
              <w:spacing w:after="0"/>
              <w:rPr>
                <w:sz w:val="19"/>
                <w:szCs w:val="19"/>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(362 )</w:t>
            </w:r>
          </w:p>
        </w:tc>
      </w:tr>
      <w:tr>
        <w:trPr>
          <w:trHeight w:val="20"/>
        </w:trPr>
        <w:tc>
          <w:tcPr>
            <w:tcW w:w="6860" w:type="dxa"/>
            <w:vAlign w:val="bottom"/>
            <w:shd w:val="clear" w:color="auto" w:fill="CCEC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6"/>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45,464</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(4,483 )</w:t>
            </w:r>
          </w:p>
        </w:tc>
      </w:tr>
      <w:tr>
        <w:trPr>
          <w:trHeight w:val="239"/>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260" w:type="dxa"/>
            <w:vAlign w:val="bottom"/>
            <w:shd w:val="clear" w:color="auto" w:fill="CCECFF"/>
          </w:tcPr>
          <w:p>
            <w:pPr>
              <w:spacing w:after="0"/>
              <w:rPr>
                <w:sz w:val="20"/>
                <w:szCs w:val="20"/>
                <w:color w:val="auto"/>
              </w:rPr>
            </w:pPr>
          </w:p>
        </w:tc>
        <w:tc>
          <w:tcPr>
            <w:tcW w:w="110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6"/>
                <w:szCs w:val="16"/>
                <w:color w:val="auto"/>
              </w:rPr>
              <w:t>(386 )</w:t>
            </w:r>
          </w:p>
        </w:tc>
        <w:tc>
          <w:tcPr>
            <w:tcW w:w="1280" w:type="dxa"/>
            <w:vAlign w:val="bottom"/>
            <w:shd w:val="clear" w:color="auto" w:fill="CCECFF"/>
          </w:tcPr>
          <w:p>
            <w:pPr>
              <w:spacing w:after="0"/>
              <w:rPr>
                <w:sz w:val="20"/>
                <w:szCs w:val="20"/>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27"/>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12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(5,178 )</w:t>
            </w:r>
          </w:p>
        </w:tc>
        <w:tc>
          <w:tcPr>
            <w:tcW w:w="1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r>
      <w:tr>
        <w:trPr>
          <w:trHeight w:val="20"/>
        </w:trPr>
        <w:tc>
          <w:tcPr>
            <w:tcW w:w="68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Total income tax expense</w:t>
            </w:r>
          </w:p>
        </w:tc>
        <w:tc>
          <w:tcPr>
            <w:tcW w:w="126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6"/>
                <w:szCs w:val="16"/>
                <w:color w:val="auto"/>
              </w:rPr>
              <w:t>(5,564 )</w:t>
            </w:r>
          </w:p>
        </w:tc>
        <w:tc>
          <w:tcPr>
            <w:tcW w:w="1280" w:type="dxa"/>
            <w:vAlign w:val="bottom"/>
            <w:shd w:val="clear" w:color="auto" w:fill="CCECFF"/>
          </w:tcPr>
          <w:p>
            <w:pPr>
              <w:spacing w:after="0"/>
              <w:rPr>
                <w:sz w:val="19"/>
                <w:szCs w:val="19"/>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(70 )</w:t>
            </w:r>
          </w:p>
        </w:tc>
      </w:tr>
      <w:tr>
        <w:trPr>
          <w:trHeight w:val="20"/>
        </w:trPr>
        <w:tc>
          <w:tcPr>
            <w:tcW w:w="6860" w:type="dxa"/>
            <w:vAlign w:val="bottom"/>
            <w:shd w:val="clear" w:color="auto" w:fill="CCEC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6"/>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 (loss)</w:t>
            </w:r>
          </w:p>
        </w:tc>
        <w:tc>
          <w:tcPr>
            <w:tcW w:w="126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39,900</w:t>
            </w:r>
          </w:p>
        </w:tc>
        <w:tc>
          <w:tcPr>
            <w:tcW w:w="440" w:type="dxa"/>
            <w:vAlign w:val="bottom"/>
          </w:tcPr>
          <w:p>
            <w:pPr>
              <w:spacing w:after="0"/>
              <w:rPr>
                <w:sz w:val="19"/>
                <w:szCs w:val="19"/>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(4,553 )</w:t>
            </w:r>
          </w:p>
        </w:tc>
      </w:tr>
      <w:tr>
        <w:trPr>
          <w:trHeight w:val="20"/>
        </w:trPr>
        <w:tc>
          <w:tcPr>
            <w:tcW w:w="68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-3445510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-1979295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-1671320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-779145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-179705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Three Months Ended March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Bitcoin mining operations at our Odessa Facility mined 924 bitcoin, generating revenue of $48.1 million for the three months ended March 31, 2024, at an average price per bitcoin of approximately $52.1 thousand, compared to 943 bitcoin, generating revenue of $21.9 million for the three months ended March 31, 2023, at an average price per bitcoin of approximately $23.2 thousand. The increase in revenue in the current period was primarily driven by the increase in bitcoin price and our ability to maintain production despite an increase in network hashrate.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 of revenue for the three months ended March 31, 2024 was $14.8 million, compared to $8.1 million for the three months ended March 31, 2023 and consisted primarily of power costs at the Odessa Facility as delivered under our power purchase agreement with Luminant ET Services Company LLC (the “Luminant Power Agreement”), as well as maintenance expenses for mining equipment.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7" w:name="page28"/>
    <w:bookmarkEnd w:id="27"/>
    <w:p>
      <w:pPr>
        <w:ind w:right="80"/>
        <w:spacing w:after="0" w:line="282" w:lineRule="auto"/>
        <w:rPr>
          <w:sz w:val="20"/>
          <w:szCs w:val="20"/>
          <w:color w:val="auto"/>
        </w:rPr>
      </w:pPr>
      <w:r>
        <w:rPr>
          <w:rFonts w:ascii="Times New Roman" w:cs="Times New Roman" w:eastAsia="Times New Roman" w:hAnsi="Times New Roman"/>
          <w:sz w:val="18"/>
          <w:szCs w:val="18"/>
          <w:color w:val="auto"/>
        </w:rPr>
        <w:t>The increase was primarily driven by increased maintenance expenses as a result of the Odessa Facility being fully operational. In the current quarter, Cost of revenue included $1.1 million of non-recurring costs to purchase upgraded parts to increase the efficiency of our miners.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Compensation and benefits increased to $13.0 million for the three months ended March 31, 2024 compared to $11.9 million for the three months ended March 31, 2023. The increase is primarily driven by an increase in headcount throughout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$6.1 million for the three months ended March 31, 2024 compared to $5.5 million for the three months ended March 31, 2023. The increase was primarily driven by an increase in professional fees in preparation for transitioning away from emerging growth company status during the three months ended March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Depreciation and amortization for the three months ended March 31, 2024 was $17.2 million, compared to $11.7 million for the three months ended March 31, 2023. Depreciation and amortization primarily relates to miners, mining equipment and leasehold improvements at the Odessa Facility. Also included in depreciation is the amortization of our finance lease right-of-use asset for our Interconnection Electrical Facilities (as defined below) that provides power to the Odessa Facility, amortization on our intangible assets, and accretion of our estimated asset retirement obligation related to the Odessa Facility and depreciation of the associated capitalized costs. The increase in depreciation in the current period primarily relates to increased assets placed into service in late 2023 to finish the build-out at the Odessa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change in the fair value of our derivative asset related to the Luminant Power Agreement resulted in a gain of $7.4 million during the three months ended March 31, 2024 compared to $5.3 million for the three months ended March 31, 2023. The gains in both periods were primarily due to the change in the power market forward curve over the respective periods as power prices in the futures market continue to increase.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20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accordance with the Luminant Power Agreement, we sold excess electricity that is available under the Luminant Power Agreement, but not needed in our mining operations at the Odessa Facility, back to the ERCOT market through Luminant for which we received proceeds of $1.2 million for the three months ended March 31, 2024 compared to $0.1 million for the three months ended March 31, 2023. Power sales vary each period due to changes in the opportunity cost of selling power instead of mining bitcoin.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(gains) losses of equity investees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Equity in gains of equity investees totaled approximately $0.7 million for the three months ended March 31, 2024, compared to Equity in losses of equity investees of $0.8 million for the three months ended March 31, 2023. Equity in losses of equity investees consists of our 49% share in the earnings (losses) generated by our three partially-owned mining sites, and the accretion of the basis differences in our investments in the equity investees that resulted from contributions of miners during the year ended December 31, 2022 with values at the time of the contributions that were less than the costs we paid to obtain the miners. We are accreting these basis differences over the five-year useful life of the miners. We recognized an expense of approximately $1.7 million for the three months ended March 31, 2024 and 2023, respectively, for the accretion of basis differences.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fair value of bitcoin</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adoption of ASC 2023-08, which we adopted as of January 1, 2023, crypto assets are required to be presented at fair value on the balance sheet, with changes in fair value recorded to the statement of operations. On January 1, 2023, upon adoption of ASC 2023-08, we recorded an opening retained earnings adjustment of $0.2 million, which represents the difference between the carrying value (presented as cost less impairment prior to the adoption of ASC 2023-08) and the fair value of our bitcoin holdings. Gains on fair value of bitcoin was $40.6 million during the three months ended March 31, 2024, compared to $4.3 million for the three months ended March 31, 2023. The increase in the current period was primarily driven by an increase in bitcoin held at higher prices by the Company with a bitcoin inventory of 1730 held at $71.3 thousand per bitcoin at March 31, 2024, compared to 416 bitcoin held at roughly $28.5 thousand per bitcoin at March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Other gains</w:t>
      </w:r>
    </w:p>
    <w:p>
      <w:pPr>
        <w:spacing w:after="0" w:line="2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recognized proceeds of approximately $2.3 million during the three months ended March 31, 2023 related to the sale of transferable coupons received from Bitmain Technologies Limited (“Bitmain”), with no comparable activity for the three months ended March 31, 2024. These coupons could be redeemed by us only through the purchase of additional miners from Bitmain prior to the April 2023 expiration date; however, we did not expect to use them and instead sold the coupons to a third party that approached us with interest to purchase them.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Other expense totaled $1.3 million for the three months ended March 31, 2024, consisting of a realized loss on derivative trading on the expiry of options of $1.9 million, $0.4 million of interest expense recognized related to our finance lease for the Interconnection Electrical Facilities, partially offset by $0.8 million of interest income earned on Cash and cash equivalent balances held in interest bearing accounts. Other income for the three months ended March 31, 2023 was not significant.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tax expense totaled $5.6 million, or 12.2% of income before taxes, and $0.1 million, or (1.6%) of a loss before taxes for the three months ended March 31, 2024 and 2023, respectively, and was determined using the estimated effective tax rate for the year, adjusted for the impact of any discrete items which are accounted for in the period in which they occur.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used cash flows from operations of $26.6 million for the three months ended March 31, 2024. As of March 31, 2024, we had cash and cash equivalents of $88.7 million, total stockholders’ equity of $600.9 million and an accumulated deficit of $96.9 million. For our fiscal years prior to 2023, we relied in large part on proceeds from the consummation of our business combination with Good Works Acquisition Corp. (“GWAC”) to fund our operations. During fiscal year 2023, we funded operations through a combination of at-the-market stock issuances and bitcoin sales. During the three months ended March 31, 2024, we have not needed to sell our bitcoin inventory to support operating expenses.</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master loan agreement with Coinbase Credit, Inc., as lender, and Coinbase, Inc., as lending service provider. Pursuant to the master loan agreement, we established a secured line of credit up to $10.0 million (the “Credit Facility”). We will not incur commitment fees for unused portions of the Credit Facility. The borrowing rate on amounts drawn against the Credit Facility is determined on the basis of the Federal Funds Target Rate - Upper Bound, plus 2.5%, calculated daily based on a 365-day year and payable monthly for the duration of the loan. Borrowings under the Credit Facility are available on demand, open term, and collateralized by bitcoin transferred to the lending service provider’s platform. As of March 31, 2024 we have not drawn upon the Credit Facility.</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September 21, 2022, we filed the Registration Statement with the SEC. In connection with the filing of the Registration Statement, we also entered into an at-the market offering agreement (the “Prior Sales Agreement”) with H.C. Wainwright &amp; Co., LLC (the “Prior Agent”), under which we may, from time to time, sell shares of our Common Stock having an aggregate offering price of up to $250.0 million in “at-the-market” offerings through the Agent, which is included in the $500.0 million of securities that may be offered pursuant to the Registration Statement. Effective August 1, 2023, the Company terminated the Prior Sales Agreement.</w:t>
      </w:r>
    </w:p>
    <w:p>
      <w:pPr>
        <w:spacing w:after="0" w:line="16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August 3,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we may offer and sell pursuant to a prospectus supplement, from time to time through or to the Original Agents, shares of our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1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6, 2024, we entered into an amendment (the “Amendment”) to the Sales Agreement (as amended, the “Amended Sales Agreement”) by and among the Original Agents, Stifel, Nicolaus &amp; Company, Incorporated (“Stifel”) and Virtu Americas LLC (“Virtu”) (each of the Original Agents, Stifel and Virtu, an “Agent” and, together, the “Agents”). The Amendment modifies the Sales Agreement to include Stifel and Virtu as additional agents under the Amended Sales Agreement. On March 6, 2024, we also filed an amendment to the Prospectus Supplement (i) increasing the dollar amount of shares available to be sold pursuant to the Amended Sales Agreement, to $296,560,661, which consists of $96,560,661 remaining as originally authorized under the Prospectus Supplement and an additional $200,000,000, and (ii) including Stifel, Nicolaus &amp; Company, Incorporated and Virtu Americas LLC as additional Agents. For the quarter ended March 31, 2024, we received net proceeds on sales of 14.2 million shares of common stock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29" w:name="page30"/>
    <w:bookmarkEnd w:id="29"/>
    <w:p>
      <w:pPr>
        <w:ind w:right="440"/>
        <w:spacing w:after="0" w:line="282" w:lineRule="auto"/>
        <w:rPr>
          <w:sz w:val="20"/>
          <w:szCs w:val="20"/>
          <w:color w:val="auto"/>
        </w:rPr>
      </w:pPr>
      <w:r>
        <w:rPr>
          <w:rFonts w:ascii="Times New Roman" w:cs="Times New Roman" w:eastAsia="Times New Roman" w:hAnsi="Times New Roman"/>
          <w:sz w:val="18"/>
          <w:szCs w:val="18"/>
          <w:color w:val="auto"/>
        </w:rPr>
        <w:t>under the Prior Sales Agreement and the Amended Sales Agreement of approximately $64.5 million (net of commissions and expenses) at a weighted average price of $4.53.</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and our intent and ability to sell bitcoin received or earned, will be sufficient to enable us to meet our operating and capital requirements for at least 12 months from the date these unaudited condensed consolidated financial statements are issued.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19"/>
                <w:szCs w:val="19"/>
                <w:color w:val="auto"/>
              </w:rPr>
            </w:pPr>
          </w:p>
        </w:tc>
        <w:tc>
          <w:tcPr>
            <w:tcW w:w="360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40" w:type="dxa"/>
            <w:vAlign w:val="bottom"/>
            <w:shd w:val="clear" w:color="auto" w:fill="CCEC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8"/>
                <w:szCs w:val="18"/>
                <w:color w:val="auto"/>
              </w:rPr>
              <w:t>(26,636 )</w:t>
            </w:r>
          </w:p>
        </w:tc>
        <w:tc>
          <w:tcPr>
            <w:tcW w:w="1240" w:type="dxa"/>
            <w:vAlign w:val="bottom"/>
            <w:shd w:val="clear" w:color="auto" w:fill="CCEC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(10,142 )</w:t>
            </w:r>
          </w:p>
        </w:tc>
      </w:tr>
      <w:tr>
        <w:trPr>
          <w:trHeight w:val="239"/>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(30,957 )</w:t>
            </w:r>
          </w:p>
        </w:tc>
        <w:tc>
          <w:tcPr>
            <w:tcW w:w="1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20"/>
                <w:szCs w:val="20"/>
                <w:color w:val="auto"/>
              </w:rPr>
            </w:pPr>
          </w:p>
        </w:tc>
      </w:tr>
      <w:tr>
        <w:trPr>
          <w:trHeight w:val="243"/>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4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60,163</w:t>
            </w:r>
          </w:p>
        </w:tc>
        <w:tc>
          <w:tcPr>
            <w:tcW w:w="440" w:type="dxa"/>
            <w:vAlign w:val="bottom"/>
            <w:shd w:val="clear" w:color="auto" w:fill="CCECFF"/>
          </w:tcPr>
          <w:p>
            <w:pPr>
              <w:spacing w:after="0"/>
              <w:rPr>
                <w:sz w:val="21"/>
                <w:szCs w:val="21"/>
                <w:color w:val="auto"/>
              </w:rPr>
            </w:pPr>
          </w:p>
        </w:tc>
        <w:tc>
          <w:tcPr>
            <w:tcW w:w="1240" w:type="dxa"/>
            <w:vAlign w:val="bottom"/>
            <w:shd w:val="clear" w:color="auto" w:fill="CCECFF"/>
          </w:tcPr>
          <w:p>
            <w:pPr>
              <w:spacing w:after="0"/>
              <w:rPr>
                <w:sz w:val="21"/>
                <w:szCs w:val="21"/>
                <w:color w:val="auto"/>
              </w:rPr>
            </w:pPr>
          </w:p>
        </w:tc>
        <w:tc>
          <w:tcPr>
            <w:tcW w:w="7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(481 )</w:t>
            </w:r>
          </w:p>
        </w:tc>
      </w:tr>
      <w:tr>
        <w:trPr>
          <w:trHeight w:val="20"/>
        </w:trPr>
        <w:tc>
          <w:tcPr>
            <w:tcW w:w="6860" w:type="dxa"/>
            <w:vAlign w:val="bottom"/>
            <w:shd w:val="clear" w:color="auto" w:fill="CCEC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41"/>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440" w:type="dxa"/>
            <w:vAlign w:val="bottom"/>
          </w:tcPr>
          <w:p>
            <w:pPr>
              <w:spacing w:after="0"/>
              <w:rPr>
                <w:sz w:val="20"/>
                <w:szCs w:val="20"/>
                <w:color w:val="auto"/>
              </w:rPr>
            </w:pPr>
          </w:p>
        </w:tc>
        <w:tc>
          <w:tcPr>
            <w:tcW w:w="124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(8,005 )</w:t>
            </w:r>
          </w:p>
        </w:tc>
      </w:tr>
      <w:tr>
        <w:trPr>
          <w:trHeight w:val="20"/>
        </w:trPr>
        <w:tc>
          <w:tcPr>
            <w:tcW w:w="68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increased by $16.5 million to $26.6 million for the three months ended March 31, 2024 from $10.1 million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2023. We earned net income of $39.9 million for the three months ended March 31, 2024, compared to a net loss of $4.6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three months ended March 31, 2023, representing an increase of $44.5 million. Cash flows from operating activities was impacted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 million increase in non-cash items, primarily driven by a $26.4 million increase in bitcoin received as payment from our mining pool operator,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$36.3 million increase in gains on the fair value of bitcoin. Additionally, changes in assets and liabilities resulted in a decrease in cash used of $7.1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three months ended March 31, 2024 and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Cash flows from investing activities decreased by $33.6 million to $31.0 million of net cash used in investing activities for the three months ended March 31, 2024 compared to $2.6 million of net cash provided by investing activities for the three months ended March 31, 2023, primarily related to a $21.0 million decrease in proceeds from bitcoin sales as we build bitcoin inventory, and a $15.2 million increase in contributions to equity investees related to expansions at the Bear and Chief facilities, partially offset by a $10.0 million decrease in purchases of property and equipment which in the prior period related to building out the Odessa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flows from financing activities increased by $60.6 million to $60.2 million net cash provided by financing activities for the three months ended March 31, 2024 from $0.5 million net cash used in financing activities for the three months ended March 31, 2023, primarily driven by $66.2 million of proceeds from the issuance of common stock during the three months ended March 31, 2024, with no comparable activity in the prior year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Business History; Need for Additional Capital</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is limited historical financial information about us upon which to base an evaluation of our performance. Our business is subject to risks inherent in the establishment of a new business enterprise, including limited capital resources, possible delays in exploration and/or development, and possible cost overruns due to price and cost increases in services. We may require additional capital to pursue certain business opportunities or respond to technological advancements, competitive dynamics or technologies, customer demands, challenges, acquisitions or unforeseen circumstances. Additionally, we have incurred and expect to continue to incur significant costs related to becoming a public company. Accordingly, we may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which may adversely affect our business plan. For risks associated with this, see “Risks Factors—Risks Related to Our Business, Industry and Operations—We may need to raise additional capital, which may not be available on terms acceptable to us, or at all” in our 2023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0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December 17, 2021, we entered into a lease agreement for executive office space, with an effective term that commenced on February 1, 2022 and monthly rent payments of approximately $0.1 million. The initial lease term is for a period of five years and four months.</w:t>
      </w:r>
    </w:p>
    <w:p>
      <w:pPr>
        <w:spacing w:after="0" w:line="12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also entered into a series of agreements with affiliates of Luminant ET Services Company LLC (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3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unaudited condensed consolidated balance sheet.</w:t>
      </w:r>
    </w:p>
    <w:p>
      <w:pPr>
        <w:spacing w:after="0" w:line="1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unaudited condensed consolidated financial statements.</w:t>
      </w:r>
    </w:p>
    <w:p>
      <w:pPr>
        <w:spacing w:after="0" w:line="13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providing supplemental financial measures for Adjusted Earnings that excludes the impact of depreciation and amortization, the non-cash change in fair value of derivative asset, the non-cash change in fair value of the warrant liability, nonrecurring gains and losses, deferred income taxes, and share-based compensation expense. This supplemental financial measure is not a measurement of financial performance under accounting principles generally accepted in the United Stated (“GAAP”) and, as a result, this supplemental financial measure may not be comparable to similarly titled measures of other companies. Management uses this non-GAAP financial measure internally to help understand, manage, and evaluate our business performance and to help make operating decisions. We believe the use of this non-GAAP financial measure can also facilitate comparison of our operating results to those of our competitors.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 is not meant to be considered in isolation and should be read only in conjunction with our condensed consolidated financial statements included elsewhere in this Quarterly Report, which have been prepared in accordance with GAAP. We rely primarily on such condensed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1" w:name="page32"/>
    <w:bookmarkEnd w:id="31"/>
    <w:p>
      <w:pPr>
        <w:ind w:right="86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to understand, manage and evaluate our business performance and use the non-GAAP financial measures only supplementally.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Adjusted Earnings to the most directly comparable GAAP measure for the periods indicated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19"/>
                <w:szCs w:val="19"/>
                <w:color w:val="auto"/>
              </w:rPr>
            </w:pPr>
          </w:p>
        </w:tc>
        <w:tc>
          <w:tcPr>
            <w:tcW w:w="362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1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w:t>
            </w:r>
          </w:p>
        </w:tc>
        <w:tc>
          <w:tcPr>
            <w:tcW w:w="126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440" w:type="dxa"/>
            <w:vAlign w:val="bottom"/>
            <w:shd w:val="clear" w:color="auto" w:fill="CCECFF"/>
          </w:tcPr>
          <w:p>
            <w:pPr>
              <w:spacing w:after="0"/>
              <w:rPr>
                <w:sz w:val="21"/>
                <w:szCs w:val="21"/>
                <w:color w:val="auto"/>
              </w:rPr>
            </w:pPr>
          </w:p>
        </w:tc>
        <w:tc>
          <w:tcPr>
            <w:tcW w:w="126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w:t>
            </w:r>
          </w:p>
        </w:tc>
        <w:tc>
          <w:tcPr>
            <w:tcW w:w="440" w:type="dxa"/>
            <w:vAlign w:val="bottom"/>
          </w:tcPr>
          <w:p>
            <w:pPr>
              <w:spacing w:after="0"/>
              <w:rPr>
                <w:sz w:val="20"/>
                <w:szCs w:val="20"/>
                <w:color w:val="auto"/>
              </w:rPr>
            </w:pPr>
          </w:p>
        </w:tc>
        <w:tc>
          <w:tcPr>
            <w:tcW w:w="126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(4,553 )</w:t>
            </w:r>
          </w:p>
        </w:tc>
      </w:tr>
      <w:tr>
        <w:trPr>
          <w:trHeight w:val="247"/>
        </w:trPr>
        <w:tc>
          <w:tcPr>
            <w:tcW w:w="68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26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8"/>
                <w:szCs w:val="18"/>
                <w:color w:val="auto"/>
              </w:rPr>
              <w:t>(7,359 )</w:t>
            </w:r>
          </w:p>
        </w:tc>
        <w:tc>
          <w:tcPr>
            <w:tcW w:w="1260" w:type="dxa"/>
            <w:vAlign w:val="bottom"/>
            <w:shd w:val="clear" w:color="auto" w:fill="CCECFF"/>
          </w:tcPr>
          <w:p>
            <w:pPr>
              <w:spacing w:after="0"/>
              <w:rPr>
                <w:sz w:val="21"/>
                <w:szCs w:val="21"/>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(5,328 )</w:t>
            </w:r>
          </w:p>
        </w:tc>
      </w:tr>
      <w:tr>
        <w:trPr>
          <w:trHeight w:val="239"/>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tcPr>
          <w:p>
            <w:pPr>
              <w:spacing w:after="0"/>
              <w:rPr>
                <w:sz w:val="20"/>
                <w:szCs w:val="20"/>
                <w:color w:val="auto"/>
              </w:rPr>
            </w:pPr>
          </w:p>
        </w:tc>
      </w:tr>
      <w:tr>
        <w:trPr>
          <w:trHeight w:val="247"/>
        </w:trPr>
        <w:tc>
          <w:tcPr>
            <w:tcW w:w="68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440" w:type="dxa"/>
            <w:vAlign w:val="bottom"/>
            <w:shd w:val="clear" w:color="auto" w:fill="CCECFF"/>
          </w:tcPr>
          <w:p>
            <w:pPr>
              <w:spacing w:after="0"/>
              <w:rPr>
                <w:sz w:val="21"/>
                <w:szCs w:val="21"/>
                <w:color w:val="auto"/>
              </w:rPr>
            </w:pPr>
          </w:p>
        </w:tc>
        <w:tc>
          <w:tcPr>
            <w:tcW w:w="126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100" w:type="dxa"/>
            <w:vAlign w:val="bottom"/>
            <w:shd w:val="clear" w:color="auto" w:fill="CCECFF"/>
          </w:tcPr>
          <w:p>
            <w:pPr>
              <w:spacing w:after="0"/>
              <w:rPr>
                <w:sz w:val="21"/>
                <w:szCs w:val="21"/>
                <w:color w:val="auto"/>
              </w:rPr>
            </w:pPr>
          </w:p>
        </w:tc>
      </w:tr>
      <w:tr>
        <w:trPr>
          <w:trHeight w:val="239"/>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r>
      <w:tr>
        <w:trPr>
          <w:trHeight w:val="247"/>
        </w:trPr>
        <w:tc>
          <w:tcPr>
            <w:tcW w:w="68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Other gains - nonrecurring</w:t>
            </w:r>
          </w:p>
        </w:tc>
        <w:tc>
          <w:tcPr>
            <w:tcW w:w="126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spacing w:after="0"/>
              <w:rPr>
                <w:sz w:val="21"/>
                <w:szCs w:val="21"/>
                <w:color w:val="auto"/>
              </w:rPr>
            </w:pPr>
          </w:p>
        </w:tc>
        <w:tc>
          <w:tcPr>
            <w:tcW w:w="1260" w:type="dxa"/>
            <w:vAlign w:val="bottom"/>
            <w:shd w:val="clear" w:color="auto" w:fill="CCECFF"/>
          </w:tcPr>
          <w:p>
            <w:pPr>
              <w:spacing w:after="0"/>
              <w:rPr>
                <w:sz w:val="21"/>
                <w:szCs w:val="21"/>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(2,260 )</w:t>
            </w:r>
          </w:p>
        </w:tc>
      </w:tr>
      <w:tr>
        <w:trPr>
          <w:trHeight w:val="239"/>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6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(250 )</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r>
      <w:tr>
        <w:trPr>
          <w:trHeight w:val="281"/>
        </w:trPr>
        <w:tc>
          <w:tcPr>
            <w:tcW w:w="686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Adjusted earnings</w:t>
            </w:r>
          </w:p>
        </w:tc>
        <w:tc>
          <w:tcPr>
            <w:tcW w:w="1260" w:type="dxa"/>
            <w:vAlign w:val="bottom"/>
            <w:tcBorders>
              <w:top w:val="single" w:sz="8" w:color="auto"/>
              <w:bottom w:val="single" w:sz="8" w:color="auto"/>
            </w:tcBorders>
            <w:shd w:val="clear" w:color="auto" w:fill="CCECFF"/>
          </w:tcPr>
          <w:p>
            <w:pPr>
              <w:spacing w:after="0"/>
              <w:rPr>
                <w:sz w:val="24"/>
                <w:szCs w:val="24"/>
                <w:color w:val="auto"/>
              </w:rPr>
            </w:pP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63,030</w:t>
            </w:r>
          </w:p>
        </w:tc>
        <w:tc>
          <w:tcPr>
            <w:tcW w:w="440" w:type="dxa"/>
            <w:vAlign w:val="bottom"/>
            <w:tcBorders>
              <w:bottom w:val="single" w:sz="8" w:color="CCECFF"/>
            </w:tcBorders>
            <w:shd w:val="clear" w:color="auto" w:fill="CCECFF"/>
          </w:tcPr>
          <w:p>
            <w:pPr>
              <w:spacing w:after="0"/>
              <w:rPr>
                <w:sz w:val="24"/>
                <w:szCs w:val="24"/>
                <w:color w:val="auto"/>
              </w:rPr>
            </w:pPr>
          </w:p>
        </w:tc>
        <w:tc>
          <w:tcPr>
            <w:tcW w:w="1260" w:type="dxa"/>
            <w:vAlign w:val="bottom"/>
            <w:tcBorders>
              <w:top w:val="single" w:sz="8" w:color="auto"/>
              <w:bottom w:val="single" w:sz="8" w:color="auto"/>
            </w:tcBorders>
            <w:shd w:val="clear" w:color="auto" w:fill="CCECFF"/>
          </w:tcPr>
          <w:p>
            <w:pPr>
              <w:spacing w:after="0"/>
              <w:rPr>
                <w:sz w:val="24"/>
                <w:szCs w:val="24"/>
                <w:color w:val="auto"/>
              </w:rPr>
            </w:pP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0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in included in our 2023 Form 10-K. You should read the accompanying unaudited condensed consolidated financial statements in conjunction with our audited consolidated financial statements and accompanying notes in our 2023 Form 10-K. There have been no material changes in the information disclosed in the notes to our audited consolidated financial statements included in our 2023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Information regarding recent accounting pronouncements applicable to us, adopted and not yet adopted as of the date of this report, is included in Note 2 to our unaudited condensed consolidated financial statements located in “Part I - Financial Information, Item 1. Financial Statements” in this Quarterly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(“Disclosure Controls”), as defined by Rules 13a-15(e) and 15d-15(e) of the Exchange Act, as of March 31, 2024, the end of the period covered by this Quarterly Report. The Disclosure Controls evaluation was done under the supervision and with the participation of management, including our Chief Executive Officer and Chief Financial Officer, with the goal being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March 31,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in the 2023 Form 10-K, during management’s assessment of internal controls over financial reporting, a material weakness was identified related to certain Information Technology General Controls over user access, segregation of duties and change management controls.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 Since the material weakness was identified, management has been implementing and continues to implement measures designed to ensure that control deficiencies contributing to the material weakness are remediated, such that these controls are designed, implemented, and operating effectively. Our plan includes the following:</w:t>
      </w:r>
    </w:p>
    <w:p>
      <w:pPr>
        <w:spacing w:after="0" w:line="291" w:lineRule="exact"/>
        <w:rPr>
          <w:sz w:val="20"/>
          <w:szCs w:val="20"/>
          <w:color w:val="auto"/>
        </w:rPr>
      </w:pPr>
    </w:p>
    <w:p>
      <w:pPr>
        <w:ind w:left="1020" w:right="4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2024 in key financial reporting and information technology areas, including hiring additional employees.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 external third-party internal audit and SOX 404 implementation firm to work to improve the Company’s controls related to our material weaknesses, specifically relating to user access and change management surrounding the Company’s IT systems and applications.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formalize our policies and processes including those over outside service providers with a specific focus on enhancing design and documentation related to (i) developing and communicating additional policies and procedures to govern the areas of IT change management and user access processes and related control activities and (ii) develop robust processes to validate data received from third-parties and relied upon to generate financial statements that are complete and accurate.</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recognize that the material weaknesses in our internal control over financial reporting will not be considered remediated until the remediated controls operate for a sufficient period of time and can be tested and concluded by management to be designed and operating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effectively. Because our remediation efforts involve our outsourced service providers, we cannot provide any assurance that these remediation efforts will be successful or that our internal control over financial reporting will be effective as a result of these efforts.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evaluate and work to improve our internal control over financial reporting related to the identified material weaknesses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Rules 13a-15(f) and 15d-15(f) under the Exchange Act) during the three months ended March 31, 2024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4" w:name="page35"/>
    <w:bookmarkEnd w:id="3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There have been no material changes to such proceedings previously disclosed in our 2023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0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operating results can be affected by a number of factors, whether currently known or unknown, including but not limited to the risk factors as previously disclosed in Part I, Item 1A, “Risk Factors” of our 2023 Form 10-K, which is incorporated herein by reference. There have been no material changes to the risk factors previously disclosed in our 2023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right="6220" w:hanging="752"/>
        <w:spacing w:after="0" w:line="532" w:lineRule="auto"/>
        <w:tabs>
          <w:tab w:leader="none" w:pos="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54" w:lineRule="exact"/>
        <w:rPr>
          <w:rFonts w:ascii="Times New Roman" w:cs="Times New Roman" w:eastAsia="Times New Roman" w:hAnsi="Times New Roman"/>
          <w:sz w:val="18"/>
          <w:szCs w:val="18"/>
          <w:color w:val="auto"/>
        </w:rPr>
      </w:pPr>
    </w:p>
    <w:p>
      <w:pPr>
        <w:ind w:left="760" w:right="2680" w:hanging="752"/>
        <w:spacing w:after="0" w:line="375" w:lineRule="auto"/>
        <w:tabs>
          <w:tab w:leader="none" w:pos="2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1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(as defined in Rule 16a-1(f) under the Exchange Act)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85"/>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11"/>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6"/>
                <w:szCs w:val="16"/>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6"/>
                <w:szCs w:val="16"/>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19"/>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5"/>
                <w:szCs w:val="15"/>
                <w:color w:val="auto"/>
              </w:rPr>
            </w:pPr>
          </w:p>
        </w:tc>
        <w:tc>
          <w:tcPr>
            <w:tcW w:w="4820" w:type="dxa"/>
            <w:vAlign w:val="bottom"/>
            <w:tcBorders>
              <w:bottom w:val="single" w:sz="8" w:color="0000FF"/>
            </w:tcBorders>
            <w:gridSpan w:val="18"/>
          </w:tcPr>
          <w:p>
            <w:pPr>
              <w:spacing w:after="0" w:line="183"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Agreement and Plan of Merger, dated as of March 4, 2021, by and among</w:t>
              </w:r>
            </w:hyperlink>
          </w:p>
        </w:tc>
        <w:tc>
          <w:tcPr>
            <w:tcW w:w="300" w:type="dxa"/>
            <w:vAlign w:val="bottom"/>
            <w:gridSpan w:val="6"/>
          </w:tcPr>
          <w:p>
            <w:pPr>
              <w:spacing w:after="0"/>
              <w:rPr>
                <w:sz w:val="15"/>
                <w:szCs w:val="15"/>
                <w:color w:val="auto"/>
              </w:rPr>
            </w:pP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2.1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3/5/2021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tcBorders>
              <w:bottom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Good Works Acquisition Corp., Currency Merger Sub, Inc. and Cipher</w:t>
              </w:r>
            </w:hyperlink>
          </w:p>
        </w:tc>
        <w:tc>
          <w:tcPr>
            <w:tcW w:w="48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Mining Technologies Inc.</w:t>
              </w:r>
            </w:hyperlink>
          </w:p>
        </w:tc>
        <w:tc>
          <w:tcPr>
            <w:tcW w:w="3420" w:type="dxa"/>
            <w:vAlign w:val="bottom"/>
            <w:gridSpan w:val="20"/>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454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Second Amended and Restated Certificate of Incorporation of Cipher</w:t>
              </w:r>
            </w:hyperlink>
          </w:p>
        </w:tc>
        <w:tc>
          <w:tcPr>
            <w:tcW w:w="580" w:type="dxa"/>
            <w:vAlign w:val="bottom"/>
            <w:gridSpan w:val="9"/>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3.1</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24"/>
          </w:tcPr>
          <w:p>
            <w:pPr>
              <w:spacing w:after="0" w:line="183"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Mining Inc.</w:t>
              </w:r>
            </w:hyperlink>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350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Amended and Restated Bylaws of Cipher Mining Inc.</w:t>
              </w:r>
            </w:hyperlink>
          </w:p>
        </w:tc>
        <w:tc>
          <w:tcPr>
            <w:tcW w:w="20" w:type="dxa"/>
            <w:vAlign w:val="bottom"/>
            <w:tcBorders>
              <w:bottom w:val="single" w:sz="8" w:color="0000EE"/>
            </w:tcBorders>
          </w:tcPr>
          <w:p>
            <w:pPr>
              <w:spacing w:after="0"/>
              <w:rPr>
                <w:sz w:val="18"/>
                <w:szCs w:val="18"/>
                <w:color w:val="auto"/>
              </w:rPr>
            </w:pPr>
          </w:p>
        </w:tc>
        <w:tc>
          <w:tcPr>
            <w:tcW w:w="1600" w:type="dxa"/>
            <w:vAlign w:val="bottom"/>
            <w:gridSpan w:val="15"/>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3.2</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8"/>
                <w:szCs w:val="18"/>
                <w:color w:val="auto"/>
              </w:rPr>
            </w:pPr>
          </w:p>
        </w:tc>
        <w:tc>
          <w:tcPr>
            <w:tcW w:w="416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Specimen Warrant Certificate of Good Works Acquisition Corp.</w:t>
              </w:r>
            </w:hyperlink>
          </w:p>
        </w:tc>
        <w:tc>
          <w:tcPr>
            <w:tcW w:w="20" w:type="dxa"/>
            <w:vAlign w:val="bottom"/>
            <w:tcBorders>
              <w:bottom w:val="single" w:sz="8" w:color="0000EE"/>
            </w:tcBorders>
          </w:tcPr>
          <w:p>
            <w:pPr>
              <w:spacing w:after="0"/>
              <w:rPr>
                <w:sz w:val="18"/>
                <w:szCs w:val="18"/>
                <w:color w:val="auto"/>
              </w:rPr>
            </w:pPr>
          </w:p>
        </w:tc>
        <w:tc>
          <w:tcPr>
            <w:tcW w:w="940" w:type="dxa"/>
            <w:vAlign w:val="bottom"/>
            <w:gridSpan w:val="11"/>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333-248333</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4.3</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10/9/2020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436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Warrant Agreement, dated as of October 19, 2020, by and between</w:t>
              </w:r>
            </w:hyperlink>
          </w:p>
        </w:tc>
        <w:tc>
          <w:tcPr>
            <w:tcW w:w="760" w:type="dxa"/>
            <w:vAlign w:val="bottom"/>
            <w:gridSpan w:val="10"/>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4.1</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10/28/2020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40" w:type="dxa"/>
            <w:vAlign w:val="bottom"/>
            <w:tcBorders>
              <w:bottom w:val="single" w:sz="8" w:color="0000FF"/>
            </w:tcBorders>
            <w:gridSpan w:val="21"/>
          </w:tcPr>
          <w:p>
            <w:pPr>
              <w:spacing w:after="0" w:line="183"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Continental Stock Transfer &amp; Trust Company and Good Works Acquisition</w:t>
              </w:r>
            </w:hyperlink>
          </w:p>
        </w:tc>
        <w:tc>
          <w:tcPr>
            <w:tcW w:w="18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0000EE"/>
            </w:tcBorders>
          </w:tcPr>
          <w:p>
            <w:pPr>
              <w:spacing w:after="0" w:line="183"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Corp.</w:t>
              </w:r>
            </w:hyperlink>
          </w:p>
        </w:tc>
        <w:tc>
          <w:tcPr>
            <w:tcW w:w="4720" w:type="dxa"/>
            <w:vAlign w:val="bottom"/>
            <w:gridSpan w:val="23"/>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1"/>
                <w:szCs w:val="11"/>
                <w:color w:val="auto"/>
              </w:rPr>
            </w:pPr>
          </w:p>
        </w:tc>
        <w:tc>
          <w:tcPr>
            <w:tcW w:w="3160" w:type="dxa"/>
            <w:vAlign w:val="bottom"/>
            <w:gridSpan w:val="5"/>
            <w:vMerge w:val="restart"/>
          </w:tcPr>
          <w:p>
            <w:pPr>
              <w:spacing w:after="0"/>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Amendment No. 1 to Controlled Equity Offering</w:t>
              </w:r>
            </w:hyperlink>
          </w:p>
        </w:tc>
        <w:tc>
          <w:tcPr>
            <w:tcW w:w="160" w:type="dxa"/>
            <w:vAlign w:val="bottom"/>
            <w:tcBorders>
              <w:bottom w:val="single" w:sz="8" w:color="0000FF"/>
            </w:tcBorders>
            <w:gridSpan w:val="2"/>
          </w:tcPr>
          <w:p>
            <w:pPr>
              <w:ind w:left="20"/>
              <w:spacing w:after="0" w:line="109" w:lineRule="exact"/>
              <w:rPr>
                <w:rFonts w:ascii="Times New Roman" w:cs="Times New Roman" w:eastAsia="Times New Roman" w:hAnsi="Times New Roman"/>
                <w:sz w:val="11"/>
                <w:szCs w:val="11"/>
                <w:color w:val="0000FF"/>
                <w:w w:val="75"/>
              </w:rPr>
            </w:pPr>
            <w:hyperlink r:id="rId198">
              <w:r>
                <w:rPr>
                  <w:rFonts w:ascii="Times New Roman" w:cs="Times New Roman" w:eastAsia="Times New Roman" w:hAnsi="Times New Roman"/>
                  <w:sz w:val="11"/>
                  <w:szCs w:val="11"/>
                  <w:color w:val="0000FF"/>
                  <w:w w:val="75"/>
                </w:rPr>
                <w:t>SM</w:t>
              </w:r>
            </w:hyperlink>
          </w:p>
        </w:tc>
        <w:tc>
          <w:tcPr>
            <w:tcW w:w="1660" w:type="dxa"/>
            <w:vAlign w:val="bottom"/>
            <w:gridSpan w:val="16"/>
            <w:vMerge w:val="restart"/>
          </w:tcPr>
          <w:p>
            <w:pPr>
              <w:ind w:left="40"/>
              <w:spacing w:after="0"/>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Sales Agreement by and</w:t>
              </w:r>
            </w:hyperlink>
          </w:p>
        </w:tc>
        <w:tc>
          <w:tcPr>
            <w:tcW w:w="140" w:type="dxa"/>
            <w:vAlign w:val="bottom"/>
            <w:vMerge w:val="restart"/>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w w:val="99"/>
              </w:rPr>
              <w:t>1.1</w:t>
            </w:r>
          </w:p>
        </w:tc>
        <w:tc>
          <w:tcPr>
            <w:tcW w:w="112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rPr>
              <w:t>3/6/2024</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160" w:type="dxa"/>
            <w:vAlign w:val="bottom"/>
            <w:tcBorders>
              <w:bottom w:val="single" w:sz="8" w:color="0000FF"/>
            </w:tcBorders>
            <w:gridSpan w:val="5"/>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tcBorders>
              <w:bottom w:val="single" w:sz="8" w:color="0000FF"/>
            </w:tcBorders>
            <w:gridSpan w:val="16"/>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Borders>
              <w:bottom w:val="single" w:sz="8" w:color="0000FF"/>
            </w:tcBorders>
            <w:gridSpan w:val="23"/>
          </w:tcPr>
          <w:p>
            <w:pPr>
              <w:spacing w:after="0" w:line="183"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among Cipher Mining Inc. and Cantor Fitzgerald &amp; Co., Canaccord Genuity</w:t>
              </w:r>
            </w:hyperlink>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00" w:type="dxa"/>
            <w:vAlign w:val="bottom"/>
            <w:tcBorders>
              <w:bottom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LLC, Compass Point Research &amp; Trading, LLC, Needham &amp; Company,</w:t>
              </w:r>
            </w:hyperlink>
          </w:p>
        </w:tc>
        <w:tc>
          <w:tcPr>
            <w:tcW w:w="42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60" w:type="dxa"/>
            <w:vAlign w:val="bottom"/>
            <w:tcBorders>
              <w:bottom w:val="single" w:sz="8" w:color="0000FF"/>
            </w:tcBorders>
            <w:gridSpan w:val="19"/>
          </w:tcPr>
          <w:p>
            <w:pPr>
              <w:spacing w:after="0" w:line="183"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LLC, Stifel, Nicolaus &amp; Company, Incorporated and Virtu Americas LLC,</w:t>
              </w:r>
            </w:hyperlink>
          </w:p>
        </w:tc>
        <w:tc>
          <w:tcPr>
            <w:tcW w:w="26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24"/>
          </w:tcPr>
          <w:p>
            <w:pPr>
              <w:spacing w:after="0" w:line="183"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dated March 6, 2024.</w:t>
              </w:r>
            </w:hyperlink>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8"/>
                <w:szCs w:val="18"/>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60" w:type="dxa"/>
            <w:vAlign w:val="bottom"/>
            <w:tcBorders>
              <w:top w:val="single" w:sz="8" w:color="0000FF"/>
            </w:tcBorders>
            <w:gridSpan w:val="8"/>
          </w:tcPr>
          <w:p>
            <w:pPr>
              <w:spacing w:after="0"/>
              <w:rPr>
                <w:sz w:val="15"/>
                <w:szCs w:val="15"/>
                <w:color w:val="auto"/>
              </w:rPr>
            </w:pPr>
          </w:p>
        </w:tc>
        <w:tc>
          <w:tcPr>
            <w:tcW w:w="118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8"/>
                <w:szCs w:val="18"/>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20" w:type="dxa"/>
            <w:vAlign w:val="bottom"/>
            <w:tcBorders>
              <w:top w:val="single" w:sz="8" w:color="0000FF"/>
            </w:tcBorders>
            <w:gridSpan w:val="7"/>
          </w:tcPr>
          <w:p>
            <w:pPr>
              <w:spacing w:after="0"/>
              <w:rPr>
                <w:sz w:val="15"/>
                <w:szCs w:val="15"/>
                <w:color w:val="auto"/>
              </w:rPr>
            </w:pPr>
          </w:p>
        </w:tc>
        <w:tc>
          <w:tcPr>
            <w:tcW w:w="1220" w:type="dxa"/>
            <w:vAlign w:val="bottom"/>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8"/>
                <w:szCs w:val="18"/>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8"/>
                <w:szCs w:val="18"/>
                <w:color w:val="auto"/>
              </w:rPr>
            </w:pPr>
          </w:p>
        </w:tc>
        <w:tc>
          <w:tcPr>
            <w:tcW w:w="49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1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20"/>
                <w:szCs w:val="20"/>
                <w:color w:val="auto"/>
              </w:rPr>
            </w:pPr>
          </w:p>
        </w:tc>
        <w:tc>
          <w:tcPr>
            <w:tcW w:w="49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200" w:type="dxa"/>
            <w:vAlign w:val="bottom"/>
            <w:gridSpan w:val="4"/>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9"/>
                <w:szCs w:val="19"/>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9512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38"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right="160" w:firstLine="8"/>
        <w:spacing w:after="0" w:line="260" w:lineRule="auto"/>
        <w:tabs>
          <w:tab w:leader="none" w:pos="4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6" w:name="page37"/>
    <w:bookmarkEnd w:id="36"/>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CIPHER MINING INC.</w:t>
      </w:r>
    </w:p>
    <w:p>
      <w:pPr>
        <w:spacing w:after="0" w:line="252" w:lineRule="exact"/>
        <w:rPr>
          <w:sz w:val="20"/>
          <w:szCs w:val="20"/>
          <w:color w:val="auto"/>
        </w:rPr>
      </w:pPr>
    </w:p>
    <w:p>
      <w:pPr>
        <w:ind w:left="20"/>
        <w:spacing w:after="0"/>
        <w:tabs>
          <w:tab w:leader="none" w:pos="4920" w:val="left"/>
          <w:tab w:leader="none" w:pos="778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26035</wp:posOffset>
            </wp:positionV>
            <wp:extent cx="37376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4920" w:val="left"/>
          <w:tab w:leader="none" w:pos="76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36"/>
          <w:szCs w:val="36"/>
          <w:color w:val="auto"/>
          <w:vertAlign w:val="superscript"/>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-8890</wp:posOffset>
            </wp:positionV>
            <wp:extent cx="37376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7"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2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ended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ended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lvl w:ilvl="1">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193" Type="http://schemas.openxmlformats.org/officeDocument/2006/relationships/hyperlink" Target="https://www.sec.gov/Archives/edgar/data/0001819989/000121390021013594/ea136931ex2-1_goodworks.htm" TargetMode="External"/><Relationship Id="rId194" Type="http://schemas.openxmlformats.org/officeDocument/2006/relationships/hyperlink" Target="https://www.sec.gov/Archives/edgar/data/0001819989/000119312521260900/d212090dex31.htm" TargetMode="External"/><Relationship Id="rId195" Type="http://schemas.openxmlformats.org/officeDocument/2006/relationships/hyperlink" Target="https://www.sec.gov/Archives/edgar/data/0001819989/000119312521260900/d212090dex32.htm" TargetMode="External"/><Relationship Id="rId196" Type="http://schemas.openxmlformats.org/officeDocument/2006/relationships/hyperlink" Target="https://www.sec.gov/Archives/edgar/data/0001819989/000121390020030737/ea128022ex4-3_goodworks.htm" TargetMode="External"/><Relationship Id="rId197" Type="http://schemas.openxmlformats.org/officeDocument/2006/relationships/hyperlink" Target="https://www.sec.gov/Archives/edgar/data/0001819989/000121390020033703/ea128955ex4-1_goodworksacq.htm" TargetMode="External"/><Relationship Id="rId198" Type="http://schemas.openxmlformats.org/officeDocument/2006/relationships/hyperlink" Target="https://www.sec.gov/Archives/edgar/data/1819989/000119312524060775/d805186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2024-05-07T08:27:31Z</dcterms:created>
  <dcterms:modified xsi:type="dcterms:W3CDTF">2024-05-07T08:27:31Z</dcterms:modified>
</cp:coreProperties>
</file>