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747.xml.htm"/>
      <w:bookmarkStart w:id="1" w:name="kswkform4_17830247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Kelly Patrick Arthur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Co-President and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667"/>
        <w:gridCol w:w="1275"/>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1,567,406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w:t>
            </w:r>
            <w:r>
              <w:rPr/>
              <w:t xml:space="preserve"> </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1,550,065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1,579,676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15,117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w:t>
            </w:r>
            <w:r>
              <w:rPr/>
              <w:t xml:space="preserve"> </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1,564,559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1,640,986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39,016</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1,601,970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33,967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999,749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29,611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970,138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76,427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458,559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("PSU") represents a contingent right to receive one share of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equal quarterly installments over a three-year period, on March 31, June 30, September 30 and December 15 of each year, subject to the Reporting Person's continuous service on the applicable vesting date. The first vesting date occurred on March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305,707 earned PSUs vested on December 19, 2025, and the remaining earned PSUs vest in substantially equal quarterly installments, subject to the Reporting Person's continuous service on each vesting date. The first such vesting date occurred on March 31, 2026. These earned PSUs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Patrick Arthur Kelly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616"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4463</Characters>
  <CharactersWithSpaces>5170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