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82"/>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1"/>
                <w:szCs w:val="21"/>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7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7"/>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20"/>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226"/>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CIFRW</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4"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4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4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5"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2960"/>
        <w:spacing w:after="0" w:line="42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30, 2024, the registrant had 347,806,123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27305</wp:posOffset>
            </wp:positionV>
            <wp:extent cx="7063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53340</wp:posOffset>
            </wp:positionV>
            <wp:extent cx="7063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590550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440" w:type="dxa"/>
            <w:vAlign w:val="bottom"/>
            <w:tcBorders>
              <w:top w:val="single" w:sz="8" w:color="0000FF"/>
            </w:tcBorders>
            <w:gridSpan w:val="4"/>
          </w:tcPr>
          <w:p>
            <w:pPr>
              <w:spacing w:after="0"/>
              <w:rPr>
                <w:sz w:val="21"/>
                <w:szCs w:val="21"/>
                <w:color w:val="auto"/>
              </w:rPr>
            </w:pPr>
          </w:p>
        </w:tc>
        <w:tc>
          <w:tcPr>
            <w:tcW w:w="356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20" w:type="dxa"/>
            <w:vAlign w:val="bottom"/>
            <w:gridSpan w:val="2"/>
            <w:vMerge w:val="continue"/>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696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timing and likelihood of success, capacity, functionality and timing of operation of data centers, expectations regarding the operations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89" w:lineRule="exact"/>
        <w:rPr>
          <w:sz w:val="20"/>
          <w:szCs w:val="20"/>
          <w:color w:val="auto"/>
        </w:rPr>
      </w:pPr>
    </w:p>
    <w:p>
      <w:pPr>
        <w:ind w:left="1140" w:right="20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53"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evolving business model and strategy, and efforts we may make to modify aspects of our business model or engage in various strategic initiatives could cause us to become subject to additional regulatory scrutiny, may require additional capital, and may not be successful or result in intended benefits.</w:t>
      </w:r>
    </w:p>
    <w:p>
      <w:pPr>
        <w:spacing w:after="0" w:line="67" w:lineRule="exact"/>
        <w:rPr>
          <w:rFonts w:ascii="Times New Roman" w:cs="Times New Roman" w:eastAsia="Times New Roman" w:hAnsi="Times New Roman"/>
          <w:sz w:val="18"/>
          <w:szCs w:val="18"/>
          <w:color w:val="auto"/>
        </w:rPr>
      </w:pPr>
    </w:p>
    <w:p>
      <w:pPr>
        <w:jc w:val="both"/>
        <w:ind w:left="1140" w:right="50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our ability to successfully source and develop new data centers and we may be unable to complete construction of our currently planned data centers, such as the Black Pearl Facility and the Barber Lake Facility, in a timely and cost-efficient manner.</w:t>
      </w:r>
    </w:p>
    <w:p>
      <w:pPr>
        <w:spacing w:after="0" w:line="6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capital to pursue certain business opportunities and strategic advancements, which may not be available on terms acceptable to us.</w:t>
      </w:r>
    </w:p>
    <w:p>
      <w:pPr>
        <w:spacing w:after="0" w:line="53" w:lineRule="exact"/>
        <w:rPr>
          <w:rFonts w:ascii="Times New Roman" w:cs="Times New Roman" w:eastAsia="Times New Roman" w:hAnsi="Times New Roman"/>
          <w:sz w:val="18"/>
          <w:szCs w:val="18"/>
          <w:color w:val="auto"/>
        </w:rPr>
      </w:pPr>
    </w:p>
    <w:p>
      <w:pPr>
        <w:jc w:val="both"/>
        <w:ind w:left="1140" w:right="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form joint ventures, strategic partnerships and make other investments as part of our growth and business strategy, any of which could negatively affect our operating results, dilute our stockholders’ ownership, increase our debt or cause us to incur significant expenses.</w:t>
      </w:r>
    </w:p>
    <w:p>
      <w:pPr>
        <w:spacing w:after="0" w:line="67" w:lineRule="exact"/>
        <w:rPr>
          <w:rFonts w:ascii="Times New Roman" w:cs="Times New Roman" w:eastAsia="Times New Roman" w:hAnsi="Times New Roman"/>
          <w:sz w:val="18"/>
          <w:szCs w:val="18"/>
          <w:color w:val="auto"/>
        </w:rPr>
      </w:pPr>
    </w:p>
    <w:p>
      <w:pPr>
        <w:ind w:left="1140" w:right="520" w:hanging="484"/>
        <w:spacing w:after="0" w:line="312" w:lineRule="auto"/>
        <w:tabs>
          <w:tab w:leader="none" w:pos="11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unfavorable global economic, business or political conditions, such as geopolitical tensions, military conflicts, acts of terrorism, natural disasters, pandemics, and similar events could adversely affect our business, financial condition and results of operations.</w:t>
      </w:r>
    </w:p>
    <w:p>
      <w:pPr>
        <w:spacing w:after="0" w:line="31" w:lineRule="exact"/>
        <w:rPr>
          <w:rFonts w:ascii="Times New Roman" w:cs="Times New Roman" w:eastAsia="Times New Roman" w:hAnsi="Times New Roman"/>
          <w:sz w:val="17"/>
          <w:szCs w:val="17"/>
          <w:color w:val="auto"/>
        </w:rPr>
      </w:pPr>
    </w:p>
    <w:p>
      <w:pPr>
        <w:ind w:left="1140" w:right="6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focus on high-performance compute ("HPC") hosting opportunities may not be successful and may result in adverse consequences to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140" w:right="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and HPC activities are energy-intensive, which may restrict the geographic locations of miners and operations, in particular, to locations with renewable sources of power.</w:t>
      </w:r>
    </w:p>
    <w:p>
      <w:pPr>
        <w:spacing w:after="0" w:line="53" w:lineRule="exact"/>
        <w:rPr>
          <w:rFonts w:ascii="Times New Roman" w:cs="Times New Roman" w:eastAsia="Times New Roman" w:hAnsi="Times New Roman"/>
          <w:sz w:val="18"/>
          <w:szCs w:val="18"/>
          <w:color w:val="auto"/>
        </w:rPr>
      </w:pPr>
    </w:p>
    <w:p>
      <w:pPr>
        <w:jc w:val="both"/>
        <w:ind w:left="1140" w:right="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or HPC activities in a manner that adversely affects our business, prospects or operations, such as restrictions the ability of electricity suppliers to provide electricity to Bitcoin miners or HPC operators, including us, or Bitcoin mining or HPC activities generally.</w:t>
      </w:r>
    </w:p>
    <w:p>
      <w:pPr>
        <w:spacing w:after="0" w:line="67"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ind w:left="1140" w:hanging="484"/>
        <w:spacing w:after="0" w:line="261"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generally and specifically, bitcoin,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 generally and specifically, the volatility of bitcoin.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4" w:name="page5"/>
    <w:bookmarkEnd w:id="4"/>
    <w:p>
      <w:pPr>
        <w:ind w:left="1140" w:right="48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take steps to stay competitive in our industry, such as failing to grow our hashrate, we may be unable to compete, and our results of operations could suffer.</w:t>
      </w:r>
    </w:p>
    <w:p>
      <w:pPr>
        <w:spacing w:after="0" w:line="53" w:lineRule="exact"/>
        <w:rPr>
          <w:rFonts w:ascii="Times New Roman" w:cs="Times New Roman" w:eastAsia="Times New Roman" w:hAnsi="Times New Roman"/>
          <w:sz w:val="18"/>
          <w:szCs w:val="18"/>
          <w:color w:val="auto"/>
        </w:rPr>
      </w:pPr>
    </w:p>
    <w:p>
      <w:pPr>
        <w:ind w:left="1140" w:right="40" w:hanging="484"/>
        <w:spacing w:after="0" w:line="312" w:lineRule="auto"/>
        <w:tabs>
          <w:tab w:leader="none" w:pos="11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concentrated our operations and, thus, are particularly exposed to the performance of the Odessa Facility, and we may be unable to successfully adapt to, comply with and respond to changes in the regulatory environment, market conditions and natural disasters in Texas.</w:t>
      </w:r>
    </w:p>
    <w:p>
      <w:pPr>
        <w:spacing w:after="0" w:line="31" w:lineRule="exact"/>
        <w:rPr>
          <w:rFonts w:ascii="Times New Roman" w:cs="Times New Roman" w:eastAsia="Times New Roman" w:hAnsi="Times New Roman"/>
          <w:sz w:val="17"/>
          <w:szCs w:val="17"/>
          <w:color w:val="auto"/>
        </w:rPr>
      </w:pPr>
    </w:p>
    <w:p>
      <w:pPr>
        <w:ind w:left="1140" w:right="4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equipment and rely on components and raw materials that may be subject to price fluctuations or shortages, including ASIC chips that have been subject to periods of significant shortage and high innovation pace.</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140" w:right="140" w:hanging="484"/>
        <w:spacing w:after="0" w:line="261"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cause damage to the properties where our data centers are located, including damages not covered by insurance, and adversely affect our results of operations.</w:t>
      </w:r>
    </w:p>
    <w:p>
      <w:pPr>
        <w:spacing w:after="0" w:line="71"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equipment, including bitcoin miners and other necessary hardware, can be difficult to obtain, subject to supply chain risk, and is subject to malfunction, technological obsolescence and physical degradation.</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117" w:lineRule="exact"/>
        <w:rPr>
          <w:rFonts w:ascii="Times New Roman" w:cs="Times New Roman" w:eastAsia="Times New Roman" w:hAnsi="Times New Roman"/>
          <w:sz w:val="18"/>
          <w:szCs w:val="18"/>
          <w:color w:val="auto"/>
        </w:rPr>
      </w:pPr>
    </w:p>
    <w:p>
      <w:pPr>
        <w:ind w:left="1140" w:right="64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w:t>
      </w:r>
    </w:p>
    <w:p>
      <w:pPr>
        <w:spacing w:after="0" w:line="117" w:lineRule="exact"/>
        <w:rPr>
          <w:rFonts w:ascii="Times New Roman" w:cs="Times New Roman" w:eastAsia="Times New Roman" w:hAnsi="Times New Roman"/>
          <w:sz w:val="18"/>
          <w:szCs w:val="18"/>
          <w:color w:val="auto"/>
        </w:rPr>
      </w:pPr>
    </w:p>
    <w:p>
      <w:pPr>
        <w:ind w:left="1140" w:right="32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such as cyber-attacks, data breaches, hacking attacks or malware, targeting us or our third-party service providers may disrupt our operations and trigger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140" w:right="40" w:hanging="484"/>
        <w:spacing w:after="0" w:line="261"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2023 filed with the Securities and Exchange Commission (the “SEC”) on March 5, 2024 (the “2023 Form 10-K”), Part II, Item 1A, “Risk Factors” in our Quarterly Report on Form 10-Q for the quarterly period ended June 30, 2024, filed with the SEC on August 13, 2024, and our other reports filed with the SEC.</w:t>
      </w:r>
    </w:p>
    <w:p>
      <w:pPr>
        <w:spacing w:after="0" w:line="15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8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0" w:type="dxa"/>
            <w:vAlign w:val="bottom"/>
          </w:tcPr>
          <w:p>
            <w:pPr>
              <w:spacing w:after="0"/>
              <w:rPr>
                <w:sz w:val="20"/>
                <w:szCs w:val="20"/>
                <w:color w:val="auto"/>
              </w:rPr>
            </w:pPr>
          </w:p>
        </w:tc>
      </w:tr>
      <w:tr>
        <w:trPr>
          <w:trHeight w:val="823"/>
        </w:trPr>
        <w:tc>
          <w:tcPr>
            <w:tcW w:w="20" w:type="dxa"/>
            <w:vAlign w:val="bottom"/>
          </w:tcPr>
          <w:p>
            <w:pPr>
              <w:spacing w:after="0"/>
              <w:rPr>
                <w:sz w:val="24"/>
                <w:szCs w:val="24"/>
                <w:color w:val="auto"/>
              </w:rPr>
            </w:pPr>
          </w:p>
        </w:tc>
        <w:tc>
          <w:tcPr>
            <w:tcW w:w="9820" w:type="dxa"/>
            <w:vAlign w:val="bottom"/>
            <w:gridSpan w:val="6"/>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14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960" w:type="dxa"/>
            <w:vAlign w:val="bottom"/>
            <w:gridSpan w:val="4"/>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20" w:type="dxa"/>
            <w:vAlign w:val="bottom"/>
          </w:tcPr>
          <w:p>
            <w:pPr>
              <w:spacing w:after="0"/>
              <w:rPr>
                <w:sz w:val="21"/>
                <w:szCs w:val="21"/>
                <w:color w:val="auto"/>
              </w:rPr>
            </w:pPr>
          </w:p>
        </w:tc>
        <w:tc>
          <w:tcPr>
            <w:tcW w:w="4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524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0" w:type="dxa"/>
            <w:vAlign w:val="bottom"/>
          </w:tcPr>
          <w:p>
            <w:pPr>
              <w:spacing w:after="0"/>
              <w:rPr>
                <w:sz w:val="21"/>
                <w:szCs w:val="21"/>
                <w:color w:val="auto"/>
              </w:rPr>
            </w:pPr>
          </w:p>
        </w:tc>
        <w:tc>
          <w:tcPr>
            <w:tcW w:w="9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0" w:type="dxa"/>
            <w:vAlign w:val="bottom"/>
          </w:tcPr>
          <w:p>
            <w:pPr>
              <w:spacing w:after="0"/>
              <w:rPr>
                <w:sz w:val="21"/>
                <w:szCs w:val="21"/>
                <w:color w:val="auto"/>
              </w:rPr>
            </w:pPr>
          </w:p>
        </w:tc>
        <w:tc>
          <w:tcPr>
            <w:tcW w:w="46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2180" w:type="dxa"/>
            <w:vAlign w:val="bottom"/>
            <w:tcBorders>
              <w:top w:val="single" w:sz="8" w:color="0000FF"/>
            </w:tcBorders>
          </w:tcPr>
          <w:p>
            <w:pPr>
              <w:spacing w:after="0"/>
              <w:rPr>
                <w:sz w:val="21"/>
                <w:szCs w:val="21"/>
                <w:color w:val="auto"/>
              </w:rPr>
            </w:pPr>
          </w:p>
        </w:tc>
        <w:tc>
          <w:tcPr>
            <w:tcW w:w="3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660" w:type="dxa"/>
            <w:vAlign w:val="bottom"/>
            <w:gridSpan w:val="5"/>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952"/>
        </w:trPr>
        <w:tc>
          <w:tcPr>
            <w:tcW w:w="684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color w:val="auto"/>
              </w:rPr>
              <w:t>1</w:t>
            </w:r>
          </w:p>
        </w:tc>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3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243,815</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3"/>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18,394</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74,801</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 2024, and December 31, 2023</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355,771,238 and 296,276,536 shares issued</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 of September 30, 2024 and December 31, 2023, respectively, and 347,800,186 and 290,957,862 shares</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2024, and December 31, 2023, respectively</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627,822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(136,777)</w:t>
            </w:r>
          </w:p>
        </w:tc>
        <w:tc>
          <w:tcPr>
            <w:tcW w:w="0" w:type="dxa"/>
            <w:vAlign w:val="bottom"/>
          </w:tcPr>
          <w:p>
            <w:pPr>
              <w:spacing w:after="0"/>
              <w:rPr>
                <w:sz w:val="1"/>
                <w:szCs w:val="1"/>
                <w:color w:val="auto"/>
              </w:rPr>
            </w:pP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par, 7,971,052 and 5,318,674 shares at September 30, 2024 and December 31, 2023,</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671,991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491,336</w:t>
            </w:r>
          </w:p>
        </w:tc>
        <w:tc>
          <w:tcPr>
            <w:tcW w:w="0" w:type="dxa"/>
            <w:vAlign w:val="bottom"/>
          </w:tcPr>
          <w:p>
            <w:pPr>
              <w:spacing w:after="0"/>
              <w:rPr>
                <w:sz w:val="1"/>
                <w:szCs w:val="1"/>
                <w:color w:val="auto"/>
              </w:rPr>
            </w:pP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775,438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30,304</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83,423</w:t>
            </w:r>
          </w:p>
        </w:tc>
      </w:tr>
      <w:tr>
        <w:trPr>
          <w:trHeight w:val="21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37,017</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41,676</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42,284</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(13,294)</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(income) losses of equity investees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(gains) on fair value of bitcoin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4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gains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6"/>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115,496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118,739</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(19,106)</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(35,316)</w:t>
            </w:r>
          </w:p>
        </w:tc>
      </w:tr>
      <w:tr>
        <w:trPr>
          <w:trHeight w:val="21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6"/>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3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(36,784)</w:t>
            </w:r>
          </w:p>
        </w:tc>
      </w:tr>
      <w:tr>
        <w:trPr>
          <w:trHeight w:val="25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7"/>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(18,621)</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(36,372)</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3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251,789,350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314,820,110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249,858,033</w:t>
            </w:r>
          </w:p>
        </w:tc>
      </w:tr>
      <w:tr>
        <w:trPr>
          <w:trHeight w:val="25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251,789,350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314,820,110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249,858,033</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(112,168)</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(6,941,446)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r>
      <w:tr>
        <w:trPr>
          <w:trHeight w:val="202"/>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17,953,378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61,291</w:t>
            </w:r>
          </w:p>
        </w:tc>
      </w:tr>
      <w:tr>
        <w:trPr>
          <w:trHeight w:val="212"/>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4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r>
      <w:tr>
        <w:trPr>
          <w:trHeight w:val="236"/>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355,771,238</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870,565</w:t>
            </w: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(198,922)</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(7,971,052)</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671,991</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254,795,626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473,471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(128,751)</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(4,381,735)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344,970</w:t>
            </w:r>
          </w:p>
        </w:tc>
      </w:tr>
      <w:tr>
        <w:trPr>
          <w:trHeight w:val="216"/>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20"/>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2,831,736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r>
      <w:tr>
        <w:trPr>
          <w:trHeight w:val="225"/>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w:t>
            </w:r>
          </w:p>
        </w:tc>
      </w:tr>
      <w:tr>
        <w:trPr>
          <w:trHeight w:val="24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(18,621)</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(18,621)</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259,682,742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490,655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(147,372)</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(5,124,564)</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343,537</w:t>
            </w:r>
          </w:p>
        </w:tc>
      </w:tr>
      <w:tr>
        <w:trPr>
          <w:trHeight w:val="20"/>
        </w:trPr>
        <w:tc>
          <w:tcPr>
            <w:tcW w:w="2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2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02"/>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52,825,758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221,695</w:t>
            </w: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6,668,944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r>
      <w:tr>
        <w:trPr>
          <w:trHeight w:val="233"/>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31,865</w:t>
            </w:r>
          </w:p>
        </w:tc>
      </w:tr>
      <w:tr>
        <w:trPr>
          <w:trHeight w:val="246"/>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355,771,238</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870,565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(198,922)</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(7,971,052)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671,991</w:t>
            </w:r>
          </w:p>
        </w:tc>
      </w:tr>
      <w:tr>
        <w:trPr>
          <w:trHeight w:val="21"/>
        </w:trPr>
        <w:tc>
          <w:tcPr>
            <w:tcW w:w="2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(111,209)</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(3,543,347)</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Cumulative effect upon adoption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ASU 2023-08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25"/>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r>
      <w:tr>
        <w:trPr>
          <w:trHeight w:val="216"/>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89"/>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0"/>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4,457,708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r>
      <w:tr>
        <w:trPr>
          <w:trHeight w:val="253"/>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w:t>
            </w:r>
          </w:p>
        </w:tc>
      </w:tr>
      <w:tr>
        <w:trPr>
          <w:trHeight w:val="237"/>
        </w:trPr>
        <w:tc>
          <w:tcPr>
            <w:tcW w:w="2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(36,372)</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(36,372)</w:t>
            </w:r>
          </w:p>
        </w:tc>
      </w:tr>
      <w:tr>
        <w:trPr>
          <w:trHeight w:val="26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259,682,742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490,655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(147,372)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(5,124,564)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343,537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16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(36,372)</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42,284</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as payment for services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(109,443)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(83,161)</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(13,294)</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on fair value of bitcoin</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10,732</w:t>
            </w:r>
          </w:p>
        </w:tc>
      </w:tr>
      <w:tr>
        <w:trPr>
          <w:trHeight w:val="246"/>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(46,325)</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78,729</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Deposits on equipment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(135,263)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(32,980)</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strategic contracts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r>
      <w:tr>
        <w:trPr>
          <w:trHeight w:val="246"/>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Prepayments on financing lease</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23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(195,147)</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37,802</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225,181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11,644</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r>
      <w:tr>
        <w:trPr>
          <w:trHeight w:val="246"/>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w:t>
            </w:r>
          </w:p>
        </w:tc>
      </w:tr>
      <w:tr>
        <w:trPr>
          <w:trHeight w:val="23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207,309</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4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r>
      <w:tr>
        <w:trPr>
          <w:trHeight w:val="236"/>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w:t>
            </w:r>
          </w:p>
        </w:tc>
      </w:tr>
      <w:tr>
        <w:trPr>
          <w:trHeight w:val="261"/>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120"/>
          </w:cols>
          <w:pgMar w:left="380" w:top="1292" w:right="399"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997"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8020" w:type="dxa"/>
            <w:vAlign w:val="bottom"/>
            <w:tcBorders>
              <w:bottom w:val="single" w:sz="8" w:color="CCEC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C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80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40" w:type="dxa"/>
            <w:vAlign w:val="bottom"/>
            <w:shd w:val="clear" w:color="auto" w:fill="CCECFF"/>
          </w:tcPr>
          <w:p>
            <w:pPr>
              <w:spacing w:after="0"/>
              <w:rPr>
                <w:sz w:val="19"/>
                <w:szCs w:val="19"/>
                <w:color w:val="auto"/>
              </w:rPr>
            </w:pPr>
          </w:p>
        </w:tc>
        <w:tc>
          <w:tcPr>
            <w:tcW w:w="13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74,186</w:t>
            </w:r>
          </w:p>
        </w:tc>
      </w:tr>
      <w:tr>
        <w:trPr>
          <w:trHeight w:val="253"/>
        </w:trPr>
        <w:tc>
          <w:tcPr>
            <w:tcW w:w="80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17,422</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53"/>
        </w:trPr>
        <w:tc>
          <w:tcPr>
            <w:tcW w:w="80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14,212</w:t>
            </w:r>
          </w:p>
        </w:tc>
      </w:tr>
      <w:tr>
        <w:trPr>
          <w:trHeight w:val="253"/>
        </w:trPr>
        <w:tc>
          <w:tcPr>
            <w:tcW w:w="80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Sales tax accrual on machine purchases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r>
      <w:tr>
        <w:trPr>
          <w:trHeight w:val="253"/>
        </w:trPr>
        <w:tc>
          <w:tcPr>
            <w:tcW w:w="80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Finance lease cost in accrued expenses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2,060</w:t>
            </w:r>
          </w:p>
        </w:tc>
      </w:tr>
    </w:tbl>
    <w:p>
      <w:pPr>
        <w:spacing w:after="0" w:line="3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Condensed Consolidated Balance Sheets to the sum of the same such amounts shown in the Condensed Consolidated Statements of Cash Flows.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37"/>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Cipher Mining Inc. (“Cipher” or the “Company”) is focused on the development and operation of industrial-scale data centers for bitcoin mining and high-performance compute (“HPC”) hosting. Bitcoin mining is currently the Company’s principal revenue generating business activity. The Company operates one wholly-owned bitcoin mining data center and jointly operates three partially-owned bitcoin mining data centers that were acquired through investments in joint ventures. The Company has also acquired two new wholly-owned sites as of September 30, 2024 which have not commenced operating.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Out-of-period-adjustments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Cost of revenue and power sales for the three and nine months ended September 30, 2023 included out-of-period adjustments of approximately $1.0 million and $0.6 million, respectively, and $2.0 million and $1.6 million, respectively, that increased both cost of revenue and power sales on the unaudited condensed consolidated statements of operations for the nine months ended September 30, 2023, and resulted in net increases to operating loss and loss before taxes of approximately $0.4 million during both periods. These out-of-period adjustments related to power costs and power sales for the year ended December 31, 2022 at the Company’s Odessa Facility, which are invoiced on a net basis by the Company’s power provider. Management evaluated the impact of this error on the Company’s previously issued audited consolidated financial statements for the year ended December 31, 2022, as well as on its unaudited condensed consolidated financial statements for the three and nine months ended September 30, 2023, assessing the error both quantitatively and qualitatively, and concluded that the error was not material to the financial statements for either period. No other out-of-period adjustments were identified in the periods presented.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As of September 30, 2024, the Company had approximate balances of cash and cash equivalents of $25.3 million, working capital of $92.7 million, total stockholders’ equity of $672.0 million and an accumulated deficit of $198.9 million. The Company uses proceeds from sales of bitcoin earned by or received from its bitcoin mining data centers, as well as strategic sales of shares through “at-the-market” offerings to support its operating expenses and capital expenditures.</w:t>
      </w:r>
    </w:p>
    <w:p>
      <w:pPr>
        <w:spacing w:after="0" w:line="1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$58.5 million of cash was used for operating activities during the nine months ended September 30, 2024.</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paid approximately $135.3 million for deposits on equipment primarily related to new miner purchases for its Odessa Facility, and reclassified approximately $21.5 million to property and equipment related to equipment being placed into service.</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 master loan agreement with Coinbase Credit, Inc., as lender, and Coinbase, Inc., as lending service provider. Pursuant to the master loan agreement, the Company established a secured line of credit up to $10.0 million (the “Credit Facility”). The Company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September 30, 2024, the Company has not drawn upon the Credit Facility. Subsequent to September 30, 2024, the Company expanded the Credit Facility to a</w:t>
      </w:r>
    </w:p>
    <w:p>
      <w:pPr>
        <w:spacing w:after="0" w:line="5"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$15.0 million limit, and established a term loan facility with Coinbase with a limit of $35.0 million and maximum period of one year (the “Term Loan Facility”, with an interest rate to be determined upon drawdown. Coinbase has the right to terminate loans under the Term Loan Facility if the price of bitcoin falls below $40,000.</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including access to the Credit Facility, combined with projected cash and bitcoin inflows from its data centers and its ability to sell bitcoin received or earned, will be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sufficient to enable the Company to meet its operating and capital requirements for at least 12 months from the date these unaudited condensed consolidated financial statements are issued.</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including Cipher Mining Technologies Inc. (“CMTI”). All intercompany transactions and balances have been eliminated.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quarter ended March 31, 2024, the Company changed the presentation of its condensed consolidated income statement to separately disclose Compensation and benefits from General and administrative. The Company believes this presentation provides increased transparency on the nature of the respective financial statement line items. As a result, the Company reported $17.1 million, and $41.7 million as Compensation and benefits for the three and nine months ended September 30, 2023, respectively, which was previously reported in General and administrative.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 out of the extended transition period provided in the JOBS Act. As a result, the Company’s unaudited condensed consolidated financial statements may not be comparable to companies that comply with new or revised accounting pronouncements as of public company effective dates.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the last business day of the second quarter in 2024, the aggregate market value of the Company’s shares of common stock held by non-affiliate stockholders exceeded $700 million. As a result, as of December 31, 2024, it will be considered a “large accelerated filer” as defined in Rule 12b-2 under the Exchange Act, and will cease to be an emerging growth company. Due to loss of emerging growth company status, the Company will no longer be exempt from the auditor attestation requirements of Section 404(b) of the Sarbanes-Oxley Act, and its independent registered public accounting firm will evaluate and report on the effectiveness of internal controls over financial reporting.</w:t>
      </w:r>
    </w:p>
    <w:p>
      <w:pPr>
        <w:spacing w:after="0" w:line="1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Commencing with the Company’s Annual Report on Form 10-K for the year ending December 31, 2024, it will adopt any accounting pronouncements deferred under the extended transition period election on or before December 31,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derivative asset and warrant liability under Level 3 of the fair value hierarchy,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is included in the Company’s 2023 Form 10-K. You should read the unaudited condensed consolidated financial statements in conjunction with the Company’s audited consolidated financial statements and accompanying notes in the Company’s 2023 Form 10-K. Except as disclosed herein, there has been no material change in the information disclosed in the notes to the Company’s audited consolidated financial statements included in the Company’s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comprised of several members of its executive management team. The Company views its operations and manages its business in one segment.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represents amounts pledged as collateral to Luminant ET Services Company LLC (“Luminant”, and Vistra Operations Company, LLC (“Vistra”), a Luminant affiliate, primarily related to the Luminant Power Agreement (defined below in Note 4, </w:t>
      </w:r>
      <w:r>
        <w:rPr>
          <w:rFonts w:ascii="Times New Roman" w:cs="Times New Roman" w:eastAsia="Times New Roman" w:hAnsi="Times New Roman"/>
          <w:sz w:val="18"/>
          <w:szCs w:val="18"/>
          <w:i w:val="1"/>
          <w:iCs w:val="1"/>
          <w:color w:val="auto"/>
        </w:rPr>
        <w:t>Derivative Asset)</w:t>
      </w:r>
      <w:r>
        <w:rPr>
          <w:rFonts w:ascii="Times New Roman" w:cs="Times New Roman" w:eastAsia="Times New Roman" w:hAnsi="Times New Roman"/>
          <w:sz w:val="18"/>
          <w:szCs w:val="18"/>
          <w:color w:val="auto"/>
        </w:rPr>
        <w:t>. Previously these amounts were held by each respective counterparty, and classified in the Company's financials as Security deposits. In September 2024, the Company moved the collateral to a money market account in the Company's name with a bank letter of credit. The collateral restrictions related to the Luminant Power Agreement will lapse upon termination of the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2024, the Company purchased a site to develop another wholly-owned data center in Colorado City, TX (“Barber Lake” or the “Barber Lake Facility”) for up to 300 MW. The Company accounted for the transaction as an asset acquisition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Refer to Note 5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Note 9</w:t>
      </w:r>
      <w:r>
        <w:rPr>
          <w:rFonts w:ascii="Times New Roman" w:cs="Times New Roman" w:eastAsia="Times New Roman" w:hAnsi="Times New Roman"/>
          <w:sz w:val="18"/>
          <w:szCs w:val="18"/>
          <w:i w:val="1"/>
          <w:iCs w:val="1"/>
          <w:color w:val="auto"/>
        </w:rPr>
        <w:t>. Security deposits, and</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Supplementary financial information</w:t>
      </w:r>
      <w:r>
        <w:rPr>
          <w:rFonts w:ascii="Times New Roman" w:cs="Times New Roman" w:eastAsia="Times New Roman" w:hAnsi="Times New Roman"/>
          <w:sz w:val="18"/>
          <w:szCs w:val="18"/>
          <w:color w:val="auto"/>
        </w:rPr>
        <w:t xml:space="preserve"> for details on the Company’s preliminary allocation of the purchase consideration consisting of $68.0 million of cash paid, and an assumed liability of $8.3 million, based on relative fair value to the balances acquired as part of this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adjusts net income (loss) and net income (loss) per common share for the effect of all potentially dilutive shares of Common Stock. Potentially dilutive common shares consist of the Company’s outstanding warrants to purchase Common Stock, as well as unvested restricted stock units (“RSUs”).</w:t>
      </w:r>
    </w:p>
    <w:p>
      <w:pPr>
        <w:spacing w:after="0" w:line="13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9"/>
                <w:szCs w:val="19"/>
                <w:color w:val="auto"/>
              </w:rPr>
            </w:pPr>
          </w:p>
        </w:tc>
        <w:tc>
          <w:tcPr>
            <w:tcW w:w="33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37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(36,372)</w:t>
            </w:r>
          </w:p>
        </w:tc>
        <w:tc>
          <w:tcPr>
            <w:tcW w:w="100" w:type="dxa"/>
            <w:vAlign w:val="bottom"/>
          </w:tcPr>
          <w:p>
            <w:pPr>
              <w:spacing w:after="0"/>
              <w:rPr>
                <w:sz w:val="21"/>
                <w:szCs w:val="2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251,789,350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314,820,110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249,858,033</w:t>
            </w:r>
          </w:p>
        </w:tc>
        <w:tc>
          <w:tcPr>
            <w:tcW w:w="100" w:type="dxa"/>
            <w:vAlign w:val="bottom"/>
          </w:tcPr>
          <w:p>
            <w:pPr>
              <w:spacing w:after="0"/>
              <w:rPr>
                <w:sz w:val="20"/>
                <w:szCs w:val="20"/>
                <w:color w:val="auto"/>
              </w:rPr>
            </w:pPr>
          </w:p>
        </w:tc>
      </w:tr>
      <w:tr>
        <w:trPr>
          <w:trHeight w:val="25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6"/>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RSUs</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r>
      <w:tr>
        <w:trPr>
          <w:trHeight w:val="26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251,789,350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314,820,110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249,858,033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r>
      <w:tr>
        <w:trPr>
          <w:trHeight w:val="27"/>
        </w:trPr>
        <w:tc>
          <w:tcPr>
            <w:tcW w:w="3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-222250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-565150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-728345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-1353820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at September 30, 2024 and 2023, because including them would have been antidilutive.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20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8,499,980</w:t>
            </w: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08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21,479,801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21,234,610</w:t>
            </w:r>
          </w:p>
        </w:tc>
      </w:tr>
      <w:tr>
        <w:trPr>
          <w:trHeight w:val="236"/>
        </w:trPr>
        <w:tc>
          <w:tcPr>
            <w:tcW w:w="8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30,093,781</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29,848,590</w:t>
            </w:r>
          </w:p>
        </w:tc>
      </w:tr>
      <w:tr>
        <w:trPr>
          <w:trHeight w:val="27"/>
        </w:trPr>
        <w:tc>
          <w:tcPr>
            <w:tcW w:w="8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2023-08, Intangibles-Goodwill and Other-Crypto Assets (Subtopic 350-60): Accounting for and Disclosure of Crypto Assets (“ASU 2023-08”). The Company adopted ASU 2023-08 effective January 1, 2023, as reflected in the Company’s Form 10-K for the year ended December 31, 2023. The adoption resulted in a $0.2 million adjustment to opening Retained earnings on January 1, 2023, as well as an increase of Operating loss, and Net loss of $0.9 million as reported for the three months ended September 30, 2023, and a reduction of Operating loss, and Net loss of $0.6 million as reported for the nine months ended September 30, 2023.</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5760" w:type="dxa"/>
            <w:vAlign w:val="bottom"/>
          </w:tcPr>
          <w:p>
            <w:pPr>
              <w:spacing w:after="0"/>
              <w:rPr>
                <w:sz w:val="19"/>
                <w:szCs w:val="19"/>
                <w:color w:val="auto"/>
              </w:rPr>
            </w:pPr>
          </w:p>
        </w:tc>
        <w:tc>
          <w:tcPr>
            <w:tcW w:w="406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37"/>
        </w:trPr>
        <w:tc>
          <w:tcPr>
            <w:tcW w:w="5760" w:type="dxa"/>
            <w:vAlign w:val="bottom"/>
            <w:tcBorders>
              <w:bottom w:val="single" w:sz="8" w:color="CCEC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C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57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2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1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2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1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83,162</w:t>
            </w:r>
          </w:p>
        </w:tc>
      </w:tr>
      <w:tr>
        <w:trPr>
          <w:trHeight w:val="27"/>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122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(79,785)</w:t>
            </w:r>
          </w:p>
        </w:tc>
        <w:tc>
          <w:tcPr>
            <w:tcW w:w="1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1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(78,729)</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7"/>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sale of bitcoin</w:t>
            </w:r>
          </w:p>
        </w:tc>
        <w:tc>
          <w:tcPr>
            <w:tcW w:w="1220" w:type="dxa"/>
            <w:vAlign w:val="bottom"/>
            <w:tcBorders>
              <w:bottom w:val="single" w:sz="8" w:color="CCECFF"/>
            </w:tcBorders>
            <w:shd w:val="clear" w:color="auto" w:fill="CCECFF"/>
          </w:tcPr>
          <w:p>
            <w:pPr>
              <w:spacing w:after="0"/>
              <w:rPr>
                <w:sz w:val="23"/>
                <w:szCs w:val="23"/>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CFF"/>
            </w:tcBorders>
            <w:shd w:val="clear" w:color="auto" w:fill="CCECFF"/>
          </w:tcPr>
          <w:p>
            <w:pPr>
              <w:spacing w:after="0"/>
              <w:rPr>
                <w:sz w:val="23"/>
                <w:szCs w:val="23"/>
                <w:color w:val="auto"/>
              </w:rPr>
            </w:pPr>
          </w:p>
        </w:tc>
        <w:tc>
          <w:tcPr>
            <w:tcW w:w="460" w:type="dxa"/>
            <w:vAlign w:val="bottom"/>
            <w:tcBorders>
              <w:bottom w:val="single" w:sz="8" w:color="CCECFF"/>
            </w:tcBorders>
            <w:shd w:val="clear" w:color="auto" w:fill="CCECFF"/>
          </w:tcPr>
          <w:p>
            <w:pPr>
              <w:spacing w:after="0"/>
              <w:rPr>
                <w:sz w:val="23"/>
                <w:szCs w:val="23"/>
                <w:color w:val="auto"/>
              </w:rPr>
            </w:pPr>
          </w:p>
        </w:tc>
        <w:tc>
          <w:tcPr>
            <w:tcW w:w="1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6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20" w:type="dxa"/>
            <w:vAlign w:val="bottom"/>
            <w:tcBorders>
              <w:top w:val="single" w:sz="8" w:color="auto"/>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14,519</w:t>
            </w: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held approximately 1,508 and 780 bitcoin at September 30, 2024, and December 31, 2023, respectively. The associated fair value and cost basis of bitcoin held was $95.5 million, and $96.2 million, respectively, at September 30, 2024, and $33.0 million, and $30.9 million, respectively at December 31, 2023. Fair value of bitcoin is estimated using the closing price, which is a Level 1 input (i.e., an observable input such as a quoted price in an active market for an identical asset). The Company accounts for bitcoin on a first-in-first-out (“FIFO”) basis.</w:t>
      </w:r>
    </w:p>
    <w:p>
      <w:pPr>
        <w:spacing w:after="0" w:line="13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September 30, 2024, 30 bitcoin with a fair value of $1.9 million were pledged as collateral related to short-term bitcoin price protection collars. Restrictions on this bitcoin pledged as collateral will lapse in the fourth quarter of 2024. As of December 31, 2023, 10 bitcoin with a fair value of $0.4 million were pledged as collateral. Restrictions on that collateral lapsed on January 26,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Note 17.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opportunistically sell electricity in the ERCOT market in exchange for cash payments, rather than utilizing the power to mine for bitcoin at the Odessa Facility to manage the Company’s operating costs. From power sales, the Company earned approximately $1.4 million and $3.7 million for the three and nine months ended September 30, 2024, respectively, and $2.7 million and $8.5 million for both the three and nine months ended September 30, 2023, respectively, and recorded this amount within costs and operating expenses (income) on the unaudited condensed consolidated statement of operations, with the corresponding cost of the power sold recorded in cost of revenue. See Note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for information regarding the out-of-period adjustments recorded during the three and nine months ended September 30, 2023, which affected cost of power, power sales, net operating loss and net loss on the Company’s unaudited condensed consolidated statement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796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138,883</w:t>
            </w:r>
          </w:p>
        </w:tc>
      </w:tr>
      <w:tr>
        <w:trPr>
          <w:trHeight w:val="27"/>
        </w:trPr>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(59,080)</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has added approximately $55.6 million of construction-in-progress related to the build-out of the Black Pearl Facility. Depreciation expense was approximately $28.5 million and $16.2 million, respectively, for the three months ended September 30, 2024, and 2023, including approximately $0.5 million and $0.4 million, respectively, of accretion expense related to the Company’s asset retirement obligation. Depreciation expense was approximately $65.7 million and $42.3 million, respectively, for the nine months ended September 30, 2024 and 2023, respectively, and included approximately $1.4 million and $1.3 million for the nine months ended September 30, 2024 and 2023, of accretion expense related to the Company’s asset retirement obligation.</w:t>
      </w:r>
    </w:p>
    <w:p>
      <w:pPr>
        <w:spacing w:after="0" w:line="1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June 2024, the Company entered into agreements with Bitmain Technologies Delaware Limited (“Bitmain”) and Canaan Creative Global Pte. Ltd. (“Canaan”) to purchase the newest generation miners to be delivered in the fourth quarter of 2024. As more efficient machines were available earlier than anticipated, this prompted a shift in the Company's planned use of the existing miners. The Company will use these new miners to replace less efficient machines at the Odessa Facility instead of deploying at the Black Pearl Facility. The Company deemed this event a trigger to reevaluate the estimated useful lives of the miners, and the Company reduced the estimated useful life of miners from five years to three years. The Company changed this accounting policy effective June 1, 2024 and accounted for it prospectively. This change in estimate resulted in a $9.4 million and $12.2 million increase in Depreciation and amortization expense, and respective reduction of Operating (loss) income, and Net (loss) income for the three and nine months ended September 30, 2024, respectively, and a $0.03 and a $0.04 increase in Net loss per share for the three and nine months ended September 30, 2024.</w:t>
      </w:r>
    </w:p>
    <w:p>
      <w:pPr>
        <w:spacing w:after="0" w:line="1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part of this transaction, the Company acquired Property and equipment of related to electrical infrastructure of $26.0 million with an estimated useful life of 20 years, and land $25.0 million, deemed to have an indefinite life.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Company entered into an agreement with Bitmain to purchase 7.1 EH/s of miners to be delivered in the first half of 2025 (the “Future Sales and Purchase Agreement”). The Company paid a deposit of $9.9 million upon execution of the agreement. For the nine months ended September 30, 2024, the Company paid an additional $97.5 million towards this contract, in addition to amending the agreement on June 5, 2024 (such amendment, the “Supplemental Agreement” to upgrade the miners and accelerate the delivery from the first half of 2025 to the fourth quarter of 2024. This commitment has $26.9 million remaining to be paid as of September 30, 2024. The Future Sales and Purchase Agreement also has an option to purchase an additional 8.7 EH/s in 2024. The Company paid $12.2 million upon signing the agreement in the fourth quarter of 2023 as a deposit, which can be used towards purchases under this option. On July 10, 2024, the Company entered into an agreement to further amend the Future Sales and Purchase agreement (the “Amendment Agreement”). The Amendment Agreement upgraded the miners to be purchased under the option, and extended the option expiration from December 31, 2024 to June 30, 2025. The Company paid an additional $6.5 million as a deposit in connection with this amendment.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Company entered into an agreement with Canaan to purchase 1.25 EH/s of miners to be delivered in the fourth quarter of 2024. The Company paid a deposit of $13.1 million in connection with the agreement, with $3.3 million left to be paid. Additionally, the contract included an option to purchase 160 MW of miners which the Company can exercise on or before June 30, 2025. The Company paid a deposit of $5.3 million associated with the option.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its partially owned mining operations Alborz LLC, Bear LLC and Chief Mountain LLC (the “Data Center LLCs”).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lower than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 basis differences over the life of the miners and records the accretion amount for each reporting period within equity in losses of equity investees on its statements of operations. As of September 30, 2024, the Company had remaining basis differences totaling approximately $11.2 million that have not yet been accreted.</w:t>
      </w:r>
    </w:p>
    <w:p>
      <w:pPr>
        <w:spacing w:after="0" w:line="14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nine months ended September 30, 2024, and 2023,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distributions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33,609</w:t>
            </w:r>
          </w:p>
        </w:tc>
      </w:tr>
      <w:tr>
        <w:trPr>
          <w:trHeight w:val="20"/>
        </w:trPr>
        <w:tc>
          <w:tcPr>
            <w:tcW w:w="7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September 2024, as part of the acquisition of the Barber Lake Facility, the Company obtained certain regulatory approvals related to the site. As a result, the Company added $17.0 million of Strategic contracts related to the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CFF"/>
            </w:tcBorders>
          </w:tcPr>
          <w:p>
            <w:pPr>
              <w:spacing w:after="0"/>
              <w:rPr>
                <w:sz w:val="2"/>
                <w:szCs w:val="2"/>
                <w:color w:val="auto"/>
              </w:rPr>
            </w:pPr>
          </w:p>
        </w:tc>
        <w:tc>
          <w:tcPr>
            <w:tcW w:w="276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contracts</w:t>
            </w:r>
          </w:p>
        </w:tc>
        <w:tc>
          <w:tcPr>
            <w:tcW w:w="29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CFF"/>
            </w:tcBorders>
          </w:tcPr>
          <w:p>
            <w:pPr>
              <w:spacing w:after="0"/>
              <w:rPr>
                <w:sz w:val="2"/>
                <w:szCs w:val="2"/>
                <w:color w:val="auto"/>
              </w:rPr>
            </w:pPr>
          </w:p>
        </w:tc>
        <w:tc>
          <w:tcPr>
            <w:tcW w:w="276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100" w:type="dxa"/>
            <w:vAlign w:val="bottom"/>
            <w:shd w:val="clear" w:color="auto" w:fill="CCECFF"/>
          </w:tcPr>
          <w:p>
            <w:pPr>
              <w:spacing w:after="0"/>
              <w:rPr>
                <w:sz w:val="24"/>
                <w:szCs w:val="24"/>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CFF"/>
          </w:tcPr>
          <w:p>
            <w:pPr>
              <w:spacing w:after="0"/>
              <w:rPr>
                <w:sz w:val="24"/>
                <w:szCs w:val="24"/>
                <w:color w:val="auto"/>
              </w:rPr>
            </w:pP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25,742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CFF"/>
            </w:tcBorders>
          </w:tcPr>
          <w:p>
            <w:pPr>
              <w:spacing w:after="0" w:line="20" w:lineRule="exact"/>
              <w:rPr>
                <w:sz w:val="1"/>
                <w:szCs w:val="1"/>
                <w:color w:val="auto"/>
              </w:rPr>
            </w:pPr>
          </w:p>
        </w:tc>
        <w:tc>
          <w:tcPr>
            <w:tcW w:w="2760" w:type="dxa"/>
            <w:vAlign w:val="bottom"/>
            <w:tcBorders>
              <w:top w:val="single" w:sz="8" w:color="CCECFF"/>
              <w:bottom w:val="single" w:sz="8" w:color="CCEC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-565150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and $0.5 million in the three and nine months ended September 30, 2024, respectively, and nil in both the three and nine months ended September 30, 2023. The Company expects to record amortization expense as follows over the next five subsequent years: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580" w:type="dxa"/>
            <w:vAlign w:val="bottom"/>
            <w:tcBorders>
              <w:bottom w:val="single" w:sz="8" w:color="CCECFF"/>
            </w:tcBorders>
            <w:shd w:val="clear" w:color="auto" w:fill="CCEC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5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5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8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2"/>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2"/>
        </w:trPr>
        <w:tc>
          <w:tcPr>
            <w:tcW w:w="234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collateral</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Vistra Purchase and Sale Agreement collateral</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7"/>
        </w:trPr>
        <w:tc>
          <w:tcPr>
            <w:tcW w:w="636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Barber Lake Facility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6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5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w:t>
            </w:r>
          </w:p>
        </w:tc>
      </w:tr>
      <w:tr>
        <w:trPr>
          <w:trHeight w:val="21"/>
        </w:trPr>
        <w:tc>
          <w:tcPr>
            <w:tcW w:w="2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-1079500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Luminant Power Agreement, the Company was required to provide Luminant with collateral of approximately $12.6 million (the “Independent Collateral Amount”).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Purchase and Sale Agreement dated June 28, 2021, with amendment and restatement on July 9, 2021 (as amended and restated, the “Vistra Purchase and Sale Agreement”) with Vistra. Under the Vistra Purchase and Sale Agreement, the Company provided approximately $3.1 million as collateral separate from the Independent Collateral Amount, which is also recorded in security deposits as of December 31, 2023. As of September 30, 2024, this collateral balance was moved to a money market account owned by the Company and is classified as restricted cash.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transaction to acquire the Barber Lake Facility, the Company acquired a deposit with Oncor Electric Delivery Company LLC (“Oncor”)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$8.3 million which had previously been paid by the seller. As part of the transaction, the Company must remit the deposit to the seller upon receipt. As such the Company has recorded a corresponding liability in Accrued expenses and other liabilities on the condensed consolidated balance sheet as of September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$3.5 million and $3.7 million as of September 30, 2024 and December 31, 2023, respectively, primarily consisting of prepaid insurance and employee compensation as of September 30, 2024, and prepaid insurance as of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Miners in service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1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-213995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$0.1 million and $0.2 million, as of September 30, 2024 and December 31, 2023, respectively, representing expenses paid on behalf of the Data Center LLCs.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April 8, 2022, the Company entered into two agreements with the Bitfury Group, made under, and as a part of, the Master Services and Supply Agreement to purchase equipment related to data center construction. The Company and the Bitfury Group terminated the Master Services and Supply Agreement on February 28, 2024, for no additional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2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leases</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During the second quarter of 2024, the Company modified this lease to substitute the leased space with a larger office in the same location.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the Company also signed leases for office space in Charleston, South Carolina, and Denver, Colorado.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33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9"/>
                <w:szCs w:val="19"/>
                <w:color w:val="auto"/>
              </w:rPr>
            </w:pPr>
          </w:p>
        </w:tc>
        <w:tc>
          <w:tcPr>
            <w:tcW w:w="314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24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r>
      <w:tr>
        <w:trPr>
          <w:trHeight w:val="27"/>
        </w:trPr>
        <w:tc>
          <w:tcPr>
            <w:tcW w:w="4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4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6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r>
      <w:tr>
        <w:trPr>
          <w:trHeight w:val="20"/>
        </w:trPr>
        <w:tc>
          <w:tcPr>
            <w:tcW w:w="4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-393700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-393700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-1431290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-1431290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finance lease ROU asset is included within depreciation expense.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tcBorders>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0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21"/>
                <w:szCs w:val="21"/>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1080" w:type="dxa"/>
            <w:vAlign w:val="bottom"/>
            <w:tcBorders>
              <w:bottom w:val="single" w:sz="8" w:color="CCEEFF"/>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r>
      <w:tr>
        <w:trPr>
          <w:trHeight w:val="22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20"/>
                <w:szCs w:val="20"/>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20"/>
                <w:szCs w:val="20"/>
                <w:color w:val="auto"/>
              </w:rPr>
            </w:pP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60"/>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24"/>
                <w:szCs w:val="24"/>
                <w:color w:val="auto"/>
              </w:rPr>
            </w:pPr>
          </w:p>
        </w:tc>
        <w:tc>
          <w:tcPr>
            <w:tcW w:w="1760" w:type="dxa"/>
            <w:vAlign w:val="bottom"/>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16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500" w:type="dxa"/>
            <w:vAlign w:val="bottom"/>
            <w:tcBorders>
              <w:top w:val="single" w:sz="8" w:color="CCECFF"/>
              <w:bottom w:val="single" w:sz="8" w:color="CCECFF"/>
            </w:tcBorders>
            <w:shd w:val="clear" w:color="auto" w:fill="CCECFF"/>
          </w:tcPr>
          <w:p>
            <w:pPr>
              <w:spacing w:after="0"/>
              <w:rPr>
                <w:sz w:val="21"/>
                <w:szCs w:val="21"/>
                <w:color w:val="auto"/>
              </w:rPr>
            </w:pPr>
          </w:p>
        </w:tc>
        <w:tc>
          <w:tcPr>
            <w:tcW w:w="80" w:type="dxa"/>
            <w:vAlign w:val="bottom"/>
            <w:tcBorders>
              <w:top w:val="single" w:sz="8" w:color="CCECFF"/>
              <w:bottom w:val="single" w:sz="8" w:color="CCECFF"/>
            </w:tcBorders>
            <w:shd w:val="clear" w:color="auto" w:fill="CCECFF"/>
          </w:tcPr>
          <w:p>
            <w:pPr>
              <w:spacing w:after="0"/>
              <w:rPr>
                <w:sz w:val="21"/>
                <w:szCs w:val="21"/>
                <w:color w:val="auto"/>
              </w:rPr>
            </w:pPr>
          </w:p>
        </w:tc>
        <w:tc>
          <w:tcPr>
            <w:tcW w:w="540" w:type="dxa"/>
            <w:vAlign w:val="bottom"/>
            <w:tcBorders>
              <w:top w:val="single" w:sz="8" w:color="CCECFF"/>
              <w:bottom w:val="single" w:sz="8" w:color="CCECFF"/>
            </w:tcBorders>
            <w:shd w:val="clear" w:color="auto" w:fill="CCECFF"/>
          </w:tcPr>
          <w:p>
            <w:pPr>
              <w:spacing w:after="0"/>
              <w:rPr>
                <w:sz w:val="21"/>
                <w:szCs w:val="21"/>
                <w:color w:val="auto"/>
              </w:rPr>
            </w:pPr>
          </w:p>
        </w:tc>
        <w:tc>
          <w:tcPr>
            <w:tcW w:w="680" w:type="dxa"/>
            <w:vAlign w:val="bottom"/>
            <w:tcBorders>
              <w:top w:val="single" w:sz="8" w:color="auto"/>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CCECFF"/>
            </w:tcBorders>
            <w:shd w:val="clear" w:color="auto" w:fill="CCECFF"/>
          </w:tcPr>
          <w:p>
            <w:pPr>
              <w:spacing w:after="0"/>
              <w:rPr>
                <w:sz w:val="21"/>
                <w:szCs w:val="21"/>
                <w:color w:val="auto"/>
              </w:rPr>
            </w:pPr>
          </w:p>
        </w:tc>
        <w:tc>
          <w:tcPr>
            <w:tcW w:w="160" w:type="dxa"/>
            <w:vAlign w:val="bottom"/>
            <w:tcBorders>
              <w:top w:val="single" w:sz="8" w:color="auto"/>
              <w:bottom w:val="single" w:sz="8" w:color="CCECFF"/>
            </w:tcBorders>
            <w:shd w:val="clear" w:color="auto" w:fill="CCECFF"/>
          </w:tcPr>
          <w:p>
            <w:pPr>
              <w:spacing w:after="0"/>
              <w:rPr>
                <w:sz w:val="21"/>
                <w:szCs w:val="21"/>
                <w:color w:val="auto"/>
              </w:rPr>
            </w:pPr>
          </w:p>
        </w:tc>
        <w:tc>
          <w:tcPr>
            <w:tcW w:w="7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180" w:type="dxa"/>
            <w:vAlign w:val="bottom"/>
            <w:tcBorders>
              <w:top w:val="single" w:sz="8" w:color="auto"/>
              <w:bottom w:val="single" w:sz="8" w:color="CCECFF"/>
            </w:tcBorders>
            <w:shd w:val="clear" w:color="auto" w:fill="CCECFF"/>
          </w:tcPr>
          <w:p>
            <w:pPr>
              <w:spacing w:after="0"/>
              <w:rPr>
                <w:sz w:val="21"/>
                <w:szCs w:val="21"/>
                <w:color w:val="auto"/>
              </w:rPr>
            </w:pPr>
          </w:p>
        </w:tc>
        <w:tc>
          <w:tcPr>
            <w:tcW w:w="560" w:type="dxa"/>
            <w:vAlign w:val="bottom"/>
            <w:tcBorders>
              <w:top w:val="single" w:sz="8" w:color="auto"/>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CCECFF"/>
            </w:tcBorders>
            <w:shd w:val="clear" w:color="auto" w:fill="CCECFF"/>
          </w:tcPr>
          <w:p>
            <w:pPr>
              <w:spacing w:after="0"/>
              <w:rPr>
                <w:sz w:val="21"/>
                <w:szCs w:val="21"/>
                <w:color w:val="auto"/>
              </w:rPr>
            </w:pPr>
          </w:p>
        </w:tc>
        <w:tc>
          <w:tcPr>
            <w:tcW w:w="110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0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080" w:type="dxa"/>
            <w:vAlign w:val="bottom"/>
            <w:tcBorders>
              <w:bottom w:val="single" w:sz="8" w:color="CCECFF"/>
            </w:tcBorders>
            <w:shd w:val="clear" w:color="auto" w:fill="CCECFF"/>
          </w:tcPr>
          <w:p>
            <w:pPr>
              <w:spacing w:after="0"/>
              <w:rPr>
                <w:sz w:val="21"/>
                <w:szCs w:val="21"/>
                <w:color w:val="auto"/>
              </w:rPr>
            </w:pPr>
          </w:p>
        </w:tc>
        <w:tc>
          <w:tcPr>
            <w:tcW w:w="50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5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4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8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CFF"/>
          </w:tcPr>
          <w:p>
            <w:pPr>
              <w:spacing w:after="0"/>
              <w:rPr>
                <w:sz w:val="23"/>
                <w:szCs w:val="23"/>
                <w:color w:val="auto"/>
              </w:rPr>
            </w:pPr>
          </w:p>
        </w:tc>
        <w:tc>
          <w:tcPr>
            <w:tcW w:w="500" w:type="dxa"/>
            <w:vAlign w:val="bottom"/>
            <w:shd w:val="clear" w:color="auto" w:fill="CCECFF"/>
          </w:tcPr>
          <w:p>
            <w:pPr>
              <w:spacing w:after="0"/>
              <w:rPr>
                <w:sz w:val="23"/>
                <w:szCs w:val="23"/>
                <w:color w:val="auto"/>
              </w:rPr>
            </w:pPr>
          </w:p>
        </w:tc>
        <w:tc>
          <w:tcPr>
            <w:tcW w:w="80" w:type="dxa"/>
            <w:vAlign w:val="bottom"/>
            <w:shd w:val="clear" w:color="auto" w:fill="CCECFF"/>
          </w:tcPr>
          <w:p>
            <w:pPr>
              <w:spacing w:after="0"/>
              <w:rPr>
                <w:sz w:val="23"/>
                <w:szCs w:val="23"/>
                <w:color w:val="auto"/>
              </w:rPr>
            </w:pPr>
          </w:p>
        </w:tc>
        <w:tc>
          <w:tcPr>
            <w:tcW w:w="1220" w:type="dxa"/>
            <w:vAlign w:val="bottom"/>
            <w:gridSpan w:val="2"/>
            <w:shd w:val="clear" w:color="auto" w:fill="CCEC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7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shd w:val="clear" w:color="auto" w:fill="CCECFF"/>
          </w:tcPr>
          <w:p>
            <w:pPr>
              <w:spacing w:after="0"/>
              <w:rPr>
                <w:sz w:val="23"/>
                <w:szCs w:val="23"/>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110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8"/>
                <w:szCs w:val="18"/>
                <w:color w:val="auto"/>
              </w:rPr>
              <w:t>11,160</w:t>
            </w:r>
          </w:p>
        </w:tc>
        <w:tc>
          <w:tcPr>
            <w:tcW w:w="4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-1696720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-1696720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7" w:lineRule="exact"/>
        <w:rPr>
          <w:sz w:val="20"/>
          <w:szCs w:val="20"/>
          <w:color w:val="auto"/>
        </w:rPr>
      </w:pPr>
    </w:p>
    <w:p>
      <w:pPr>
        <w:ind w:left="360" w:right="220" w:hanging="352"/>
        <w:spacing w:after="0" w:line="232" w:lineRule="auto"/>
        <w:tabs>
          <w:tab w:leader="none" w:pos="34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2024, the Company recorded accumulated amortization of $2.3 million for the finance lease ROU asset. Finance lease ROU assets are recorded within property and equipment, net on the Company’s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future minimum lease payments during the next five years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28,365</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7"/>
        </w:trPr>
        <w:tc>
          <w:tcPr>
            <w:tcW w:w="628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8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23,156</w:t>
            </w:r>
          </w:p>
        </w:tc>
      </w:tr>
      <w:tr>
        <w:trPr>
          <w:trHeight w:val="20"/>
        </w:trPr>
        <w:tc>
          <w:tcPr>
            <w:tcW w:w="628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140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4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CCECFF"/>
              <w:bottom w:val="single" w:sz="8" w:color="auto"/>
            </w:tcBorders>
          </w:tcPr>
          <w:p>
            <w:pPr>
              <w:spacing w:after="0" w:line="20" w:lineRule="exact"/>
              <w:rPr>
                <w:sz w:val="1"/>
                <w:szCs w:val="1"/>
                <w:color w:val="auto"/>
              </w:rPr>
            </w:pPr>
          </w:p>
        </w:tc>
        <w:tc>
          <w:tcPr>
            <w:tcW w:w="1240" w:type="dxa"/>
            <w:vAlign w:val="bottom"/>
            <w:tcBorders>
              <w:top w:val="single" w:sz="8" w:color="CCEC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2024, aside from miner purchase contracts described in further detail in Note 6. Deposits on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September 30, 2024, 510,000,000 shares with a par value of $0.001 per share are authorized, of which, 500,000,000 shares are designated as Common Stock and 10,000,000 shares are designated as preferred stock (“Preferred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6,273,366 shares of Common Stock to officers, employees and consultants in settlement of an equal number of fully vested RSUs awarded to these individuals, and 395,577 shares of Common Stock to non-employee directors, pursuant to grants made under the Cipher Mining Inc. 2021 Incentive Award Plan (the “Incentive Award Plan”). The Company immediately repurchased 2,652,378 of these shares of Common Stock from officers and employees, with a fair value of approximately $10.8 million, to cover taxes related to the settlement of vested RSUs, as permitted by the Incentive Award Plan. The Company placed the repurchased shares in treasury stock.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at-the-market offering agreement (the “Prior Sales Agreement”) with H.C. Wainwright &amp; Co., LLC (the “Prior Agent”), under which the Company may, from time to time, sell shares of its Common Stock having an aggregate offering price of up to $250.0 million in “at-the-market” offerings through the Prior Agent. Effective August 1, 2023, the Company terminated the Prior Sales Agreement.</w:t>
      </w:r>
    </w:p>
    <w:p>
      <w:pPr>
        <w:spacing w:after="0" w:line="210"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(i) up to $125.7 million remaining as authorized under the Company’s Registration Statement, the base prospectus contained within the Registration Statement, and the Prospectus Supplement, as amended on September 3, 2024 and (ii)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three months ended September 30, 2024, in connection with the Amended and Restated Sales Agreement, the Company received proceeds of approximately $61.3 million, net of issuance costs, from the sale of 17,953,378 shares of common stock, with an average net selling price of $3.41 per share.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WARRANTS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December 31, 2023, and 8,613,980 Public Warrants and no Private Placement Warrants outstanding as of September 30, 2024.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2024, this resulted in an increase of 8,728,736 shares of Common Stock available for issuance under the Incentive Award Plan. As of September 30, 2024, 6,072,603 shares of Common Stock were available for issuance under the Incentive Award Plan.</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unaudited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3280" w:type="dxa"/>
            <w:vAlign w:val="bottom"/>
            <w:gridSpan w:val="5"/>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9"/>
                <w:szCs w:val="19"/>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440" w:type="dxa"/>
            <w:vAlign w:val="bottom"/>
            <w:tcBorders>
              <w:bottom w:val="single" w:sz="8" w:color="CCEC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r>
      <w:tr>
        <w:trPr>
          <w:trHeight w:val="250"/>
        </w:trPr>
        <w:tc>
          <w:tcPr>
            <w:tcW w:w="4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160" w:type="dxa"/>
            <w:vAlign w:val="bottom"/>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4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23"/>
                <w:szCs w:val="23"/>
                <w:color w:val="auto"/>
              </w:rPr>
            </w:pPr>
          </w:p>
        </w:tc>
      </w:tr>
      <w:tr>
        <w:trPr>
          <w:trHeight w:val="26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60" w:type="dxa"/>
            <w:vAlign w:val="bottom"/>
          </w:tcPr>
          <w:p>
            <w:pPr>
              <w:spacing w:after="0"/>
              <w:rPr>
                <w:sz w:val="22"/>
                <w:szCs w:val="22"/>
                <w:color w:val="auto"/>
              </w:rPr>
            </w:pPr>
          </w:p>
        </w:tc>
      </w:tr>
      <w:tr>
        <w:trPr>
          <w:trHeight w:val="21"/>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8"/>
        </w:trPr>
        <w:tc>
          <w:tcPr>
            <w:tcW w:w="4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-1396365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-1396365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nine months ended September 30, 2024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17,047,242</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10,746,682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(6,273,366)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63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21,479,801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63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$29.7 million of unrecognized compensation expense related to unvested Service-Based RSUs, which is expected to be recognized over a weighted-average vesting period of approximately 1.1 years.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nine months ended September 30, 2024. There were 4,257,710 unvested Performance-Based RSUs at a weighted average grant date fair value of $7.76 as of both September 30, 2024 and 2023. There was approximately $0.5 million of unrecognized compensation expense related to unvested Performance-Based RSUs, which is expected to be recognized over a remaining weighted average vesting period of approximately 0.1 years.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September 30, 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-2331085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-2331085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-2331085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-2510790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-2510790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-2510790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-3882390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-3882390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-3882390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nine months ended September 30, 2024 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2.8 years. The valuations performed by the third-party valuation firm engaged by the Company utilized pre-tax discount rates of 5.36% and 6.11% as of September 30, 2024 and December 31, 2023,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quoted forward electricity rates, as well as unobservable inputs (e.g., changes in estimated usage rates and discount rate assumptions).</w:t>
      </w:r>
    </w:p>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nine months ended September 30, 2024 and 2023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960" w:type="dxa"/>
            <w:vAlign w:val="bottom"/>
            <w:tcBorders>
              <w:bottom w:val="single" w:sz="8" w:color="CCEC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93,591</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7"/>
              </w:rPr>
              <w:t>(19,181)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r>
      <w:tr>
        <w:trPr>
          <w:trHeight w:val="27"/>
        </w:trPr>
        <w:tc>
          <w:tcPr>
            <w:tcW w:w="796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CFF"/>
          </w:tcPr>
          <w:p>
            <w:pPr>
              <w:jc w:val="center"/>
              <w:ind w:left="574"/>
              <w:spacing w:after="0"/>
              <w:rPr>
                <w:sz w:val="20"/>
                <w:szCs w:val="20"/>
                <w:color w:val="auto"/>
              </w:rPr>
            </w:pPr>
            <w:r>
              <w:rPr>
                <w:rFonts w:ascii="Times New Roman" w:cs="Times New Roman" w:eastAsia="Times New Roman" w:hAnsi="Times New Roman"/>
                <w:sz w:val="18"/>
                <w:szCs w:val="18"/>
                <w:color w:val="auto"/>
              </w:rPr>
              <w:t>74,410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80,050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bottom w:val="single" w:sz="8" w:color="auto"/>
            </w:tcBorders>
          </w:tcPr>
          <w:p>
            <w:pPr>
              <w:spacing w:after="0" w:line="20" w:lineRule="exact"/>
              <w:rPr>
                <w:sz w:val="1"/>
                <w:szCs w:val="1"/>
                <w:color w:val="auto"/>
              </w:rPr>
            </w:pPr>
          </w:p>
        </w:tc>
        <w:tc>
          <w:tcPr>
            <w:tcW w:w="132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Private Placement Warrants (as defined in Note 15. Warrants) were its only liability classified within Level 3 of the fair value hierarchy because the fair value is based on significant inputs that are unobservable in the market. 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September 30, 2024.</w:t>
      </w:r>
    </w:p>
    <w:p>
      <w:pPr>
        <w:spacing w:after="0" w:line="15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2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7980" w:type="dxa"/>
            <w:vAlign w:val="bottom"/>
            <w:tcBorders>
              <w:bottom w:val="single" w:sz="8" w:color="CCEC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40" w:type="dxa"/>
            <w:vAlign w:val="bottom"/>
            <w:tcBorders>
              <w:bottom w:val="single" w:sz="8" w:color="CCECFF"/>
            </w:tcBorders>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8"/>
                <w:szCs w:val="18"/>
                <w:color w:val="auto"/>
                <w:w w:val="98"/>
              </w:rPr>
              <w:t>4.00%</w:t>
            </w: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0.00%</w:t>
            </w:r>
          </w:p>
        </w:tc>
        <w:tc>
          <w:tcPr>
            <w:tcW w:w="8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Borders>
              <w:bottom w:val="single" w:sz="8" w:color="CCECFF"/>
            </w:tcBorders>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8"/>
                <w:szCs w:val="18"/>
                <w:color w:val="auto"/>
              </w:rPr>
              <w:t>124.0%</w:t>
            </w: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2.7</w:t>
            </w:r>
          </w:p>
        </w:tc>
        <w:tc>
          <w:tcPr>
            <w:tcW w:w="8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540" w:type="dxa"/>
            <w:vAlign w:val="bottom"/>
            <w:tcBorders>
              <w:bottom w:val="single" w:sz="8" w:color="CCECFF"/>
            </w:tcBorders>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8"/>
                <w:szCs w:val="18"/>
                <w:color w:val="auto"/>
              </w:rPr>
              <w:t>$11.50</w:t>
            </w:r>
          </w:p>
        </w:tc>
        <w:tc>
          <w:tcPr>
            <w:tcW w:w="820" w:type="dxa"/>
            <w:vAlign w:val="bottom"/>
          </w:tcPr>
          <w:p>
            <w:pPr>
              <w:spacing w:after="0"/>
              <w:rPr>
                <w:sz w:val="21"/>
                <w:szCs w:val="21"/>
                <w:color w:val="auto"/>
              </w:rPr>
            </w:pPr>
          </w:p>
        </w:tc>
      </w:tr>
      <w:tr>
        <w:trPr>
          <w:trHeight w:val="486"/>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presents changes in the estimated fair value of the Private Placement Warrants (amounts in thousands):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
        </w:trPr>
        <w:tc>
          <w:tcPr>
            <w:tcW w:w="88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5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8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880" w:type="dxa"/>
            <w:vAlign w:val="bottom"/>
            <w:tcBorders>
              <w:bottom w:val="single" w:sz="8" w:color="CCEEFF"/>
            </w:tcBorders>
            <w:gridSpan w:val="3"/>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8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880" w:type="dxa"/>
            <w:vAlign w:val="bottom"/>
            <w:tcBorders>
              <w:top w:val="single" w:sz="8" w:color="CCEEFF"/>
            </w:tcBorders>
            <w:gridSpan w:val="3"/>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5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880" w:type="dxa"/>
            <w:vAlign w:val="bottom"/>
            <w:tcBorders>
              <w:bottom w:val="single" w:sz="8" w:color="CCEEFF"/>
            </w:tcBorders>
            <w:gridSpan w:val="3"/>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8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an income tax benefit of approximately 4.2% and 5.6% of loss before taxes for the three months ended September 30, 2024, and 2023 respectively. The Company recorded an income tax expense of approximately 3.8% of income before taxes for the nine months ended September 30, 2024 and an income tax benefit of approximately 1.1% of loss before taxes for the nine months ended September 30,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30" w:name="page31"/>
    <w:bookmarkEnd w:id="3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2023 Form 10-K.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the “Risk Factors” sections of our 2023 Form 10-K, this Quarterly Report, and in other parts of this Quarterly Report.</w:t>
      </w:r>
    </w:p>
    <w:p>
      <w:pPr>
        <w:spacing w:after="0" w:line="15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focused on the development and operation of industrial-scale data centers for bitcoin mining and HPC hosting. Bitcoin mining is currently our primary revenue generating business activity.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operate four bitcoin mining data centers in Texas, including one wholly-owned and three partially-owned data centers acquired through investments in joint ventures. Our largest currently-operating data center is the Odessa data center (the “Odessa Facility”), which is our wholly-owned 207 MW facility located in Odessa, Texas. We also jointly operate the Alborz data center (the “Alborz Facility”), located near Happy, Texas, and the Bear data center (the “Bear Facility”) and the Chief data center (the “Chief Facility”), each of which are located near Andrews, Texas (collectively, the “Data Center LLCs”). The Data Center LLCs are partially-owned through joint ventures with WindHQ LLC (“WindHQ”).</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we are developing a wholly-owned data center in Winkler County, TX (“Black Pearl” or the “Black Pearl Facility”) for up to 300 MW, and we expect to energize 300 MW in 2025. In September 2024, we also purchased a site where we plan to develop another wholly-owned data center in Colorado City, TX (“Barber Lake” or the “Barber Lake Facility”) for up to 300 MW. In October 2024, we also expanded our pipeline of sites by purchasing options to acquire up to 1.5 GW of additional sites in West and North Texas.</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bitcoin mining and HPC hosting, expanding capacity at our current data centers, developing our treasury management platform and entering into other strategic arrangements, such as joint ventures, data center hosting agreements, or software licensing arrangements. We aim to be a market leader in innovation, including in bitcoin mining growth, data center construction and as a hosting partner to the world's largest HPC companies.</w:t>
      </w:r>
    </w:p>
    <w:p>
      <w:pPr>
        <w:spacing w:after="0" w:line="1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September 30, 2024, we operated an aggregate hashrate capacity of approximately 11.5 EH/s, utilizing approximately 327 MW of electricity, of which we owned an aggregate hashrate capacity of approximately 9.3 EH/s, utilizing approximately 266 MW of electricity.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Site Acquisitions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2024, we purchased the Barber Lake Facility, located in Colorado City, TX, where we plan to develop another wholly-owned data center for up to 300 MW. In October 2024, we also added to our pipeline of sites by completing the acquisition of the Reveille site, located in Cotulla, TX, where we plan to develop another wholly-owned data center for up to 200 MW, and by purchasing options to acquire three new sites, also located in Texas, with a cumulative power capacity of up to 1.5 GW.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2023 Form 10-K. Our financial position and results of operations depend to a significant extent on those factors.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7"/>
        </w:trPr>
        <w:tc>
          <w:tcPr>
            <w:tcW w:w="7960" w:type="dxa"/>
            <w:vAlign w:val="bottom"/>
            <w:tcBorders>
              <w:bottom w:val="single" w:sz="8" w:color="CCEC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32,978</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109,443</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(79,785)</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80" w:type="dxa"/>
            <w:vAlign w:val="bottom"/>
            <w:tcBorders>
              <w:bottom w:val="single" w:sz="8" w:color="CCECFF"/>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25,114</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sale of bitcoin</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7"/>
        </w:trPr>
        <w:tc>
          <w:tcPr>
            <w:tcW w:w="7960" w:type="dxa"/>
            <w:vAlign w:val="bottom"/>
            <w:tcBorders>
              <w:bottom w:val="single" w:sz="8" w:color="CCEC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95,459</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160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bottom w:val="single" w:sz="8" w:color="auto"/>
            </w:tcBorders>
          </w:tcPr>
          <w:p>
            <w:pPr>
              <w:spacing w:after="0" w:line="20" w:lineRule="exact"/>
              <w:rPr>
                <w:sz w:val="1"/>
                <w:szCs w:val="1"/>
                <w:color w:val="auto"/>
              </w:rPr>
            </w:pPr>
          </w:p>
        </w:tc>
        <w:tc>
          <w:tcPr>
            <w:tcW w:w="1320" w:type="dxa"/>
            <w:vAlign w:val="bottom"/>
            <w:tcBorders>
              <w:top w:val="single" w:sz="8" w:color="CCEC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sets forth our results of operations for the periods indicated (in thousands):</w:t>
      </w: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4120" w:type="dxa"/>
            <w:vAlign w:val="bottom"/>
          </w:tcPr>
          <w:p>
            <w:pPr>
              <w:spacing w:after="0"/>
              <w:rPr>
                <w:sz w:val="19"/>
                <w:szCs w:val="19"/>
                <w:color w:val="auto"/>
              </w:rPr>
            </w:pPr>
          </w:p>
        </w:tc>
        <w:tc>
          <w:tcPr>
            <w:tcW w:w="34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12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30,304</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83,423</w:t>
            </w:r>
          </w:p>
        </w:tc>
      </w:tr>
      <w:tr>
        <w:trPr>
          <w:trHeight w:val="21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37,017</w:t>
            </w:r>
          </w:p>
        </w:tc>
      </w:tr>
      <w:tr>
        <w:trPr>
          <w:trHeight w:val="23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41,676</w:t>
            </w: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r>
      <w:tr>
        <w:trPr>
          <w:trHeight w:val="23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42,284</w:t>
            </w: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(13,294)</w:t>
            </w:r>
          </w:p>
        </w:tc>
      </w:tr>
      <w:tr>
        <w:trPr>
          <w:trHeight w:val="23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Power sales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(income) losses of equity investees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r>
      <w:tr>
        <w:trPr>
          <w:trHeight w:val="23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Losses (gains) on fair value of bitcoin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46"/>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gains</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6"/>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115,496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118,739</w:t>
            </w: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(19,106)</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(35,316)</w:t>
            </w:r>
          </w:p>
        </w:tc>
      </w:tr>
      <w:tr>
        <w:trPr>
          <w:trHeight w:val="21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3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53"/>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7"/>
        </w:trPr>
        <w:tc>
          <w:tcPr>
            <w:tcW w:w="4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3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(36,784)</w:t>
            </w:r>
          </w:p>
        </w:tc>
      </w:tr>
      <w:tr>
        <w:trPr>
          <w:trHeight w:val="25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6"/>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7"/>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(18,621)</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(36,372)</w:t>
            </w: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00" w:lineRule="exact"/>
        <w:rPr>
          <w:sz w:val="20"/>
          <w:szCs w:val="20"/>
          <w:color w:val="auto"/>
        </w:rPr>
      </w:pPr>
    </w:p>
    <w:p>
      <w:pPr>
        <w:spacing w:after="0" w:line="233" w:lineRule="exact"/>
        <w:rPr>
          <w:sz w:val="20"/>
          <w:szCs w:val="20"/>
          <w:color w:val="auto"/>
        </w:rPr>
      </w:pPr>
    </w:p>
    <w:p>
      <w:pPr>
        <w:ind w:right="524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Comparative Results for the Three Months Ended September 30, 2024 and 2023 </w:t>
      </w:r>
      <w:r>
        <w:rPr>
          <w:rFonts w:ascii="Times New Roman" w:cs="Times New Roman" w:eastAsia="Times New Roman" w:hAnsi="Times New Roman"/>
          <w:sz w:val="18"/>
          <w:szCs w:val="18"/>
          <w:i w:val="1"/>
          <w:iCs w:val="1"/>
          <w:color w:val="auto"/>
        </w:rPr>
        <w:t>Revenue</w:t>
      </w: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September 30, 2024 was $24.1 million compared to $30.3 million for the three months ended September 30, 2023 and was generated entirely from bitcoin mining operations at the Odessa Facility. The decrease year over year was primarily driven by the halving in April of 2024, which reduced the bitcoin received for mining a block from 6.25 bitcoin to 3.125 bitcoin. This was partially offset by the increase in bitcoin price of the bitcoin we mined in the current quarter compared to the prior year quarter.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September 30, 2024 was $15.1 million, compared with $13.0 million for the three months ended September 30, 2023, and consisted primarily of power costs at the Odessa Facility under the Luminant Power Agreement. The increase in the three months ended September 30, 2024 is driven primarily by additional expenses incurred related to the fleet upgrade at the Odessa Facility, in preparation for miners to arrive onsite in the fourth quarter of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Compensation and benefits for the three months ended September 30, 2024 was $14.7 million, a decrease of $2.4 million compared to $17.1 million for the three months ended September 30, 2023. The decrease was primarily due to the expiration of Share-based compensation awards in the current quarter.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jc w:val="both"/>
        <w:ind w:right="4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to $8.9 million during the three months ended September 30, 2024 from $6.8 million for the three months ended September 30, 2023. The increase was primarily driven by an increase in legal fees related to strategic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Depreciation for the three months ended September 30, 2024 was $28.6 million, an increase of $12.4 million compared to Depreciation and amortization of $16.2 million for the three months ended September 30, 2023. The increase was primarily due to change in the useful life of our miners as of June 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$48.5 million loss for the three months ended September 30, 2024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After the start of mining operations at the Odessa Facility, we sold excess electricity that was available under the Luminant Power Agreement, back to the ERCOT market through Luminant. We sold power for proceeds of $1.4 million and $2.7 million for the three months ended September 30, 2024, and 2023,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income (losses) of equity investees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Equity in income of equity investees totaled $0.8 million for the three months ended September 30, 2024 compared to losses of $2.0 million for the three months ended September 30, 2023. Equity in income of equity investees consists of our 49% share in the earnings (losses) generated by our three partially-owned mining sites, and the accretion of</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basis differences in our investments in the equity investees that resulted from contributions of miners during the year ended December 31, 2022. We are accreting these basis differences over the five-year useful life of the miners.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on fair value of bitcoin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Losses on fair value of bitcoin were $1.9 million for the three months ended September 30, 2024, consistent with $1.8 million for the three months ended September 30, 2023. The balance in both periods is a result of the net realized gains and losses from selling bitcoin, and the unrealized gains and losses on the change in fair value of our bitcoin held in treasury.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Other income totaled $0.8 million for the three months ended September 30, 2024, compared to Other expense of $0.6 million for three months ended September 30, 2023. The increase is primarily related to interest income earned from cash held in money market accounts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0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recorded a benefit for income taxes of $3.8 million primarily driven by net losses in the current period. For the three months ended September 30, 2023, we recorded a benefit for income taxes of $1.1 million.</w:t>
      </w:r>
    </w:p>
    <w:p>
      <w:pPr>
        <w:spacing w:after="0" w:line="117" w:lineRule="exact"/>
        <w:rPr>
          <w:sz w:val="20"/>
          <w:szCs w:val="20"/>
          <w:color w:val="auto"/>
        </w:rPr>
      </w:pPr>
    </w:p>
    <w:p>
      <w:pPr>
        <w:ind w:right="536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Comparative Results for the Nine Months Ended September 30, 2024 and 2023 </w:t>
      </w:r>
      <w:r>
        <w:rPr>
          <w:rFonts w:ascii="Times New Roman" w:cs="Times New Roman" w:eastAsia="Times New Roman" w:hAnsi="Times New Roman"/>
          <w:sz w:val="18"/>
          <w:szCs w:val="18"/>
          <w:i w:val="1"/>
          <w:iCs w:val="1"/>
          <w:color w:val="auto"/>
        </w:rPr>
        <w:t>Revenue</w:t>
      </w: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2024 was $109.0 million, compared to $83.4 million for the nine months ended September 30, 2023, and was generated entirely from bitcoin mining operations at the Odessa Facility. The increase year over year was primarily driven by an overall increase in bitcoin price in the current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nine months ended September 30, 2024 was $44.2 million, compared with $37.0 million for the nine months ended September 30, 2023, and consisted primarily of power costs at the Odessa Facility. The increase in the current year period is primarily due to expenses incurred related to the fleet upgrade at the Odessa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Compensation and benefits for the nine months ended September 30, 2024 was $44.1 million, an increase of $2.4 million compared to $41.7 million for the three months ended September 30, 2023. The increase was primarily due to Share-based compensation awards at higher stock prices in the current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$2.4 million to $23.4 million for the nine months ended September 30, 2024 from $21.0 million for the nine months ended September 30, 2023. The increase was primarily driven by an increase in legal fees related to strategic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nine months ended September 30, 2024 was $66.1 million, an increase of $23.8 million compared to Depreciation and amortization of $42.3 million for the nine months ended September 30, 2023. The increase was primarily due to increased miners, and mining equipment at the Odessa Facility, as well as the change in the estimated useful life of our miners from five years to three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Change in fair value of derivative asset was $19.2 million for the nine months ended September 30, 2024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4" w:name="page35"/>
    <w:bookmarkEnd w:id="34"/>
    <w:p>
      <w:pPr>
        <w:spacing w:after="0" w:line="18" w:lineRule="exact"/>
        <w:rPr>
          <w:sz w:val="20"/>
          <w:szCs w:val="20"/>
          <w:color w:val="auto"/>
        </w:rPr>
      </w:pPr>
    </w:p>
    <w:p>
      <w:pPr>
        <w:ind w:right="960"/>
        <w:spacing w:after="0" w:line="453" w:lineRule="auto"/>
        <w:rPr>
          <w:sz w:val="20"/>
          <w:szCs w:val="20"/>
          <w:color w:val="auto"/>
        </w:rPr>
      </w:pPr>
      <w:r>
        <w:rPr>
          <w:rFonts w:ascii="Times New Roman" w:cs="Times New Roman" w:eastAsia="Times New Roman" w:hAnsi="Times New Roman"/>
          <w:sz w:val="18"/>
          <w:szCs w:val="18"/>
          <w:color w:val="auto"/>
        </w:rPr>
        <w:t xml:space="preserve">electricity, as well as estimated usage rates consistent with the terms of the Luminant Power Agreement, the initial term of which is five years. </w:t>
      </w:r>
      <w:r>
        <w:rPr>
          <w:rFonts w:ascii="Times New Roman" w:cs="Times New Roman" w:eastAsia="Times New Roman" w:hAnsi="Times New Roman"/>
          <w:sz w:val="18"/>
          <w:szCs w:val="18"/>
          <w:i w:val="1"/>
          <w:iCs w:val="1"/>
          <w:color w:val="auto"/>
        </w:rPr>
        <w:t>Power sales</w:t>
      </w:r>
    </w:p>
    <w:p>
      <w:pPr>
        <w:spacing w:after="0" w:line="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the start of mining operations at the Odessa Facility on November 22, 2022, we sold excess electricity that was available under the Luminant Power Agreement, but not needed in our mining operations at the Odessa Facility, back to the ERCOT market through Luminant. We sold power for proceeds of $3.7 million and $8.5 million for the nine months ended September 30, 2024, and 2023, respectively. Power sales fluctuate each period based on power and bitcoin prices which are volatile.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Equity in income of equity investees totaled $1.0 million for the nine months ended September 30, 2024 compared to losses of $4.2 million for the nine months ended September 30, 2023.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fair value of bitcoin</w:t>
      </w:r>
    </w:p>
    <w:p>
      <w:pPr>
        <w:spacing w:after="0" w:line="20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Gains on fair value of bitcoin totaled $22.3 million and $3.3 million for the nine months ended September 30, 2024, and 2023, respectively. The increase in the current period is primarily due to the increase in our bitcoin treasury compared to the prior period, as well as the increase in bitcoin price in the current period compared to the prior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Other income totaled $0.9 million for the nine months ended September 30, 2024, compared to $1.5 million of Other expense for the nine months ended September 30, 2023. The increase is primarily related to interest income on cash held in interest bearing accounts in the current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87"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recorded a provision for income taxes of $2.3 million as a result of projected income for the current year in the jurisdictions which we operate. For the nine months ended September 30, 2023, we recorded a benefit for income taxes of $0.4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used cash flows from operations of $58.5 million for the nine months ended September 30, 2024. As of September 30, 2024, we had cash and cash equivalents of $25.3 million, total stockholders’ equity of $672.0 million and an accumulated deficit of $198.9 million. We fund operations through a combination of at-the-market stock issuances and bitcoin sales.</w:t>
      </w:r>
    </w:p>
    <w:p>
      <w:pPr>
        <w:spacing w:after="0" w:line="135"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On September 21, 2022, we filed the Registration Statement with the SEC. In connection with the filing of the Registration Statement, we also entered into an at-the market offering agreement (the “Prior Sales Agreement”) with H.C. Wainwright &amp; Co., LLC (the “Prior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Effective August 1, 2023, the Company terminated the Prior Sales Agreement.</w:t>
      </w:r>
    </w:p>
    <w:p>
      <w:pPr>
        <w:spacing w:after="0" w:line="143" w:lineRule="exact"/>
        <w:rPr>
          <w:sz w:val="20"/>
          <w:szCs w:val="20"/>
          <w:color w:val="auto"/>
        </w:rPr>
      </w:pPr>
    </w:p>
    <w:p>
      <w:pPr>
        <w:ind w:right="220" w:firstLine="648"/>
        <w:spacing w:after="0" w:line="243" w:lineRule="auto"/>
        <w:rPr>
          <w:sz w:val="20"/>
          <w:szCs w:val="20"/>
          <w:color w:val="auto"/>
        </w:rPr>
      </w:pPr>
      <w:r>
        <w:rPr>
          <w:rFonts w:ascii="Times New Roman" w:cs="Times New Roman" w:eastAsia="Times New Roman" w:hAnsi="Times New Roman"/>
          <w:sz w:val="18"/>
          <w:szCs w:val="18"/>
          <w:color w:val="auto"/>
        </w:rPr>
        <w:t>On August 3, 2023, we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we may offer and sell pursuant to a prospectus supplement, from time to time through or to the Original Agents, shares of our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6, 2024, we entered into an amendment (the “Amendment”) to the Sales Agreement (as amended, the “Amended Sales Agreement”) by and among the Original Agents, Stifel, Nicolaus &amp; Company, Incorporated (“Stifel”) and Virtu Americas LLC (“Virtu”). The Amendment modifies the Sales Agreement to include Stifel and Virtu as additional agents under the Amended Sales Agreement. On March 6, 2024, we also filed an amendment to the Prospectus Supplement (i) increasing the dollar amount of shares available to be sold pursuant to the Amended Sales Agreement, to $296,560,661, which consists of $96,560,661 remaining as originally authorized under the Prospectus Supplement and an additional $200,000,000, and (ii) including Stifel, Nicolaus &amp; Company, Incorporated and Virtu Americas LLC as additional agents.</w:t>
      </w:r>
    </w:p>
    <w:p>
      <w:pPr>
        <w:spacing w:after="0" w:line="21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3, 2024, we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 For the quarter ended September 30, 2024, we received net proceeds on sales of 18.0 million shares of common stock under the Amended and Restated Sales Agreement of approximately $61.3 million (net of commissions and expenses) at an average net selling price of $3.41 per share.</w:t>
      </w:r>
    </w:p>
    <w:p>
      <w:pPr>
        <w:spacing w:after="0" w:line="14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established a secured line of credit up to $10.0 million (the “Credit Facility”). We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September 30, 2024 we have not drawn upon the Credit Facility. Subsequent to September 30, 2024, we expanded the Credit Facility to a $15.0 million limit, and established a term loan facility with Coinbase with a limit of $35.0 million and maximum period of one year (the “Term Loan Facility”). Coinbase has the right to terminate loans under the Term Loan Facility if the price of bitcoin falls below $40,000.</w:t>
      </w:r>
    </w:p>
    <w:p>
      <w:pPr>
        <w:spacing w:after="0" w:line="15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and our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64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(58,533)</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(46,325)</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37,802</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207,309</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r>
      <w:tr>
        <w:trPr>
          <w:trHeight w:val="27"/>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increased by $12.2 million to $58.5 million for the nine months ended September 30, 2024 from $46.3 million for the nine months ended September 30, 2023. We incurred a net loss of $$62.1 million for the nine months ended September 30, 2024, compared to a net loss of $$36.4 million for the nine months ended September 30, 2023, representing an increase of $25.8 million. Cash flows from operating activities was impacted by a $8.5 million increase in non-cash items, primarily driven by a $26.3 million increase in bitcoin received as payment from our mining pool operator, $32.5 million loss on our derivative asset, and a $19.1 million increase in gains on the fair value of bitcoin. Additionally, changes in assets and liabilities resulted in a decrease in cash used of $5.1 million between the nine months ended September 30, 2024 and 2023.</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increased by $233 million to $195.1 million of net cash used in investing activities for the nine months ended September 30, 2024 compared to $37.8 million of net cash provided by investing activities for the nine months ended September 30, 2023, primarily related to $130.7 million of deposits primarily related to new miner purchases, and a $25.6 million increase in contributions to equity investees related to capital expenditures and operations at the Bear and Chief facilities, partially offset by a $59.4 million increase in purchases of property and equipment related to building out the Black Pearl facility, and acquisition of the Barber Lake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increased by $207.4 million to $207.3 million net cash provided by financing activities for the nine months ended September 30, 2024 from $0.1 million net cash used in financing activities for the nine months ended September 30, 2023, primarily driven by $213.5 million increase in proceeds from the issuance of common stock during the nine months ended September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being a public company. Accordingly, we may in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w:t>
      </w:r>
      <w:r>
        <w:rPr>
          <w:rFonts w:ascii="Times New Roman" w:cs="Times New Roman" w:eastAsia="Times New Roman" w:hAnsi="Times New Roman"/>
          <w:sz w:val="18"/>
          <w:szCs w:val="18"/>
          <w:i w:val="1"/>
          <w:iCs w:val="1"/>
          <w:color w:val="auto"/>
        </w:rPr>
        <w:t>Risks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Industry and Operations—</w:t>
      </w:r>
      <w:r>
        <w:rPr>
          <w:rFonts w:ascii="Times New Roman" w:cs="Times New Roman" w:eastAsia="Times New Roman" w:hAnsi="Times New Roman"/>
          <w:sz w:val="18"/>
          <w:szCs w:val="18"/>
          <w:i w:val="1"/>
          <w:iCs w:val="1"/>
          <w:color w:val="231F20"/>
        </w:rPr>
        <w:t>We may</w:t>
      </w:r>
      <w:r>
        <w:rPr>
          <w:rFonts w:ascii="Times New Roman" w:cs="Times New Roman" w:eastAsia="Times New Roman" w:hAnsi="Times New Roman"/>
          <w:sz w:val="18"/>
          <w:szCs w:val="18"/>
          <w:i w:val="1"/>
          <w:iCs w:val="1"/>
          <w:color w:val="auto"/>
        </w:rPr>
        <w:t xml:space="preserve"> need to raise additional capital, which may not be available on terms acceptable to us, or at all</w:t>
      </w:r>
      <w:r>
        <w:rPr>
          <w:rFonts w:ascii="Times New Roman" w:cs="Times New Roman" w:eastAsia="Times New Roman" w:hAnsi="Times New Roman"/>
          <w:sz w:val="18"/>
          <w:szCs w:val="18"/>
          <w:color w:val="auto"/>
        </w:rPr>
        <w:t>” in our 2023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December 17, 2021, we entered into a lease agreement for executive office space, with an effective term that commenced on February 1, 2022 and monthly rent payments of approximately $0.1 million. The initial lease term was for a period of five years and four months. During the second quarter of 2024, we entered into an amendment to the lease agreement commencing on May 15, 2024, to increase the leased office space and extend the term through May 2029. Monthly rent payments associated with the amended lease are approximately $0.2 million.</w:t>
      </w:r>
    </w:p>
    <w:p>
      <w:pPr>
        <w:spacing w:after="0" w:line="139"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unaudited condensed consolidated balance sheet.</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unaudited condensed consolidated financial statements.</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7"/>
          <w:szCs w:val="17"/>
          <w:color w:val="auto"/>
        </w:rPr>
        <w:t>We are providing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and (vi) the non-cash change in fair value of warrant liability. These supplemental financial measures are not measurements of financial performance under accounting principles generally accepted in the United Stated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w:t>
      </w:r>
    </w:p>
    <w:p>
      <w:pPr>
        <w:spacing w:after="0" w:line="1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 is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6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to the most directly comparable GAAP measure for the periods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34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12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4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4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(86,754)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(62,145)</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(36,372)</w:t>
            </w:r>
          </w:p>
        </w:tc>
      </w:tr>
      <w:tr>
        <w:trPr>
          <w:trHeight w:val="27"/>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r>
      <w:tr>
        <w:trPr>
          <w:trHeight w:val="243"/>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r>
      <w:tr>
        <w:trPr>
          <w:trHeight w:val="27"/>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42,284</w:t>
            </w:r>
          </w:p>
        </w:tc>
      </w:tr>
      <w:tr>
        <w:trPr>
          <w:trHeight w:val="243"/>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43"/>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(loss) earnings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12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3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per diluted share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 nonrecurring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10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 earnings per diluted share</w:t>
            </w: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2023 Form 10-K. You should read the accompanying unaudited condensed consolidated financial statements in conjunction with our audited consolidated financial statements and accompanying notes in our 2023 Form 10-K. There have been no material changes in the information disclosed in the notes to our audited consolidated financial statements included in our 2023 Form 10-K, except the change in estimated useful life of our miners from five years to three years, as described in Note 5. Property and Equipment of Item 1. Financial Statements in this Quarterly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the last business day of the second quarter in 2024, the aggregate market value of our shares of common stock held by non-affiliate stockholders exceeded $700 million. As a result, as of December 31, 2024, we will be considered a “large accelerated filer” as defined in Rule 12b-2 under the Exchange Act, and will cease to be an emerging growth company. Due to loss of emerging growth company status, we will no longer be exempt from the auditor attestation requirements of Section 404(b) of the Sarbanes-Oxley Act, and our independent registered public accounting firm will evaluate and report on the effectiveness of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under this item.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September 30, 2024,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September 30,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noted in the 2023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Since the material weakness was identified, management began implementing and has continued to implement and refine measures designed to ensure that control deficiencies contributing to the material weakness are remediated, such that these controls are designed, implemented, and operating effectively. Our plan includes the following:</w:t>
      </w:r>
    </w:p>
    <w:p>
      <w:pPr>
        <w:spacing w:after="0" w:line="183" w:lineRule="exact"/>
        <w:rPr>
          <w:sz w:val="20"/>
          <w:szCs w:val="20"/>
          <w:color w:val="auto"/>
        </w:rPr>
      </w:pPr>
    </w:p>
    <w:p>
      <w:pPr>
        <w:ind w:left="1300" w:right="180" w:hanging="942"/>
        <w:spacing w:after="0" w:line="282"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2024 in key financial reporting and information technology areas, including hiring additional employees.</w:t>
      </w:r>
    </w:p>
    <w:p>
      <w:pPr>
        <w:spacing w:after="0" w:line="53" w:lineRule="exact"/>
        <w:rPr>
          <w:rFonts w:ascii="Times New Roman" w:cs="Times New Roman" w:eastAsia="Times New Roman" w:hAnsi="Times New Roman"/>
          <w:sz w:val="18"/>
          <w:szCs w:val="18"/>
          <w:color w:val="auto"/>
        </w:rPr>
      </w:pPr>
    </w:p>
    <w:p>
      <w:pPr>
        <w:jc w:val="both"/>
        <w:ind w:left="1300" w:right="220" w:hanging="942"/>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7" w:lineRule="exact"/>
        <w:rPr>
          <w:rFonts w:ascii="Times New Roman" w:cs="Times New Roman" w:eastAsia="Times New Roman" w:hAnsi="Times New Roman"/>
          <w:sz w:val="18"/>
          <w:szCs w:val="18"/>
          <w:color w:val="auto"/>
        </w:rPr>
      </w:pPr>
    </w:p>
    <w:p>
      <w:pPr>
        <w:ind w:left="1300" w:right="400" w:hanging="942"/>
        <w:spacing w:after="0" w:line="282"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3" w:lineRule="exact"/>
        <w:rPr>
          <w:rFonts w:ascii="Times New Roman" w:cs="Times New Roman" w:eastAsia="Times New Roman" w:hAnsi="Times New Roman"/>
          <w:sz w:val="18"/>
          <w:szCs w:val="18"/>
          <w:color w:val="auto"/>
        </w:rPr>
      </w:pPr>
    </w:p>
    <w:p>
      <w:pPr>
        <w:ind w:left="1300" w:right="20" w:hanging="942"/>
        <w:spacing w:after="0" w:line="261"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that are complete and accurate.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1" w:name="page42"/>
    <w:bookmarkEnd w:id="41"/>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40" w:firstLine="1134"/>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2023 Form 10-K, which is incorporated herein by reference. There have been no material changes to the risk factors previously disclosed in our 2023 Form 10-K, except for the risk factor noted below.</w:t>
      </w:r>
    </w:p>
    <w:p>
      <w:pPr>
        <w:spacing w:after="0" w:line="1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no longer qualify as an “emerging growth company” or a “smaller reporting company” as of December 31, 2024 and, as a result, we will no longer be able to avail ourselves of certain reduced reporting requirements applicable to emerging growth companies or smaller reporting companies, subject to applicable transition relief.</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and we have taken advantage of certain exemptions from various reporting requirements that are applicable to other public companies that are not “emerging growth companies,” including the auditor attestation requirements of Section 404, compliance with requirements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Because the market value of our common stock held by non-affiliates exceeded $700 million as of June 30, 2024, we will be deemed a large accelerated filer under the Exchange Act and will lose our status as an “emerging growth company” as of December 31, 2024. As a result, subject to certain grace periods, we will be required to:</w:t>
      </w:r>
    </w:p>
    <w:p>
      <w:pPr>
        <w:spacing w:after="0" w:line="68" w:lineRule="exact"/>
        <w:rPr>
          <w:sz w:val="20"/>
          <w:szCs w:val="20"/>
          <w:color w:val="auto"/>
        </w:rPr>
      </w:pPr>
    </w:p>
    <w:p>
      <w:pPr>
        <w:ind w:left="1300" w:right="100" w:hanging="942"/>
        <w:spacing w:after="0" w:line="282"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registered public accounting firm to provide an attestation report on our internal controls over financial reporting pursuant to Section 404(b) of the Sarbanes-Oxley Act of 2002;</w:t>
      </w:r>
    </w:p>
    <w:p>
      <w:pPr>
        <w:spacing w:after="0" w:line="53" w:lineRule="exact"/>
        <w:rPr>
          <w:rFonts w:ascii="Times New Roman" w:cs="Times New Roman" w:eastAsia="Times New Roman" w:hAnsi="Times New Roman"/>
          <w:sz w:val="18"/>
          <w:szCs w:val="18"/>
          <w:color w:val="auto"/>
        </w:rPr>
      </w:pPr>
    </w:p>
    <w:p>
      <w:pPr>
        <w:ind w:left="1300" w:hanging="94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stockholder advisory votes; and</w:t>
      </w:r>
    </w:p>
    <w:p>
      <w:pPr>
        <w:spacing w:after="0" w:line="117" w:lineRule="exact"/>
        <w:rPr>
          <w:rFonts w:ascii="Times New Roman" w:cs="Times New Roman" w:eastAsia="Times New Roman" w:hAnsi="Times New Roman"/>
          <w:sz w:val="18"/>
          <w:szCs w:val="18"/>
          <w:color w:val="auto"/>
        </w:rPr>
      </w:pPr>
    </w:p>
    <w:p>
      <w:pPr>
        <w:ind w:left="1300" w:right="60" w:hanging="942"/>
        <w:spacing w:after="0" w:line="266"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spacing w:after="0" w:line="1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our loss of “emerging growth company” status, it is possible that investors will find our common stock less attractive in light of the fact that we have relied on certain of these exemptions. If some investors find our common stock less attractive as a result, there may be a less active trading market for our common stock and our share price may be more volatile. In addition, any failure to comply with these additional requirements in a timely manner, or at all, could have an adverse effect on our business and results of operations and could cause a decline in the price of our common stock.</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1640" w:right="5140" w:hanging="498"/>
        <w:spacing w:after="0" w:line="453" w:lineRule="auto"/>
        <w:tabs>
          <w:tab w:leader="none" w:pos="13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640" w:right="1600" w:hanging="498"/>
        <w:spacing w:after="0" w:line="461" w:lineRule="auto"/>
        <w:tabs>
          <w:tab w:leader="none" w:pos="13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under the Exchange Act) adopted, terminated or modified a “Rule 10b5-1 trading arrangement” or “non-Rule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37"/>
        </w:trPr>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04"/>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gridSpan w:val="16"/>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8"/>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0"/>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Cipher Mining Technologies Inc.</w:t>
              </w:r>
            </w:hyperlink>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Second Amended and Restated Certificate of Incorporation of Cipher</w:t>
              </w:r>
            </w:hyperlink>
          </w:p>
        </w:tc>
        <w:tc>
          <w:tcPr>
            <w:tcW w:w="240" w:type="dxa"/>
            <w:vAlign w:val="bottom"/>
            <w:gridSpan w:val="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0"/>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Mining 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Amended and Restated Bylaws of Cipher Mining Inc.</w:t>
              </w:r>
            </w:hyperlink>
          </w:p>
        </w:tc>
        <w:tc>
          <w:tcPr>
            <w:tcW w:w="1240" w:type="dxa"/>
            <w:vAlign w:val="bottom"/>
            <w:gridSpan w:val="13"/>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Specimen Warrant Certificate of Good Works Acquisition Corp.</w:t>
              </w:r>
            </w:hyperlink>
          </w:p>
        </w:tc>
        <w:tc>
          <w:tcPr>
            <w:tcW w:w="580" w:type="dxa"/>
            <w:vAlign w:val="bottom"/>
            <w:gridSpan w:val="9"/>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333-248333</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0"/>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Warrant Agreement, dated as of October 19, 2020,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10/28/20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Continental Stock Transfer &amp; Trust Company and Good Works</w:t>
              </w:r>
            </w:hyperlink>
          </w:p>
        </w:tc>
        <w:tc>
          <w:tcPr>
            <w:tcW w:w="42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Acquisition Corp.</w:t>
              </w:r>
            </w:hyperlink>
          </w:p>
        </w:tc>
        <w:tc>
          <w:tcPr>
            <w:tcW w:w="4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Amendment Agreement to the Future Sales and Purchase Agreement,</w:t>
              </w:r>
            </w:hyperlink>
          </w:p>
        </w:tc>
        <w:tc>
          <w:tcPr>
            <w:tcW w:w="220" w:type="dxa"/>
            <w:vAlign w:val="bottom"/>
            <w:gridSpan w:val="5"/>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8/13/24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0"/>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dated July 10, 2024, by and between Cipher Mining Infrastructure LLC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and Bitmain Technologies Delaware Limited</w:t>
              </w:r>
            </w:hyperlink>
          </w:p>
        </w:tc>
        <w:tc>
          <w:tcPr>
            <w:tcW w:w="1720" w:type="dxa"/>
            <w:vAlign w:val="bottom"/>
            <w:tcBorders>
              <w:top w:val="single" w:sz="8" w:color="0000FF"/>
            </w:tcBorders>
            <w:gridSpan w:val="12"/>
          </w:tcPr>
          <w:p>
            <w:pPr>
              <w:spacing w:after="0"/>
              <w:rPr>
                <w:sz w:val="14"/>
                <w:szCs w:val="14"/>
                <w:color w:val="auto"/>
              </w:rPr>
            </w:pP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5"/>
          </w:tcPr>
          <w:p>
            <w:pPr>
              <w:spacing w:after="0"/>
              <w:rPr>
                <w:sz w:val="15"/>
                <w:szCs w:val="15"/>
                <w:color w:val="auto"/>
              </w:rPr>
            </w:pPr>
          </w:p>
        </w:tc>
        <w:tc>
          <w:tcPr>
            <w:tcW w:w="8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4"/>
          </w:tcPr>
          <w:p>
            <w:pPr>
              <w:spacing w:after="0"/>
              <w:rPr>
                <w:sz w:val="15"/>
                <w:szCs w:val="15"/>
                <w:color w:val="auto"/>
              </w:rPr>
            </w:pPr>
          </w:p>
        </w:tc>
        <w:tc>
          <w:tcPr>
            <w:tcW w:w="86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60" w:type="dxa"/>
            <w:vAlign w:val="bottom"/>
            <w:gridSpan w:val="1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gridSpan w:val="1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1"/>
                <w:szCs w:val="21"/>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left="180" w:right="140" w:hanging="172"/>
        <w:spacing w:after="0" w:line="260" w:lineRule="auto"/>
        <w:tabs>
          <w:tab w:leader="none" w:pos="1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320" w:top="1292" w:right="3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1140" w:hanging="113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5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260" w:hanging="1118"/>
        <w:spacing w:after="0"/>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260" w:hanging="1118"/>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0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5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87" Type="http://schemas.openxmlformats.org/officeDocument/2006/relationships/hyperlink" Target="https://www.sec.gov/Archives/edgar/data/0001819989/000121390021013594/ea136931ex2-1_goodworks.htm" TargetMode="External"/><Relationship Id="rId88" Type="http://schemas.openxmlformats.org/officeDocument/2006/relationships/hyperlink" Target="https://www.sec.gov/Archives/edgar/data/1819989/000119312521260900/d212090dex31.htm" TargetMode="External"/><Relationship Id="rId89" Type="http://schemas.openxmlformats.org/officeDocument/2006/relationships/hyperlink" Target="https://www.sec.gov/Archives/edgar/data/1819989/000119312521260900/d212090dex32.htm" TargetMode="External"/><Relationship Id="rId90" Type="http://schemas.openxmlformats.org/officeDocument/2006/relationships/hyperlink" Target="https://www.sec.gov/Archives/edgar/data/1819989/000121390020030737/ea128022ex4-3_goodworks.htm" TargetMode="External"/><Relationship Id="rId91" Type="http://schemas.openxmlformats.org/officeDocument/2006/relationships/hyperlink" Target="https://www.sec.gov/Archives/edgar/data/1819989/000121390020033703/ea128955ex4-1_goodworksacq.htm" TargetMode="External"/><Relationship Id="rId92" Type="http://schemas.openxmlformats.org/officeDocument/2006/relationships/hyperlink" Target="https://www.sec.gov/Archives/edgar/data/1819989/000095017024095795/cifr-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2024-10-31T08:21:11Z</dcterms:created>
  <dcterms:modified xsi:type="dcterms:W3CDTF">2024-10-31T08:21:11Z</dcterms:modified>
</cp:coreProperties>
</file>