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1500212.xml.htm"/>
      <w:bookmarkStart w:id="1" w:name="kswkform4a_179150021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Mumford Gregory J.D.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CIPHER DIGITAL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VANDERBILT AVENUE, FLOOR 54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Cipher Digital Inc.</w:t>
              </w:r>
            </w:hyperlink>
            <w:r>
              <w:rPr/>
              <w:t xml:space="preserve"> [ </w:t>
            </w:r>
            <w:r>
              <w:rPr>
                <w:rFonts w:ascii="Times;serif" w:hAnsi="Times;serif"/>
                <w:color w:val="0000FF"/>
                <w:sz w:val="24"/>
                <w:shd w:fill="FFFFFF" w:val="clear"/>
              </w:rPr>
              <w:t>CIFR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10/02/2026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17,109</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37,316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6,895</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15.83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30,421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17,109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528,981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equal quarterly installments over a three-year period, on March 31, June 30, September 30 and December 15 of each year, subject to the Reporting Person's continuous service on the applicable vesting date. The first vesting date occurred on March 31,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amended to include shares withheld to satisfy tax withholding obligations.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Iwaschuk, Attorney-in-Fact for Gregory Mumford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0886" TargetMode="External"/><Relationship Id="rId5" Type="http://schemas.openxmlformats.org/officeDocument/2006/relationships/hyperlink" Target="http://www.sec.gov/cgi-bin/browse-edgar?action=getcompany&amp;CIK=000181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678</Words>
  <Characters>3660</Characters>
  <CharactersWithSpaces>4247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