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868680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894715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6"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7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94"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r>
      <w:tr>
        <w:trPr>
          <w:trHeight w:val="182"/>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9"/>
              </w:rPr>
              <w:t>1 Vanderbilt Avenue, Floor 54,</w:t>
            </w:r>
          </w:p>
        </w:tc>
        <w:tc>
          <w:tcPr>
            <w:tcW w:w="2960" w:type="dxa"/>
            <w:vAlign w:val="bottom"/>
          </w:tcPr>
          <w:p>
            <w:pPr>
              <w:spacing w:after="0"/>
              <w:rPr>
                <w:sz w:val="21"/>
                <w:szCs w:val="21"/>
                <w:color w:val="auto"/>
              </w:rPr>
            </w:pPr>
          </w:p>
        </w:tc>
      </w:tr>
      <w:tr>
        <w:trPr>
          <w:trHeight w:val="238"/>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0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N/A</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8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tcPr>
          <w:p>
            <w:pPr>
              <w:spacing w:after="0"/>
              <w:rPr>
                <w:sz w:val="15"/>
                <w:szCs w:val="15"/>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17"/>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CIFR</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33"/>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212"/>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CIFRW</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0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x</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2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208"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296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October 31, 2025, the registrant had 395,092,054 shares of Common Stock, $0.001 par value per share, outstanding.</w:t>
      </w:r>
    </w:p>
    <w:p>
      <w:pPr>
        <w:sectPr>
          <w:pgSz w:w="11900" w:h="17037" w:orient="portrait"/>
          <w:cols w:equalWidth="0" w:num="1">
            <w:col w:w="11240"/>
          </w:cols>
          <w:pgMar w:left="320" w:top="1440" w:right="339" w:bottom="0" w:gutter="0" w:footer="0" w:header="0"/>
        </w:sectPr>
      </w:pPr>
    </w:p>
    <w:bookmarkStart w:id="1" w:name="page2"/>
    <w:bookmarkEnd w:id="1"/>
    <w:p>
      <w:pPr>
        <w:spacing w:after="0" w:line="4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796290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132080</wp:posOffset>
            </wp:positionV>
            <wp:extent cx="7063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157480</wp:posOffset>
            </wp:positionV>
            <wp:extent cx="7063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1520" w:type="dxa"/>
            <w:vAlign w:val="bottom"/>
            <w:gridSpan w:val="2"/>
            <w:vMerge w:val="continue"/>
          </w:tcPr>
          <w:p>
            <w:pPr>
              <w:spacing w:after="0"/>
              <w:rPr>
                <w:sz w:val="24"/>
                <w:szCs w:val="24"/>
                <w:color w:val="auto"/>
              </w:rPr>
            </w:pPr>
          </w:p>
        </w:tc>
        <w:tc>
          <w:tcPr>
            <w:tcW w:w="2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8"/>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7"/>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Stockholders' Equity (Deficit)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80" w:type="dxa"/>
            <w:vAlign w:val="bottom"/>
            <w:tcBorders>
              <w:top w:val="single" w:sz="8" w:color="0000FF"/>
            </w:tcBorders>
            <w:gridSpan w:val="4"/>
          </w:tcPr>
          <w:p>
            <w:pPr>
              <w:spacing w:after="0"/>
              <w:rPr>
                <w:sz w:val="21"/>
                <w:szCs w:val="21"/>
                <w:color w:val="auto"/>
              </w:rPr>
            </w:pPr>
          </w:p>
        </w:tc>
        <w:tc>
          <w:tcPr>
            <w:tcW w:w="2920" w:type="dxa"/>
            <w:vAlign w:val="bottom"/>
            <w:gridSpan w:val="2"/>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4"/>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20" w:type="dxa"/>
            <w:vAlign w:val="bottom"/>
            <w:gridSpan w:val="2"/>
            <w:vMerge w:val="continue"/>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684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380" w:type="dxa"/>
            <w:vAlign w:val="bottom"/>
            <w:gridSpan w:val="5"/>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0" w:type="dxa"/>
            <w:vAlign w:val="bottom"/>
            <w:gridSpan w:val="10"/>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1"/>
                <w:szCs w:val="21"/>
                <w:color w:val="auto"/>
              </w:rPr>
            </w:pPr>
          </w:p>
        </w:tc>
        <w:tc>
          <w:tcPr>
            <w:tcW w:w="6960" w:type="dxa"/>
            <w:vAlign w:val="bottom"/>
            <w:gridSpan w:val="13"/>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about our beliefs and expectations regarding our future results of operations and financial position, planned business model and strategy, our bitcoin mining and high-performance compute (“HPC”) data center development, timing and likelihood of success, capacity, functionality and timing of operation of data centers, expectations regarding the operation of data centers, potential strategic initiatives, such as joint ventures and partnerships,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89" w:lineRule="exact"/>
        <w:rPr>
          <w:sz w:val="20"/>
          <w:szCs w:val="20"/>
          <w:color w:val="auto"/>
        </w:rPr>
      </w:pPr>
    </w:p>
    <w:p>
      <w:pPr>
        <w:ind w:left="1140" w:right="5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evolving industry and have an evolving business model and strategy, which includes our increasing focus on diversification into constructing and operating data centers for HPC companies, as well as bitcoin mining.</w:t>
      </w:r>
    </w:p>
    <w:p>
      <w:pPr>
        <w:spacing w:after="0" w:line="53" w:lineRule="exact"/>
        <w:rPr>
          <w:rFonts w:ascii="Times New Roman" w:cs="Times New Roman" w:eastAsia="Times New Roman" w:hAnsi="Times New Roman"/>
          <w:sz w:val="18"/>
          <w:szCs w:val="18"/>
          <w:color w:val="auto"/>
        </w:rPr>
      </w:pPr>
    </w:p>
    <w:p>
      <w:pPr>
        <w:ind w:left="1140" w:right="4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 we generate from leasing facilities will depend on the tenant’s ability to perform its lease obligations, and any payment default or insolvency of a tenant could adversely affect our business.</w:t>
      </w:r>
    </w:p>
    <w:p>
      <w:pPr>
        <w:spacing w:after="0" w:line="53" w:lineRule="exact"/>
        <w:rPr>
          <w:rFonts w:ascii="Times New Roman" w:cs="Times New Roman" w:eastAsia="Times New Roman" w:hAnsi="Times New Roman"/>
          <w:sz w:val="18"/>
          <w:szCs w:val="18"/>
          <w:color w:val="auto"/>
        </w:rPr>
      </w:pPr>
    </w:p>
    <w:p>
      <w:pPr>
        <w:ind w:left="1140" w:right="120" w:hanging="484"/>
        <w:spacing w:after="0" w:line="312" w:lineRule="auto"/>
        <w:tabs>
          <w:tab w:leader="none" w:pos="11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mitigate Fluidstack’s credit risk depends on Google’s performance under the Recognition Agreement, and there is no assurance that Google will elect remedies that are favorable to our business in the event of Fluidstack’s default under the Fluidstack Lease.</w:t>
      </w:r>
    </w:p>
    <w:p>
      <w:pPr>
        <w:spacing w:after="0" w:line="31" w:lineRule="exact"/>
        <w:rPr>
          <w:rFonts w:ascii="Times New Roman" w:cs="Times New Roman" w:eastAsia="Times New Roman" w:hAnsi="Times New Roman"/>
          <w:sz w:val="17"/>
          <w:szCs w:val="17"/>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hashrate, we may be unable to compete, and our results of operations could suffer.</w:t>
      </w:r>
    </w:p>
    <w:p>
      <w:pPr>
        <w:spacing w:after="0" w:line="117" w:lineRule="exact"/>
        <w:rPr>
          <w:rFonts w:ascii="Times New Roman" w:cs="Times New Roman" w:eastAsia="Times New Roman" w:hAnsi="Times New Roman"/>
          <w:sz w:val="18"/>
          <w:szCs w:val="18"/>
          <w:color w:val="auto"/>
        </w:rPr>
      </w:pPr>
    </w:p>
    <w:p>
      <w:pPr>
        <w:ind w:left="1140" w:right="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6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digital asset markets, including but not limited to, financing risk, risk of increased losses or impairments in our investments or other assets, risks of legal proceedings and government investigations, and risks from price declines or price volatility of digital assets.</w:t>
      </w:r>
    </w:p>
    <w:p>
      <w:pPr>
        <w:spacing w:after="0" w:line="67" w:lineRule="exact"/>
        <w:rPr>
          <w:rFonts w:ascii="Times New Roman" w:cs="Times New Roman" w:eastAsia="Times New Roman" w:hAnsi="Times New Roman"/>
          <w:sz w:val="18"/>
          <w:szCs w:val="18"/>
          <w:color w:val="auto"/>
        </w:rPr>
      </w:pPr>
    </w:p>
    <w:p>
      <w:pPr>
        <w:ind w:left="1140" w:right="1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trade restrictions, tariffs, or similar events could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140" w:right="140" w:hanging="484"/>
        <w:spacing w:after="0" w:line="261"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miners and have a negative environmental impact. Government regulators are exploring means of managing grid stability and some proposed solutions may potentially restrict the ability of electricity suppliers to provide electricity to mining operations, such as ours, increase taxes on the purchase of electricity used to mine bitcoin, or even fully or partially ban mining operations.</w:t>
      </w:r>
    </w:p>
    <w:p>
      <w:pPr>
        <w:spacing w:after="0" w:line="71" w:lineRule="exact"/>
        <w:rPr>
          <w:rFonts w:ascii="Times New Roman" w:cs="Times New Roman" w:eastAsia="Times New Roman" w:hAnsi="Times New Roman"/>
          <w:sz w:val="18"/>
          <w:szCs w:val="18"/>
          <w:color w:val="auto"/>
        </w:rPr>
      </w:pPr>
    </w:p>
    <w:p>
      <w:pPr>
        <w:ind w:left="1140" w:right="1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geographically concentrated and, thus, are particularly exposed to the performance of our data centers located in Texas and changes in the regulatory environment, market conditions and natural disasters in Texas.</w:t>
      </w:r>
    </w:p>
    <w:p>
      <w:pPr>
        <w:spacing w:after="0" w:line="53" w:lineRule="exact"/>
        <w:rPr>
          <w:rFonts w:ascii="Times New Roman" w:cs="Times New Roman" w:eastAsia="Times New Roman" w:hAnsi="Times New Roman"/>
          <w:sz w:val="18"/>
          <w:szCs w:val="18"/>
          <w:color w:val="auto"/>
        </w:rPr>
      </w:pPr>
    </w:p>
    <w:p>
      <w:pPr>
        <w:jc w:val="both"/>
        <w:ind w:left="1140" w:right="12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electric grid operators, electric utility providers and manufacturers of certain critical and specialized equipment, and rely on components and raw materials that may be subject to price fluctuations or shortages, including application-specific integrated circuit (“ASIC”) chips that have been subject to periods of significant shortage and high innovation pace.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 w:name="page5"/>
    <w:bookmarkEnd w:id="4"/>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17" w:lineRule="exact"/>
        <w:rPr>
          <w:rFonts w:ascii="Times New Roman" w:cs="Times New Roman" w:eastAsia="Times New Roman" w:hAnsi="Times New Roman"/>
          <w:sz w:val="18"/>
          <w:szCs w:val="18"/>
          <w:color w:val="auto"/>
        </w:rPr>
      </w:pPr>
    </w:p>
    <w:p>
      <w:pPr>
        <w:ind w:left="1140" w:right="16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6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 and other necessary hardware are subject to malfunction, technological obsolescence and physical degradation.</w:t>
      </w:r>
    </w:p>
    <w:p>
      <w:pPr>
        <w:spacing w:after="0" w:line="117"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providers fail to protect confidential information and/or experience cybersecurity incidents, such as cyber-attacks, data breaches, hacking attacks or malware, there may be disruptions to our operations, triggering significant liability for us, which could harm our operating results and financial condition, and damage our reputation or otherwise materially harm our business.</w:t>
      </w:r>
    </w:p>
    <w:p>
      <w:pPr>
        <w:spacing w:after="0" w:line="67" w:lineRule="exact"/>
        <w:rPr>
          <w:rFonts w:ascii="Times New Roman" w:cs="Times New Roman" w:eastAsia="Times New Roman" w:hAnsi="Times New Roman"/>
          <w:sz w:val="18"/>
          <w:szCs w:val="18"/>
          <w:color w:val="auto"/>
        </w:rPr>
      </w:pPr>
    </w:p>
    <w:p>
      <w:pPr>
        <w:ind w:left="1140" w:right="52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bitcoin has historically been subject to wide swings, and our operating results may be adversely affected by our hedging activity.</w:t>
      </w:r>
    </w:p>
    <w:p>
      <w:pPr>
        <w:spacing w:after="0" w:line="53" w:lineRule="exact"/>
        <w:rPr>
          <w:rFonts w:ascii="Times New Roman" w:cs="Times New Roman" w:eastAsia="Times New Roman" w:hAnsi="Times New Roman"/>
          <w:sz w:val="18"/>
          <w:szCs w:val="18"/>
          <w:color w:val="auto"/>
        </w:rPr>
      </w:pPr>
    </w:p>
    <w:p>
      <w:pPr>
        <w:ind w:left="1140" w:right="16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bitcoin in a manner that adversely affects our business, prospects or operations.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sources of revenue are dependent on bitcoin and the Bitcoin ecosystem, which can be highly volatile.</w:t>
      </w:r>
    </w:p>
    <w:p>
      <w:pPr>
        <w:spacing w:after="0" w:line="117" w:lineRule="exact"/>
        <w:rPr>
          <w:rFonts w:ascii="Times New Roman" w:cs="Times New Roman" w:eastAsia="Times New Roman" w:hAnsi="Times New Roman"/>
          <w:sz w:val="18"/>
          <w:szCs w:val="18"/>
          <w:color w:val="auto"/>
        </w:rPr>
      </w:pPr>
    </w:p>
    <w:p>
      <w:pPr>
        <w:ind w:left="1140" w:right="16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use of emerging technologies like artificial intelligence, machine learning and generative artificial intelligence could lead to unintended consequences and result in reputational harm and litigation.</w:t>
      </w:r>
    </w:p>
    <w:p>
      <w:pPr>
        <w:spacing w:after="0" w:line="53" w:lineRule="exact"/>
        <w:rPr>
          <w:rFonts w:ascii="Times New Roman" w:cs="Times New Roman" w:eastAsia="Times New Roman" w:hAnsi="Times New Roman"/>
          <w:sz w:val="18"/>
          <w:szCs w:val="18"/>
          <w:color w:val="auto"/>
        </w:rPr>
      </w:pPr>
    </w:p>
    <w:p>
      <w:pPr>
        <w:ind w:left="114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67"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important factors discussed in Part I, Item 1A, “Risk Factors” in our Annual Report on Form 10-K for the fiscal year ended December 31, 2024 filed with the Securities and Exchange Commission (the “SEC”) on February 25, 2025 (the “2024 Form 10-K”), as updated in our subsequent Quarterly Reports on Form 10-Q and any additional risks as described in our other reports filed with the SEC.</w:t>
      </w:r>
    </w:p>
    <w:p>
      <w:pPr>
        <w:spacing w:after="0" w:line="1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Quarterly Report.</w:t>
      </w:r>
    </w:p>
    <w:p>
      <w:pPr>
        <w:spacing w:after="0" w:line="121" w:lineRule="exact"/>
        <w:rPr>
          <w:sz w:val="20"/>
          <w:szCs w:val="20"/>
          <w:color w:val="auto"/>
        </w:rPr>
      </w:pPr>
    </w:p>
    <w:p>
      <w:pPr>
        <w:jc w:val="both"/>
        <w:ind w:right="80"/>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7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6" w:name="page7"/>
    <w:bookmarkEnd w:id="6"/>
    <w:p>
      <w:pPr>
        <w:jc w:val="right"/>
        <w:ind w:right="29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2"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5"/>
        </w:trPr>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Bitcoin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92,651</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 for bitcoin collateral</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32,248</w:t>
            </w:r>
          </w:p>
        </w:tc>
      </w:tr>
      <w:tr>
        <w:trPr>
          <w:trHeight w:val="24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asset</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31,648</w:t>
            </w:r>
          </w:p>
        </w:tc>
      </w:tr>
      <w:tr>
        <w:trPr>
          <w:trHeight w:val="233"/>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168,205</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14,392</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480,865</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38,872</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53,908</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54,022</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12,561</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w:t>
            </w:r>
          </w:p>
        </w:tc>
      </w:tr>
      <w:tr>
        <w:trPr>
          <w:trHeight w:val="24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552,758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2,840,866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22,699</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69,824</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32,330</w:t>
            </w:r>
          </w:p>
        </w:tc>
      </w:tr>
      <w:tr>
        <w:trPr>
          <w:trHeight w:val="24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131,778</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liability</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20,282</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9,833</w:t>
            </w:r>
          </w:p>
        </w:tc>
      </w:tr>
      <w:tr>
        <w:trPr>
          <w:trHeight w:val="24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r>
      <w:tr>
        <w:trPr>
          <w:trHeight w:val="236"/>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2,057,671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173,493</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13</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 2025, and December 31, 2024</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395,488,396 and 361,432,449 shares issued</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89"/>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 of September 30, 2025 and December 31, 2024, respectively, and 393,602,553 and 350,783,817 shares</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20"/>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September 30, 2025, and December 31, 2024, respectively</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863,015</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(181,412)</w:t>
            </w:r>
          </w:p>
        </w:tc>
      </w:tr>
      <w:tr>
        <w:trPr>
          <w:trHeight w:val="22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par, 1,885,843 and 10,648,632 shares at September 30, 2025 and December 31, 2024,</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6"/>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783,195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681,953</w:t>
            </w:r>
          </w:p>
        </w:tc>
      </w:tr>
      <w:tr>
        <w:trPr>
          <w:trHeight w:val="268"/>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2,840,866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120"/>
          </w:cols>
          <w:pgMar w:left="380" w:top="116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63" w:right="3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9"/>
                <w:szCs w:val="19"/>
                <w:color w:val="auto"/>
              </w:rPr>
            </w:pPr>
          </w:p>
        </w:tc>
        <w:tc>
          <w:tcPr>
            <w:tcW w:w="306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4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24,102</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109,047</w:t>
            </w:r>
          </w:p>
        </w:tc>
      </w:tr>
      <w:tr>
        <w:trPr>
          <w:trHeight w:val="21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(15,063)</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(44,164)</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(44,058)</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(66,131)</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power purchase agreement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(19,181)</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income of equity investees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fair value of bitcoin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20,245</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25,114</w:t>
            </w:r>
          </w:p>
        </w:tc>
      </w:tr>
      <w:tr>
        <w:trPr>
          <w:trHeight w:val="237"/>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gains (losses)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(109,324)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(115,496)</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(285,179)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(169,826)</w:t>
            </w:r>
          </w:p>
        </w:tc>
      </w:tr>
      <w:tr>
        <w:trPr>
          <w:trHeight w:val="237"/>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(91,394)</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(120,948)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(60,779)</w:t>
            </w:r>
          </w:p>
        </w:tc>
      </w:tr>
      <w:tr>
        <w:trPr>
          <w:trHeight w:val="229"/>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4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r>
      <w:tr>
        <w:trPr>
          <w:trHeight w:val="237"/>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income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34,031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r>
      <w:tr>
        <w:trPr>
          <w:trHeight w:val="24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before taxes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(59,855)</w:t>
            </w:r>
          </w:p>
        </w:tc>
      </w:tr>
      <w:tr>
        <w:trPr>
          <w:trHeight w:val="23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income tax benefit (expense)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4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r>
      <w:tr>
        <w:trPr>
          <w:trHeight w:val="236"/>
        </w:trPr>
        <w:tc>
          <w:tcPr>
            <w:tcW w:w="4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w:t>
            </w:r>
          </w:p>
        </w:tc>
      </w:tr>
      <w:tr>
        <w:trPr>
          <w:trHeight w:val="268"/>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(86,754)</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5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393,191,623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332,680,037</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376,372,526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314,820,110</w:t>
            </w:r>
          </w:p>
        </w:tc>
      </w:tr>
      <w:tr>
        <w:trPr>
          <w:trHeight w:val="224"/>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393,191,623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332,680,037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376,372,526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314,820,110</w:t>
            </w:r>
          </w:p>
        </w:tc>
      </w:tr>
    </w:tbl>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560" w:type="dxa"/>
            <w:vAlign w:val="bottom"/>
          </w:tcPr>
          <w:p>
            <w:pPr>
              <w:spacing w:after="0"/>
              <w:rPr>
                <w:sz w:val="20"/>
                <w:szCs w:val="20"/>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388,123,588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1,014,685</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(266,168)</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(1,365,042)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748,904</w:t>
            </w:r>
          </w:p>
        </w:tc>
      </w:tr>
      <w:tr>
        <w:trPr>
          <w:trHeight w:val="202"/>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89"/>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31,731</w:t>
            </w:r>
          </w:p>
        </w:tc>
      </w:tr>
      <w:tr>
        <w:trPr>
          <w:trHeight w:val="212"/>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8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underlying restricted stock units, net</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shares settled for tax withholding</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4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1,364,763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(520,801)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r>
      <w:tr>
        <w:trPr>
          <w:trHeight w:val="233"/>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Warrants exercised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w:t>
            </w:r>
          </w:p>
        </w:tc>
      </w:tr>
      <w:tr>
        <w:trPr>
          <w:trHeight w:val="237"/>
        </w:trPr>
        <w:tc>
          <w:tcPr>
            <w:tcW w:w="2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268"/>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395,488,396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1,052,253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(269,451)</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(1,885,843)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783,195</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560" w:type="dxa"/>
            <w:vAlign w:val="bottom"/>
          </w:tcPr>
          <w:p>
            <w:pPr>
              <w:spacing w:after="0"/>
              <w:rPr>
                <w:sz w:val="20"/>
                <w:szCs w:val="20"/>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335,557,872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802,610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(112,168)</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(6,941,446)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690,771</w:t>
            </w:r>
          </w:p>
        </w:tc>
      </w:tr>
      <w:tr>
        <w:trPr>
          <w:trHeight w:val="216"/>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9"/>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20"/>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17,953,378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61,291</w:t>
            </w:r>
          </w:p>
        </w:tc>
      </w:tr>
      <w:tr>
        <w:trPr>
          <w:trHeight w:val="225"/>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18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underlying restricted stock units, net</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8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shares settled for tax withholding</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4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2,259,988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w:t>
            </w:r>
          </w:p>
        </w:tc>
      </w:tr>
      <w:tr>
        <w:trPr>
          <w:trHeight w:val="233"/>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r>
      <w:tr>
        <w:trPr>
          <w:trHeight w:val="246"/>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(86,754)</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(86,754)</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355,771,238</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870,565</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(198,922)</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(7,971,052)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671,991</w:t>
            </w:r>
          </w:p>
        </w:tc>
      </w:tr>
      <w:tr>
        <w:trPr>
          <w:trHeight w:val="21"/>
        </w:trPr>
        <w:tc>
          <w:tcPr>
            <w:tcW w:w="2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(DEFICIT)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ectPr>
          <w:pgSz w:w="11900" w:h="16838" w:orient="portrait"/>
          <w:cols w:equalWidth="0" w:num="1">
            <w:col w:w="11240"/>
          </w:cols>
          <w:pgMar w:left="320" w:top="1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p>
      <w:pPr>
        <w:spacing w:after="0" w:line="61" w:lineRule="exact"/>
        <w:rPr>
          <w:sz w:val="20"/>
          <w:szCs w:val="20"/>
          <w:color w:val="auto"/>
        </w:rPr>
      </w:pPr>
    </w:p>
    <w:p>
      <w:pPr>
        <w:ind w:left="60"/>
        <w:spacing w:after="0" w:line="280" w:lineRule="auto"/>
        <w:rPr>
          <w:sz w:val="20"/>
          <w:szCs w:val="20"/>
          <w:color w:val="auto"/>
        </w:rPr>
      </w:pPr>
      <w:r>
        <w:rPr>
          <w:rFonts w:ascii="Times New Roman" w:cs="Times New Roman" w:eastAsia="Times New Roman" w:hAnsi="Times New Roman"/>
          <w:sz w:val="16"/>
          <w:szCs w:val="16"/>
          <w:color w:val="auto"/>
        </w:rPr>
        <w:t>Issuance of common shares, net of offering costs - At-the-market offering</w:t>
      </w:r>
    </w:p>
    <w:p>
      <w:pPr>
        <w:spacing w:after="0" w:line="16" w:lineRule="exact"/>
        <w:rPr>
          <w:sz w:val="20"/>
          <w:szCs w:val="20"/>
          <w:color w:val="auto"/>
        </w:rPr>
      </w:pPr>
    </w:p>
    <w:p>
      <w:pPr>
        <w:ind w:left="60" w:right="360"/>
        <w:spacing w:after="0" w:line="280" w:lineRule="auto"/>
        <w:rPr>
          <w:sz w:val="20"/>
          <w:szCs w:val="20"/>
          <w:color w:val="auto"/>
        </w:rPr>
      </w:pPr>
      <w:r>
        <w:rPr>
          <w:rFonts w:ascii="Times New Roman" w:cs="Times New Roman" w:eastAsia="Times New Roman" w:hAnsi="Times New Roman"/>
          <w:sz w:val="16"/>
          <w:szCs w:val="16"/>
          <w:color w:val="auto"/>
        </w:rPr>
        <w:t>Treasury stock reissued for PIPE Investment</w:t>
      </w:r>
    </w:p>
    <w:p>
      <w:pPr>
        <w:spacing w:after="0" w:line="16" w:lineRule="exact"/>
        <w:rPr>
          <w:sz w:val="20"/>
          <w:szCs w:val="20"/>
          <w:color w:val="auto"/>
        </w:rPr>
      </w:pPr>
    </w:p>
    <w:p>
      <w:pPr>
        <w:ind w:left="60" w:right="20"/>
        <w:spacing w:after="0" w:line="260" w:lineRule="auto"/>
        <w:rPr>
          <w:sz w:val="20"/>
          <w:szCs w:val="20"/>
          <w:color w:val="auto"/>
        </w:rPr>
      </w:pPr>
      <w:r>
        <w:rPr>
          <w:rFonts w:ascii="Times New Roman" w:cs="Times New Roman" w:eastAsia="Times New Roman" w:hAnsi="Times New Roman"/>
          <w:sz w:val="16"/>
          <w:szCs w:val="16"/>
          <w:color w:val="auto"/>
        </w:rPr>
        <w:t>Delivery of common stock underlying restricted stock units, net of shares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2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361,432,449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863,015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(181,412)</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(10,648,632)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681,953</w:t>
            </w:r>
          </w:p>
        </w:tc>
      </w:tr>
      <w:tr>
        <w:trPr>
          <w:trHeight w:val="446"/>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29,334,701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117,367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117,396</w:t>
            </w:r>
          </w:p>
        </w:tc>
      </w:tr>
      <w:tr>
        <w:trPr>
          <w:trHeight w:val="446"/>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10,438,413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-715645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-269875</wp:posOffset>
            </wp:positionV>
            <wp:extent cx="713232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2560" w:space="60"/>
            <w:col w:w="8620"/>
          </w:cols>
          <w:pgMar w:left="320" w:top="1292"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4,721,201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(1,675,624)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r>
      <w:tr>
        <w:trPr>
          <w:trHeight w:val="249"/>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Warrants exercised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3"/>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27,830</w:t>
            </w:r>
          </w:p>
        </w:tc>
      </w:tr>
      <w:tr>
        <w:trPr>
          <w:trHeight w:val="246"/>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(88,039)</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(88,039)</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395,488,396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1,052,253</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(269,451)</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(1,885,843)</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21"/>
                <w:szCs w:val="21"/>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783,195</w:t>
            </w:r>
          </w:p>
        </w:tc>
      </w:tr>
      <w:tr>
        <w:trPr>
          <w:trHeight w:val="21"/>
        </w:trPr>
        <w:tc>
          <w:tcPr>
            <w:tcW w:w="2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680" w:type="dxa"/>
            <w:vAlign w:val="bottom"/>
          </w:tcPr>
          <w:p>
            <w:pPr>
              <w:spacing w:after="0"/>
              <w:rPr>
                <w:sz w:val="20"/>
                <w:szCs w:val="20"/>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(136,777)</w:t>
            </w:r>
          </w:p>
        </w:tc>
        <w:tc>
          <w:tcPr>
            <w:tcW w:w="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(5,318,674)</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r>
      <w:tr>
        <w:trPr>
          <w:trHeight w:val="216"/>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0"/>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 costs - At-the-market offering</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52,825,758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221,695</w:t>
            </w:r>
          </w:p>
        </w:tc>
      </w:tr>
      <w:tr>
        <w:trPr>
          <w:trHeight w:val="225"/>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189"/>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6,668,944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(2,652,378)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w:t>
            </w:r>
          </w:p>
        </w:tc>
      </w:tr>
      <w:tr>
        <w:trPr>
          <w:trHeight w:val="233"/>
        </w:trPr>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31,865</w:t>
            </w:r>
          </w:p>
        </w:tc>
      </w:tr>
      <w:tr>
        <w:trPr>
          <w:trHeight w:val="246"/>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(62,145)</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(62,145)</w:t>
            </w: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355,771,238</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870,565</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(198,922)</w:t>
            </w:r>
          </w:p>
        </w:tc>
        <w:tc>
          <w:tcPr>
            <w:tcW w:w="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(7,971,052)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671,991</w:t>
            </w:r>
          </w:p>
        </w:tc>
      </w:tr>
      <w:tr>
        <w:trPr>
          <w:trHeight w:val="20"/>
        </w:trPr>
        <w:tc>
          <w:tcPr>
            <w:tcW w:w="2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78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(88,039)</w:t>
            </w:r>
          </w:p>
        </w:tc>
        <w:tc>
          <w:tcPr>
            <w:tcW w:w="16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(62,145)</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146,503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65,661</w:t>
            </w:r>
          </w:p>
        </w:tc>
      </w:tr>
      <w:tr>
        <w:trPr>
          <w:trHeight w:val="25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25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31,865</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in losses (gains) of equity investees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5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consideration received for services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(164,131)</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(109,443)</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derivative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19,181</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bitcoin collateral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bitcoin loan</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loss on fair value of bitcoin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(16,092)</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(25,114)</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33"/>
        </w:trPr>
        <w:tc>
          <w:tcPr>
            <w:tcW w:w="7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53"/>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33"/>
        </w:trPr>
        <w:tc>
          <w:tcPr>
            <w:tcW w:w="7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Security deposits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16,851</w:t>
            </w:r>
          </w:p>
        </w:tc>
      </w:tr>
      <w:tr>
        <w:trPr>
          <w:trHeight w:val="253"/>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33"/>
        </w:trPr>
        <w:tc>
          <w:tcPr>
            <w:tcW w:w="7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53"/>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(153,506)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(58,533)</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150,226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79,785</w:t>
            </w:r>
          </w:p>
        </w:tc>
      </w:tr>
      <w:tr>
        <w:trPr>
          <w:trHeight w:val="253"/>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Deposits on equipment</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(135,262)</w:t>
            </w:r>
          </w:p>
        </w:tc>
      </w:tr>
      <w:tr>
        <w:trPr>
          <w:trHeight w:val="233"/>
        </w:trPr>
        <w:tc>
          <w:tcPr>
            <w:tcW w:w="7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(262,035)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(92,373)</w:t>
            </w:r>
          </w:p>
        </w:tc>
      </w:tr>
      <w:tr>
        <w:trPr>
          <w:trHeight w:val="253"/>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and development of software</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r>
      <w:tr>
        <w:trPr>
          <w:trHeight w:val="233"/>
        </w:trPr>
        <w:tc>
          <w:tcPr>
            <w:tcW w:w="7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(29,194)</w:t>
            </w:r>
          </w:p>
        </w:tc>
      </w:tr>
      <w:tr>
        <w:trPr>
          <w:trHeight w:val="246"/>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 of strategic contracts</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(17,044)</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(131,454)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(195,147)</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treasury stock reissued for PIPE investment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225,181</w:t>
            </w:r>
          </w:p>
        </w:tc>
      </w:tr>
      <w:tr>
        <w:trPr>
          <w:trHeight w:val="233"/>
        </w:trPr>
        <w:tc>
          <w:tcPr>
            <w:tcW w:w="7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Offering costs paid for the issuance of common stock</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w:t>
            </w:r>
          </w:p>
        </w:tc>
      </w:tr>
      <w:tr>
        <w:trPr>
          <w:trHeight w:val="253"/>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1,437,395</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 of capped call options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(82,680)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w:t>
            </w:r>
          </w:p>
        </w:tc>
      </w:tr>
      <w:tr>
        <w:trPr>
          <w:trHeight w:val="233"/>
        </w:trPr>
        <w:tc>
          <w:tcPr>
            <w:tcW w:w="7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Principal payments on loan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Principal payments on financing lease</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r>
      <w:tr>
        <w:trPr>
          <w:trHeight w:val="23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1,486,202</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207,309</w:t>
            </w:r>
          </w:p>
        </w:tc>
      </w:tr>
      <w:tr>
        <w:trPr>
          <w:trHeight w:val="24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1,201,242</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(46,371)</w:t>
            </w:r>
          </w:p>
        </w:tc>
      </w:tr>
      <w:tr>
        <w:trPr>
          <w:trHeight w:val="236"/>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19,977</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86,105</w:t>
            </w:r>
          </w:p>
        </w:tc>
      </w:tr>
      <w:tr>
        <w:trPr>
          <w:trHeight w:val="268"/>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1,221,219</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163" w:right="3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63" w:right="39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8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warrant liability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544,450</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Bitcoin transferred for rehypothecated collateral</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31,453</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21,502</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Bitcon loan payments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20,714</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Bitcon received as a loan</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Initial estimate of asset retirement obligation and related capitalized costs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17,422</w:t>
            </w:r>
          </w:p>
        </w:tc>
      </w:tr>
      <w:tr>
        <w:trPr>
          <w:trHeight w:val="260"/>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tax accrual on machines placed in service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8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reissued for PIPE investment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liability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8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 of related party payable related to master services and supply agreement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bl>
    <w:p>
      <w:pPr>
        <w:spacing w:after="0" w:line="3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Consolidated Balance Sheets to the sum of the same such amounts shown in the Consolidated Statements of Cash Flows.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r>
      <w:tr>
        <w:trPr>
          <w:trHeight w:val="237"/>
        </w:trPr>
        <w:tc>
          <w:tcPr>
            <w:tcW w:w="79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1,207,440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25,342</w:t>
            </w:r>
          </w:p>
        </w:tc>
      </w:tr>
      <w:tr>
        <w:trPr>
          <w:trHeight w:val="236"/>
        </w:trPr>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14,392</w:t>
            </w:r>
          </w:p>
        </w:tc>
      </w:tr>
      <w:tr>
        <w:trPr>
          <w:trHeight w:val="268"/>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1,221,219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Cipher Mining Inc. (“Cipher” or the “Company”) is focused on the development and operation of industrial-scale data centers for bitcoin mining and high-performance compute (“HPC”) hosting. The Company operates two wholly-owned bitcoin mining data centers, a 207 MW site located in Odessa, Texas that draws fixed priced power from a power purchase agreement with its electricity provider (the “Odessa Facility”), and a 300 MW data center in Wink, Texas that draws power from the power grid (the “Black Pearl Facility”) and has equity investments in three partially-owned joint venture bitcoin mining data centers. The Company’s portfolio as of September 30, 2025 also includes three wholly-owned sites which have not commenced operations, and options to acquire three additional wholly-owned sites.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however, proceeds from sales of bitcoin are categorized as cash flows from investing activities to the extent bitcoin is sold after seven days of receipt. As of September 30, 2025, the Company had approximate balances of cash and cash equivalents of $1.2 billion, working capital of $849.2 million, total stockholders’ equity of $783.2 million and an accumulated deficit of $269.5 million. The Company uses a combination of proceeds from sales of bitcoin earned by or received from its bitcoin mining data centers, short-term and long-term financing arrangements, and strategic sales of shares through “at-the-market” offerings to support its operating expenses and capital expenditures.</w:t>
      </w:r>
    </w:p>
    <w:p>
      <w:pPr>
        <w:spacing w:after="0" w:line="14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$153.5 million of cash was used for operating activities during the nine months ended September 30, 2025.</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42424"/>
        </w:rPr>
        <w:t xml:space="preserve">During the nine months ended September 30, 2025, the Company sold bitcoin for proceeds of approximately </w:t>
      </w:r>
      <w:r>
        <w:rPr>
          <w:rFonts w:ascii="Times New Roman" w:cs="Times New Roman" w:eastAsia="Times New Roman" w:hAnsi="Times New Roman"/>
          <w:sz w:val="18"/>
          <w:szCs w:val="18"/>
          <w:color w:val="000000"/>
        </w:rPr>
        <w:t>$150.2</w:t>
      </w:r>
      <w:r>
        <w:rPr>
          <w:rFonts w:ascii="Times New Roman" w:cs="Times New Roman" w:eastAsia="Times New Roman" w:hAnsi="Times New Roman"/>
          <w:sz w:val="18"/>
          <w:szCs w:val="18"/>
          <w:color w:val="242424"/>
        </w:rPr>
        <w:t xml:space="preserve"> million, paid approximately $0.9 million for deposits on equipment primarily related to new miner purchases, and paid approximately </w:t>
      </w:r>
      <w:r>
        <w:rPr>
          <w:rFonts w:ascii="Times New Roman" w:cs="Times New Roman" w:eastAsia="Times New Roman" w:hAnsi="Times New Roman"/>
          <w:sz w:val="18"/>
          <w:szCs w:val="18"/>
          <w:color w:val="000000"/>
        </w:rPr>
        <w:t>$262.0</w:t>
      </w:r>
      <w:r>
        <w:rPr>
          <w:rFonts w:ascii="Times New Roman" w:cs="Times New Roman" w:eastAsia="Times New Roman" w:hAnsi="Times New Roman"/>
          <w:sz w:val="18"/>
          <w:szCs w:val="18"/>
          <w:color w:val="242424"/>
        </w:rPr>
        <w:t xml:space="preserve"> million for property and equipment primarily related to the build-out of the Black Pearl Facility</w:t>
      </w:r>
      <w:r>
        <w:rPr>
          <w:rFonts w:ascii="Times New Roman" w:cs="Times New Roman" w:eastAsia="Times New Roman" w:hAnsi="Times New Roman"/>
          <w:sz w:val="18"/>
          <w:szCs w:val="18"/>
          <w:color w:val="EE2724"/>
        </w:rPr>
        <w:t>.</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has a master loan agreement with Coinbase Credit, Inc., as Lender, and Coinbase, Inc., as Lending Service Provider (the “Coinbase Master Loan Agreement”). Pursuant to the master loan agreement, the Company has a secured line of credit up to $25.0 million (the “Coinbase Overnight Credit Facility”). The borrowings are collateralized by bitcoin transferred to the Lending Service Provider’s platform.</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has a $100.0 million secured credit facility with Two Prime Lending Limited (“Two Prime Credit Facility”). Borrowings on this facility will be backed by the Company’s bitcoin held in a triparty account.</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$172.5 million of principal amount of convertible notes due in 2030 with an interest rate of 1.75% (the “2030 Convertible Notes”). The 2030 Convertible Notes are senior, unsecured obligations with interest due semiannually on May 15 and November 15 each year beginning on November 15, 2025.</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issued $1,300.0 million of principal amount of convertible notes due in 2031 with an interest rate of 0.00% (the “2031 Convertible Notes”). The 2031 Convertible Notes are senior, unsecured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 xml:space="preserve"> for more details on all debt arrangements.</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combined with projected cash and bitcoin inflows from its data centers, its ability to sell bitcoin received or earned, and its intent and ability to sell common stock through at-the-market offerings will be sufficient to enable the Company to meet its operating and capital requirements for at least 12 months from the date these condensed consolidated financial statements are issued.</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U.S. (“GAAP”) as determined by the FASB and pursuant to the accounting and disclosure rules and regulations of the Securities and Exchange Commission (“SEC”).</w:t>
      </w:r>
    </w:p>
    <w:p>
      <w:pPr>
        <w:spacing w:after="0" w:line="13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subsidiaries. All intercompany transactions and balances have been eliminated.</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Effective for the year ended December 31, 2024, the Company changed the presentation of its consolidated statement of operations to separately disclose Unrealized gains (losses) on fair value of bitcoin and Realized gains on sale of bitcoin. The Company believes this presentation provides increased transparency on the nature of the respective financial statement line items. As a result, the Company reported $22.2 million and $20.2 million as Unrealized losses on fair value of bitcoin and Realized gains on sale of bitcoin, respectively, for the three months ended September 30, 2024 and $2.8 million and $25.1 million as Unrealized loss on fair value of bitcoin and Realized gains on sale of bitcoin, respectively, for the nine months ended September 30, 2024, which were previously reported aggregated in Gains on fair value of bitcoin.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its level 3 asset and liabilities, capped calls, useful lives of property and equipment, asset retirement obligations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detailed description of the Company’s significant accounting policies is included in the Company’s 2024 Form 10-K. The Company’s unaudited condensed consolidated financial statements should be read in conjunction with the Company’s audited consolidated financial statements and accompanying notes in the Company’s 2024 Form 10-K. There have been no material changes in the information disclosed in the notes to the Company’s audited consolidated financial statements included in the Company’s 2024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core principle of the revenue standard is that a company should recognize revenue to depict the transfer of promised goods or</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to customers in an amount that reflects the consideration to which the Company expects to be entitled in exchange for those goods or services.</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the same day that the control of the contracted service of providing hashrate transfers to the mining pool operator, which is the same day as contract inception. The noncash consideration received in the form of bitcoin is measured at 0:00:00 Coordinated Universal Time (“UTC”) using the Company’s principal market for bitcoin.</w:t>
      </w:r>
    </w:p>
    <w:p>
      <w:pPr>
        <w:spacing w:after="0" w:line="13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 compensation due the Company. Given the terms of the contract, and the Company’s customary business practice, the contract effectively provides the Company with a contract that continuously renews throughout the day.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has one operating segment, Bitcoin Mining, which through operations produces bitcoin to generate revenue. The Chief Operating Decision Maker (“CODM”) for the Company consists of the chief executive officer (“CEO”), and chief financial officer (“CFO”). The CODM reviews the performance of its segment primarily based on operating income when deciding on allocating resources between reinvesting in Bitcoin Mining or exploring alternative deployment of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Restricted cash represents amounts pledged as collateral to Luminant ET Services Company LLC (“Luminant”, and Vistra Operations Company, LLC (“Vistra”), a Luminant affiliate, primarily related to the Luminant Power Agreement (defined below in </w:t>
      </w:r>
      <w:r>
        <w:rPr>
          <w:rFonts w:ascii="Times New Roman" w:cs="Times New Roman" w:eastAsia="Times New Roman" w:hAnsi="Times New Roman"/>
          <w:sz w:val="18"/>
          <w:szCs w:val="18"/>
          <w:i w:val="1"/>
          <w:iCs w:val="1"/>
          <w:color w:val="auto"/>
        </w:rPr>
        <w:t>Note 4. Derivative Asset)</w:t>
      </w:r>
      <w:r>
        <w:rPr>
          <w:rFonts w:ascii="Times New Roman" w:cs="Times New Roman" w:eastAsia="Times New Roman" w:hAnsi="Times New Roman"/>
          <w:sz w:val="18"/>
          <w:szCs w:val="18"/>
          <w:color w:val="auto"/>
        </w:rPr>
        <w:t>. The collateral restrictions related to the Luminant Power Agreement will lapse upon termination of the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 net</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Long-term borrowings, net represents the Company’s convertible senior notes. The Company records the aggregate principal amount of each of its long-term debt instruments as a liability on the balance sheet, offset by the instrument’s issuance costs. The issuance costs are amortized to interest expense using the effective interest rate method over the expected term of each instrument. For the Company’s convertible notes due in 2031, the Company determined the embedded conversion feature did not meet the criteria for equity classification and therefore needs to be accounted for as a derivative liability measured at fair value.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0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allocated to common shareholders by the weighted average number of common shares outstanding during the period. Diluted earnings (loss) per common share adjusts net income (loss) and net income (loss) per common share for the effect of all potentially dilutive shares of Common Stock. Potentially dilutive common shares consist of the Company’s outstanding warrants to purchase Common Stock, Common Stock to settle convertible notes, as well as unvested restricted stock units (“RSUs”).</w:t>
      </w:r>
    </w:p>
    <w:p>
      <w:pPr>
        <w:spacing w:after="0" w:line="13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dilutive effect of RSUs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common shares have been excluded from the computation of diluted net loss per common share when the effect would be to reduce the net loss per common share, or increase the net income per common share.</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earnings (loss) per share computations for the periods indicated below:</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Pr>
          <w:p>
            <w:pPr>
              <w:spacing w:after="0"/>
              <w:rPr>
                <w:sz w:val="19"/>
                <w:szCs w:val="19"/>
                <w:color w:val="auto"/>
              </w:rPr>
            </w:pPr>
          </w:p>
        </w:tc>
        <w:tc>
          <w:tcPr>
            <w:tcW w:w="32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38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(86,754)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(88,039)</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(62,145)</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3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393,191,623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332,680,037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376,372,526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314,820,110</w:t>
            </w:r>
          </w:p>
        </w:tc>
      </w:tr>
      <w:tr>
        <w:trPr>
          <w:trHeight w:val="25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6"/>
        </w:trPr>
        <w:tc>
          <w:tcPr>
            <w:tcW w:w="3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RSUs</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393,191,623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332,680,037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376,372,526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314,820,110</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5"/>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-196850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-33655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-393700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-556895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-1182370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 equivalents that are excluded from the computation of diluted earnings (loss) per common share at September 30, 2025 and 2024, because including them would have been antidilutive.</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20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37"/>
        </w:trPr>
        <w:tc>
          <w:tcPr>
            <w:tcW w:w="8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8,613,935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8,613,980</w:t>
            </w: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25,691,978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21,479,801</w:t>
            </w:r>
          </w:p>
        </w:tc>
      </w:tr>
      <w:tr>
        <w:trPr>
          <w:trHeight w:val="24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 Note conversion</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50,438,686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84,744,599</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30,093,781</w:t>
            </w:r>
          </w:p>
        </w:tc>
      </w:tr>
      <w:tr>
        <w:trPr>
          <w:trHeight w:val="27"/>
        </w:trPr>
        <w:tc>
          <w:tcPr>
            <w:tcW w:w="8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2031 Convertible Notes, described in more detail in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 xml:space="preserve">, and the warrants issued to Google LLC (“Google”) described in more detail in </w:t>
      </w:r>
      <w:r>
        <w:rPr>
          <w:rFonts w:ascii="Times New Roman" w:cs="Times New Roman" w:eastAsia="Times New Roman" w:hAnsi="Times New Roman"/>
          <w:sz w:val="18"/>
          <w:szCs w:val="18"/>
          <w:i w:val="1"/>
          <w:iCs w:val="1"/>
          <w:color w:val="auto"/>
        </w:rPr>
        <w:t>Note</w:t>
      </w:r>
    </w:p>
    <w:p>
      <w:pPr>
        <w:spacing w:after="0" w:line="29" w:lineRule="exact"/>
        <w:rPr>
          <w:sz w:val="20"/>
          <w:szCs w:val="20"/>
          <w:color w:val="auto"/>
        </w:rPr>
      </w:pPr>
    </w:p>
    <w:p>
      <w:pPr>
        <w:ind w:right="60" w:firstLine="8"/>
        <w:spacing w:after="0" w:line="260" w:lineRule="auto"/>
        <w:tabs>
          <w:tab w:leader="none" w:pos="27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are excluded from the computation of antidilutive shares as of September 30, 2025 due to the lack of available shares authorized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the Company to settle these instruments in shares.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seeks to improve transparency of income tax disclosures by requiring consistent categories and greater disaggregation of information in the rate reconciliation and income taxes paid disclosures. The Company adopted this standard on January 1, 2025 and it did not have a significant impact on its condensed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4080" w:type="dxa"/>
            <w:vAlign w:val="bottom"/>
            <w:tcBorders>
              <w:bottom w:val="single" w:sz="8" w:color="auto"/>
            </w:tcBorders>
            <w:gridSpan w:val="5"/>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37"/>
        </w:trPr>
        <w:tc>
          <w:tcPr>
            <w:tcW w:w="7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109,443</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payments</w:t>
            </w: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(79,785)</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on sales of bitcoin, net</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25,114</w:t>
            </w:r>
          </w:p>
        </w:tc>
      </w:tr>
      <w:tr>
        <w:trPr>
          <w:trHeight w:val="27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on bitcoin</w:t>
            </w:r>
            <w:r>
              <w:rPr>
                <w:rFonts w:ascii="Times New Roman" w:cs="Times New Roman" w:eastAsia="Times New Roman" w:hAnsi="Times New Roman"/>
                <w:sz w:val="23"/>
                <w:szCs w:val="23"/>
                <w:color w:val="auto"/>
                <w:vertAlign w:val="superscript"/>
              </w:rPr>
              <w:t>(2)</w:t>
            </w:r>
          </w:p>
        </w:tc>
        <w:tc>
          <w:tcPr>
            <w:tcW w:w="1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bitcoin transferred to collateral, net</w:t>
            </w:r>
            <w:r>
              <w:rPr>
                <w:rFonts w:ascii="Times New Roman" w:cs="Times New Roman" w:eastAsia="Times New Roman" w:hAnsi="Times New Roman"/>
                <w:sz w:val="23"/>
                <w:szCs w:val="23"/>
                <w:color w:val="auto"/>
                <w:vertAlign w:val="superscript"/>
              </w:rPr>
              <w:t>(3)</w:t>
            </w:r>
          </w:p>
        </w:tc>
        <w:tc>
          <w:tcPr>
            <w:tcW w:w="1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transferred from collateral, net</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95,459</w:t>
            </w:r>
          </w:p>
        </w:tc>
      </w:tr>
    </w:tbl>
    <w:p>
      <w:pPr>
        <w:spacing w:after="0" w:line="4" w:lineRule="exact"/>
        <w:rPr>
          <w:sz w:val="20"/>
          <w:szCs w:val="20"/>
          <w:color w:val="auto"/>
        </w:rPr>
      </w:pPr>
    </w:p>
    <w:p>
      <w:pPr>
        <w:ind w:left="260" w:hanging="207"/>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losses from sale of bitcoin were immaterial in all periods presented.</w:t>
      </w:r>
    </w:p>
    <w:p>
      <w:pPr>
        <w:spacing w:after="0" w:line="68" w:lineRule="exact"/>
        <w:rPr>
          <w:rFonts w:ascii="Times New Roman" w:cs="Times New Roman" w:eastAsia="Times New Roman" w:hAnsi="Times New Roman"/>
          <w:sz w:val="14"/>
          <w:szCs w:val="14"/>
          <w:color w:val="auto"/>
        </w:rPr>
      </w:pPr>
    </w:p>
    <w:p>
      <w:pPr>
        <w:ind w:left="260" w:hanging="207"/>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gains from sale of bitcoin were immaterial in all periods presented.</w:t>
      </w:r>
    </w:p>
    <w:p>
      <w:pPr>
        <w:spacing w:after="0" w:line="68" w:lineRule="exact"/>
        <w:rPr>
          <w:rFonts w:ascii="Times New Roman" w:cs="Times New Roman" w:eastAsia="Times New Roman" w:hAnsi="Times New Roman"/>
          <w:sz w:val="14"/>
          <w:szCs w:val="14"/>
          <w:color w:val="auto"/>
        </w:rPr>
      </w:pPr>
    </w:p>
    <w:p>
      <w:pPr>
        <w:ind w:left="260" w:hanging="207"/>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loss on bitcoin transferred to collateral, net is classified under other income (expense) on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-387350</wp:posOffset>
            </wp:positionV>
            <wp:extent cx="2580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80640" cy="8890"/>
                    </a:xfrm>
                    <a:prstGeom prst="rect">
                      <a:avLst/>
                    </a:prstGeom>
                    <a:noFill/>
                  </pic:spPr>
                </pic:pic>
              </a:graphicData>
            </a:graphic>
          </wp:anchor>
        </w:drawing>
      </w:r>
    </w:p>
    <w:p>
      <w:pPr>
        <w:spacing w:after="0" w:line="2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held approximately 1,493 and 994 bitcoin at September 30, 2025, and December 31, 2024, respectively. The associated fair values and cost bases of bitcoin held were $170.3 million, and $160.4 million, respectively, at September 30, 2025, and $92.7 million, and $79.8 million, respectively at December 31, 2024. Fair value of bitcoin is estimated using the closing price at 23:59:59 UTC in the Company’s principal market, which is a Level 1 input (i.e., an observable input such as a quoted price in an active market for an identical asset). The Company accounts for bitcoin on a first-in-first-out (“FIFO”) basis.</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had no bitcoin pledged as collateral related to the Coinbase Overnight Credit Facility. As of December 31, 2024, the Company had 345 bitcoin with a fair value of $32.2 million pledged as collateral related to the Coinbase Overnight Credit Facility. Restrictions on this bitcoin pledged as collateral lapse upon repayment of the outstanding balance drawn on this facility. The collateral pledged related to the Coinbase Overnight Credit Facility can be rehypothecated and therefore is derecognized from the Company’s ending bitcoin balance, and recorded in Receivable for bitcoin collateral on the Company’s condensed consolidated balance sheet. Any difference in cost basis of the bitcoin transferred is recorded in Realized gains on sale of bitcoin on the Company’s consolidated statement of operations.</w:t>
      </w:r>
    </w:p>
    <w:p>
      <w:pPr>
        <w:spacing w:after="0" w:line="16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Additionally, the Company may pledge bitcoin as collateral related to bitcoin trading strategies. As of September 30, 2025, and December 31, 2024 the Company had no bitcoin pledged as part of trading strategies.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w:t>
      </w:r>
    </w:p>
    <w:p>
      <w:pPr>
        <w:spacing w:after="0" w:line="14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 Company’s management determined that the Luminant Power Agreement meets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Accordingly, the Luminant Power Agreement is recorded at its estimated fair value each reporting period with the change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recorded in change in fair value of derivative asset in the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consolidated statements of operations. See additional information regarding valuation of the Luminant Power Agreement derivative in </w:t>
      </w:r>
      <w:r>
        <w:rPr>
          <w:rFonts w:ascii="Times New Roman" w:cs="Times New Roman" w:eastAsia="Times New Roman" w:hAnsi="Times New Roman"/>
          <w:sz w:val="18"/>
          <w:szCs w:val="18"/>
          <w:i w:val="1"/>
          <w:iCs w:val="1"/>
          <w:color w:val="auto"/>
        </w:rPr>
        <w:t>Note 18.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may opportunistically sell electricity in the ERCOT market in exchange for cash payments, rather than utilizing the power to mine for bitcoin at the Odessa Facility to manage the Company’s operating costs. From Power sales, the Company earned approximately $2.3 million and $1.4 million for the three months ended September 30, 2025, and 2024, respectively, and $4.7 million and $3.7 million for the nine months ended September 30, 2025, and 2024, respectively, and recorded this amount within Costs and operating (expenses) income on the condensed consolidated statement of operations, with the corresponding cost of the power sold recorded in Cost of revenue.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8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 connection with the pricing of the offering of 2031 Convertible Notes, the Company entered into capped call transactions with certain of the initial purchasers or their affiliates and certain other financial institutions (the “Capped Call Transactions”). The Capped Call Transactions cover, subject to customary anti-dilution adjustments, the number of shares of the Company’s common stock that initially underlie the 2031 Convertible Notes. The Capped Call Transactions are generally expected to reduce the potential dilution to the Company’s common stock upon any conversion of the 2031 Convertible Notes and/or offset any potential cash payments the Company is required to make in excess of the principal amount of converted 2031 Convertible Notes. The cap price of the Capped Call Transactions is initially $23.32 per share. The cost of the Capped Call Transactions was approximately $82.7 million.</w:t>
      </w:r>
    </w:p>
    <w:p>
      <w:pPr>
        <w:spacing w:after="0" w:line="14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Capped Call Transactions are reported at fair value in Derivative assets on the Company’s condensed consolidated balance sheet as of September 30, 2025. Refer to </w:t>
      </w:r>
      <w:r>
        <w:rPr>
          <w:rFonts w:ascii="Times New Roman" w:cs="Times New Roman" w:eastAsia="Times New Roman" w:hAnsi="Times New Roman"/>
          <w:sz w:val="18"/>
          <w:szCs w:val="18"/>
          <w:i w:val="1"/>
          <w:iCs w:val="1"/>
          <w:color w:val="auto"/>
        </w:rPr>
        <w:t>Note 18. Fair Value Measurements</w:t>
      </w:r>
      <w:r>
        <w:rPr>
          <w:rFonts w:ascii="Times New Roman" w:cs="Times New Roman" w:eastAsia="Times New Roman" w:hAnsi="Times New Roman"/>
          <w:sz w:val="18"/>
          <w:szCs w:val="18"/>
          <w:color w:val="auto"/>
        </w:rPr>
        <w:t xml:space="preserve"> for further details.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59"/>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342,111</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137,582</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49,021</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82,017</w:t>
            </w: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639,503</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(158,638)</w:t>
            </w: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480,865</w:t>
            </w: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approximately $12.1 million of construction-in-progress related to construction at various sites. For the nine months ended September 30, 2025, $144.8 million of Construction-in-progress related to the build out of the Black Pearl Facility was reclassified primarily into Buildings of $65.7 million with a useful life of 20 years, and Infrastructure of $76.2 million with useful lives ranging from 10-20 years.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June 2025, as part of placing the assets related to the Black Pearl Facility into service, the Company recorded an asset retirement obligation for the Black Pearl Facility to restore the land to its original condition at the end of the lease for $10.7 million, to be depreciated straight-line over the estimated remaining useful lives of the assets related to the facility.</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Depreciation expense was approximately $59.3 million and $28.5 million for the three months ended September 30, 2025, and 2024, respectively, and included approximately $0.8 million and $0.5 million of accretion expense related to the Company’s asset retirement obligations, and $146.5 million and $65.7 million for the nine months ended September 30, 2025 and 2024, respectively, and included approximately $1.9 million and $1.4 million for the nine months ended September 30, 2025 and 2024, of accretion expense related to the Company’s asset retirement obligations.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a nonrefundable deposit with American Electric Power Company, Inc. (“AEP”) for $5.3 million related to construction costs to energize a wholly-owned site in LaSalle, Texas (the “Reveille Facility”), paid as a Contributions in Aid of Construction (“CIAC”) payment.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EQUITY INVESTEES</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accounts for its 49% equity ownership in each of Alborz LLC, Bear LLC, and Chief Mountain LLC (the “Data Center LLCs”) using the equity method of accounting. The Company’s joint venture partner holds the remaining equity in each Data Center LLC entity.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fiscal year 2022, the Company contributed miners and mining equipment to the Data Center LLCs. The contributed miners had a fair value that was below the cost paid by the Company to obtain them. As such, the Company recognized a loss at the time of the contributions, resulting in basis differences of the miners between the Company and the Data Center LLCs, which recorded the contributions of equipment from the Company at historical cost. The Company accretes these basis differences over the life of the miners and records the accretion amount for each reporting period within Equity in losses of equity investees on its statements of operations. As of September 30, 2025, the Company had remaining basis differences totaling approximately $6.3 million that have not yet been accreted.</w:t>
      </w:r>
    </w:p>
    <w:p>
      <w:pPr>
        <w:spacing w:after="0" w:line="16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Activity in the Company’s investments in equity investees during the nine months ended September 30, 2025, and 2024, consisted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720" w:type="dxa"/>
            <w:vAlign w:val="bottom"/>
            <w:gridSpan w:val="9"/>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54,973</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intangible assets consisted of the following (in thousands):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CFF"/>
            </w:tcBorders>
            <w:gridSpan w:val="2"/>
            <w:shd w:val="clear" w:color="auto" w:fill="CCECFF"/>
          </w:tcPr>
          <w:p>
            <w:pPr>
              <w:jc w:val="center"/>
              <w:ind w:left="81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21"/>
                <w:szCs w:val="21"/>
                <w:color w:val="auto"/>
              </w:rPr>
            </w:pPr>
          </w:p>
        </w:tc>
        <w:tc>
          <w:tcPr>
            <w:tcW w:w="144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1100" w:type="dxa"/>
            <w:vAlign w:val="bottom"/>
            <w:tcBorders>
              <w:top w:val="single" w:sz="8" w:color="CCECFF"/>
              <w:bottom w:val="single" w:sz="8" w:color="auto"/>
            </w:tcBorders>
          </w:tcPr>
          <w:p>
            <w:pPr>
              <w:spacing w:after="0" w:line="20" w:lineRule="exact"/>
              <w:rPr>
                <w:sz w:val="1"/>
                <w:szCs w:val="1"/>
                <w:color w:val="auto"/>
              </w:rPr>
            </w:pPr>
          </w:p>
        </w:tc>
        <w:tc>
          <w:tcPr>
            <w:tcW w:w="34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600" w:type="dxa"/>
            <w:vAlign w:val="bottom"/>
            <w:tcBorders>
              <w:top w:val="single" w:sz="8" w:color="CCECFF"/>
              <w:bottom w:val="single" w:sz="8" w:color="auto"/>
            </w:tcBorders>
            <w:gridSpan w:val="4"/>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bottom w:val="single" w:sz="8" w:color="auto"/>
            </w:tcBorders>
          </w:tcPr>
          <w:p>
            <w:pPr>
              <w:spacing w:after="0" w:line="20" w:lineRule="exact"/>
              <w:rPr>
                <w:sz w:val="1"/>
                <w:szCs w:val="1"/>
                <w:color w:val="auto"/>
              </w:rPr>
            </w:pPr>
          </w:p>
        </w:tc>
        <w:tc>
          <w:tcPr>
            <w:tcW w:w="140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21"/>
                <w:szCs w:val="21"/>
                <w:color w:val="auto"/>
              </w:rPr>
            </w:pPr>
          </w:p>
        </w:tc>
        <w:tc>
          <w:tcPr>
            <w:tcW w:w="144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-33655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-33655</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-565150</wp:posOffset>
            </wp:positionV>
            <wp:extent cx="59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$0.2 million and $0.6 million for the three and nine months ended</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September 30, 2025, respectively, and $0.2 million and $0.5 million for the three and nine months ended September 30, 2024, respectively. The Company expects to record amortization expense as follows over the next five subsequent years:</w:t>
      </w:r>
    </w:p>
    <w:p>
      <w:pPr>
        <w:spacing w:after="0" w:line="15" w:lineRule="exact"/>
        <w:rPr>
          <w:sz w:val="20"/>
          <w:szCs w:val="20"/>
          <w:color w:val="auto"/>
        </w:rPr>
      </w:pPr>
    </w:p>
    <w:tbl>
      <w:tblPr>
        <w:tblLayout w:type="fixed"/>
        <w:tblInd w:w="234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0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Remaining Year Ended December 31, 2025</w:t>
            </w:r>
          </w:p>
        </w:tc>
        <w:tc>
          <w:tcPr>
            <w:tcW w:w="2080" w:type="dxa"/>
            <w:vAlign w:val="bottom"/>
            <w:tcBorders>
              <w:bottom w:val="single" w:sz="8" w:color="CCECFF"/>
            </w:tcBorders>
            <w:shd w:val="clear" w:color="auto" w:fill="CCEC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2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7"/>
        </w:trPr>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208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2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7"/>
        </w:trPr>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43"/>
        </w:trPr>
        <w:tc>
          <w:tcPr>
            <w:tcW w:w="4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2080" w:type="dxa"/>
            <w:vAlign w:val="bottom"/>
            <w:shd w:val="clear" w:color="auto" w:fill="CCEC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7"/>
        </w:trPr>
        <w:tc>
          <w:tcPr>
            <w:tcW w:w="4060" w:type="dxa"/>
            <w:vAlign w:val="bottom"/>
            <w:shd w:val="clear" w:color="auto" w:fill="CCECFF"/>
          </w:tcPr>
          <w:p>
            <w:pPr>
              <w:spacing w:after="0"/>
              <w:rPr>
                <w:sz w:val="2"/>
                <w:szCs w:val="2"/>
                <w:color w:val="auto"/>
              </w:rPr>
            </w:pPr>
          </w:p>
        </w:tc>
        <w:tc>
          <w:tcPr>
            <w:tcW w:w="2080" w:type="dxa"/>
            <w:vAlign w:val="bottom"/>
            <w:shd w:val="clear" w:color="auto" w:fill="CCECFF"/>
          </w:tcPr>
          <w:p>
            <w:pPr>
              <w:spacing w:after="0"/>
              <w:rPr>
                <w:sz w:val="2"/>
                <w:szCs w:val="2"/>
                <w:color w:val="auto"/>
              </w:rPr>
            </w:pPr>
          </w:p>
        </w:tc>
        <w:tc>
          <w:tcPr>
            <w:tcW w:w="420" w:type="dxa"/>
            <w:vAlign w:val="bottom"/>
            <w:shd w:val="clear" w:color="auto" w:fill="CCEC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0"/>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Black Pearl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Barber Lake Facility</w:t>
            </w:r>
          </w:p>
        </w:tc>
        <w:tc>
          <w:tcPr>
            <w:tcW w:w="160" w:type="dxa"/>
            <w:vAlign w:val="bottom"/>
          </w:tcPr>
          <w:p>
            <w:pPr>
              <w:spacing w:after="0"/>
              <w:rPr>
                <w:sz w:val="21"/>
                <w:szCs w:val="21"/>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Stingray Facility</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9"/>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security deposits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-33655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-213995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-908050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As part of various transactions to acquire wholly-owned sites, the Company has deposits with Oncor Electric Delivery Company LLC (“Oncor”) to construct infrastructure to provide the ability to energize each data center. These deposits are eligible to be returned to the Company if the data centers energize an agreed upon capacity within an agreed upon timeframe. As of September 30, 2025 the Company believes these deposits will be returned.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September 30, 2025, the Company received the Oncor Facility Extension security deposit related to the Black Pearl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were $4.0 million and $3.4 million as of September 30, 2025 and December 31, 2024, respectively, primarily consisting of prepaid insurance as of September 30, 2025, and 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9"/>
                <w:szCs w:val="19"/>
                <w:color w:val="auto"/>
              </w:rPr>
            </w:pP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6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3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2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costs</w:t>
            </w:r>
          </w:p>
        </w:tc>
        <w:tc>
          <w:tcPr>
            <w:tcW w:w="2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Barber Lake site deposit payable</w:t>
            </w:r>
          </w:p>
        </w:tc>
        <w:tc>
          <w:tcPr>
            <w:tcW w:w="2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payments for miners in service</w:t>
            </w:r>
          </w:p>
        </w:tc>
        <w:tc>
          <w:tcPr>
            <w:tcW w:w="2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30,221</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6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-685165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recorded related party receivables of approximately $0.3 million and $2.1 million, as of September 30, 2025 and December 31, 2024, respectively, representing amounts owed to the Company from its equity method investees.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Observer Agreement</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8, 2022, the Company entered into an observer agreement (the “Board Observer Agreement”) with Bitfury Holding and Bitfury Top HoldCo (together with Bitfury Holding, the “Investors”), which provides that the Investors have the right to designate a representative to serve as an observer of the Board and any committees thereof (subject to exceptions and limitations specified in the Board Observer Agreement). The Board Observer Agreement was negotiated and approved by an independent committee of the Board. On July 22, 2025, the Company terminated the Board Observer Agreement with the Investors.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Barber Lake Facility Lease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24, 2025, the Company’s subsidiary Cipher Barber Lake LLC (“Cipher Barber Lake”) entered into a lease with Fluidstack USA II (“Fluidstack”) which provides for the development of a data center facility on, and lease of the Barber Lake Facility (the “Barber Lake Facility Lease”) for HPC. The Company expects to complete the development and construction of the Barber Lake Facility and deliver the facility to Fluidstack by September 2026. Fluidstack’s obligations to pay rent under the lease begin on the commencement date of the lease and will continue for a 10-year term, and includes two five-year extension options. As part of the Barber Lake Facility Lease, the Company is required to provide certain services for the data center including supplying power, environmental controls, physical security and connectivity products to Fluidstack, and failure to provide these services may result in additional costs under the lease.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Odessa Facility Lease</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 The Combined Luminant Lease Agreement is classified as a finance lease.</w:t>
      </w:r>
    </w:p>
    <w:p>
      <w:pPr>
        <w:spacing w:after="0" w:line="16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 Pearl Facility Lease</w:t>
      </w:r>
    </w:p>
    <w:p>
      <w:pPr>
        <w:spacing w:after="0" w:line="20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subsidiary, Cipher Black Pearl LLC (“Black Pearl”), assumed a lease for a 70 acre plot of land in Winkler County, Texas, for the purpose of constructing a data center, and ancillary infrastructure to construct the Black Pearl Facility. The initial term of the lease is ten years, and includes four consecutive renewal options for ten years each.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Reveille Facility Lease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subsidiary, Cipher Reveille LLC (“Reveille”), assumed a lease for a 52 acre plot of land in LaSalle, Texas, for the purpose of constructing a data center, and ancillary infrastructure to construct the Reveille Facility. The initial term of the lease is ten years, and includes two consecutive renewal options for ten years each.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and warehouse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for its headquarters in New York, New York, and office space in Charleston, South Carolina, and Denver, Colorado.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entered into a commercial lease for a warehouse in Odessa, Texas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office leases are classified as operating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4220" w:type="dxa"/>
            <w:vAlign w:val="bottom"/>
          </w:tcPr>
          <w:p>
            <w:pPr>
              <w:spacing w:after="0"/>
              <w:rPr>
                <w:sz w:val="19"/>
                <w:szCs w:val="19"/>
                <w:color w:val="auto"/>
              </w:rPr>
            </w:pPr>
          </w:p>
        </w:tc>
        <w:tc>
          <w:tcPr>
            <w:tcW w:w="336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9"/>
                <w:szCs w:val="19"/>
                <w:color w:val="auto"/>
              </w:rPr>
            </w:pPr>
          </w:p>
        </w:tc>
        <w:tc>
          <w:tcPr>
            <w:tcW w:w="318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22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(1)</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3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r>
      <w:tr>
        <w:trPr>
          <w:trHeight w:val="27"/>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7"/>
        </w:trPr>
        <w:tc>
          <w:tcPr>
            <w:tcW w:w="4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64"/>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top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22"/>
                <w:szCs w:val="22"/>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0</wp:posOffset>
            </wp:positionV>
            <wp:extent cx="702056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056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-359410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-359410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-1397000</wp:posOffset>
            </wp:positionV>
            <wp:extent cx="59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-1397000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500" w:hanging="386"/>
        <w:spacing w:after="0"/>
        <w:tabs>
          <w:tab w:leader="none" w:pos="50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Amortization of finance lease ROU asset is included within depreciation expense.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any of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Pr>
          <w:p>
            <w:pPr>
              <w:spacing w:after="0"/>
              <w:rPr>
                <w:sz w:val="19"/>
                <w:szCs w:val="19"/>
                <w:color w:val="auto"/>
              </w:rPr>
            </w:pPr>
          </w:p>
        </w:tc>
        <w:tc>
          <w:tcPr>
            <w:tcW w:w="3360" w:type="dxa"/>
            <w:vAlign w:val="bottom"/>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60" w:type="dxa"/>
            <w:vAlign w:val="bottom"/>
            <w:tcBorders>
              <w:bottom w:val="single" w:sz="8" w:color="CCEEFF"/>
            </w:tcBorders>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20"/>
                <w:szCs w:val="20"/>
                <w:color w:val="auto"/>
              </w:rPr>
            </w:pPr>
          </w:p>
        </w:tc>
      </w:tr>
      <w:tr>
        <w:trPr>
          <w:trHeight w:val="25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1,320</w:t>
            </w:r>
          </w:p>
        </w:tc>
      </w:tr>
      <w:tr>
        <w:trPr>
          <w:trHeight w:val="225"/>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 obtained in exchange for operating</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4"/>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4,375</w:t>
            </w:r>
          </w:p>
        </w:tc>
      </w:tr>
      <w:tr>
        <w:trPr>
          <w:trHeight w:val="560"/>
        </w:trPr>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24"/>
                <w:szCs w:val="24"/>
                <w:color w:val="auto"/>
              </w:rPr>
            </w:pPr>
          </w:p>
        </w:tc>
        <w:tc>
          <w:tcPr>
            <w:tcW w:w="238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0"/>
        </w:trPr>
        <w:tc>
          <w:tcPr>
            <w:tcW w:w="460" w:type="dxa"/>
            <w:vAlign w:val="bottom"/>
          </w:tcPr>
          <w:p>
            <w:pPr>
              <w:spacing w:after="0"/>
              <w:rPr>
                <w:sz w:val="21"/>
                <w:szCs w:val="21"/>
                <w:color w:val="auto"/>
              </w:rPr>
            </w:pPr>
          </w:p>
        </w:tc>
        <w:tc>
          <w:tcPr>
            <w:tcW w:w="5240" w:type="dxa"/>
            <w:vAlign w:val="bottom"/>
            <w:tcBorders>
              <w:top w:val="single" w:sz="8" w:color="CCECFF"/>
              <w:bottom w:val="single" w:sz="8" w:color="CCECFF"/>
            </w:tcBorders>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360" w:type="dxa"/>
            <w:vAlign w:val="bottom"/>
            <w:tcBorders>
              <w:top w:val="single" w:sz="8" w:color="CCECFF"/>
              <w:bottom w:val="single" w:sz="8" w:color="CCECFF"/>
            </w:tcBorders>
            <w:shd w:val="clear" w:color="auto" w:fill="CCECFF"/>
          </w:tcPr>
          <w:p>
            <w:pPr>
              <w:spacing w:after="0"/>
              <w:rPr>
                <w:sz w:val="21"/>
                <w:szCs w:val="21"/>
                <w:color w:val="auto"/>
              </w:rPr>
            </w:pPr>
          </w:p>
        </w:tc>
        <w:tc>
          <w:tcPr>
            <w:tcW w:w="680" w:type="dxa"/>
            <w:vAlign w:val="bottom"/>
            <w:tcBorders>
              <w:top w:val="single" w:sz="8" w:color="CCECFF"/>
              <w:bottom w:val="single" w:sz="8" w:color="CCECFF"/>
            </w:tcBorders>
            <w:shd w:val="clear" w:color="auto" w:fill="CCECFF"/>
          </w:tcPr>
          <w:p>
            <w:pPr>
              <w:spacing w:after="0"/>
              <w:rPr>
                <w:sz w:val="21"/>
                <w:szCs w:val="21"/>
                <w:color w:val="auto"/>
              </w:rPr>
            </w:pPr>
          </w:p>
        </w:tc>
        <w:tc>
          <w:tcPr>
            <w:tcW w:w="540" w:type="dxa"/>
            <w:vAlign w:val="bottom"/>
            <w:tcBorders>
              <w:top w:val="single" w:sz="8" w:color="auto"/>
              <w:bottom w:val="single" w:sz="8" w:color="CCECFF"/>
            </w:tcBorders>
            <w:shd w:val="clear" w:color="auto" w:fill="CCECFF"/>
          </w:tcPr>
          <w:p>
            <w:pPr>
              <w:spacing w:after="0"/>
              <w:rPr>
                <w:sz w:val="21"/>
                <w:szCs w:val="21"/>
                <w:color w:val="auto"/>
              </w:rPr>
            </w:pPr>
          </w:p>
        </w:tc>
        <w:tc>
          <w:tcPr>
            <w:tcW w:w="140" w:type="dxa"/>
            <w:vAlign w:val="bottom"/>
            <w:tcBorders>
              <w:top w:val="single" w:sz="8" w:color="auto"/>
              <w:bottom w:val="single" w:sz="8" w:color="CCECFF"/>
            </w:tcBorders>
            <w:shd w:val="clear" w:color="auto" w:fill="CCECFF"/>
          </w:tcPr>
          <w:p>
            <w:pPr>
              <w:spacing w:after="0"/>
              <w:rPr>
                <w:sz w:val="21"/>
                <w:szCs w:val="21"/>
                <w:color w:val="auto"/>
              </w:rPr>
            </w:pPr>
          </w:p>
        </w:tc>
        <w:tc>
          <w:tcPr>
            <w:tcW w:w="380" w:type="dxa"/>
            <w:vAlign w:val="bottom"/>
            <w:tcBorders>
              <w:top w:val="single" w:sz="8" w:color="auto"/>
              <w:bottom w:val="single" w:sz="8" w:color="CCECFF"/>
            </w:tcBorders>
            <w:shd w:val="clear" w:color="auto" w:fill="CCECFF"/>
          </w:tcPr>
          <w:p>
            <w:pPr>
              <w:spacing w:after="0"/>
              <w:rPr>
                <w:sz w:val="21"/>
                <w:szCs w:val="21"/>
                <w:color w:val="auto"/>
              </w:rPr>
            </w:pPr>
          </w:p>
        </w:tc>
        <w:tc>
          <w:tcPr>
            <w:tcW w:w="88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460" w:type="dxa"/>
            <w:vAlign w:val="bottom"/>
            <w:tcBorders>
              <w:top w:val="single" w:sz="8" w:color="auto"/>
              <w:bottom w:val="single" w:sz="8" w:color="CCECFF"/>
            </w:tcBorders>
            <w:shd w:val="clear" w:color="auto" w:fill="CCECFF"/>
          </w:tcPr>
          <w:p>
            <w:pPr>
              <w:spacing w:after="0"/>
              <w:rPr>
                <w:sz w:val="21"/>
                <w:szCs w:val="21"/>
                <w:color w:val="auto"/>
              </w:rPr>
            </w:pPr>
          </w:p>
        </w:tc>
        <w:tc>
          <w:tcPr>
            <w:tcW w:w="100" w:type="dxa"/>
            <w:vAlign w:val="bottom"/>
            <w:tcBorders>
              <w:top w:val="single" w:sz="8" w:color="auto"/>
              <w:bottom w:val="single" w:sz="8" w:color="CCECFF"/>
            </w:tcBorders>
            <w:shd w:val="clear" w:color="auto" w:fill="CCECFF"/>
          </w:tcPr>
          <w:p>
            <w:pPr>
              <w:spacing w:after="0"/>
              <w:rPr>
                <w:sz w:val="21"/>
                <w:szCs w:val="21"/>
                <w:color w:val="auto"/>
              </w:rPr>
            </w:pPr>
          </w:p>
        </w:tc>
        <w:tc>
          <w:tcPr>
            <w:tcW w:w="420" w:type="dxa"/>
            <w:vAlign w:val="bottom"/>
            <w:tcBorders>
              <w:top w:val="single" w:sz="8" w:color="auto"/>
              <w:bottom w:val="single" w:sz="8" w:color="CCECFF"/>
            </w:tcBorders>
            <w:shd w:val="clear" w:color="auto" w:fill="CCECFF"/>
          </w:tcPr>
          <w:p>
            <w:pPr>
              <w:spacing w:after="0"/>
              <w:rPr>
                <w:sz w:val="21"/>
                <w:szCs w:val="21"/>
                <w:color w:val="auto"/>
              </w:rPr>
            </w:pPr>
          </w:p>
        </w:tc>
        <w:tc>
          <w:tcPr>
            <w:tcW w:w="96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5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37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200" w:type="dxa"/>
            <w:vAlign w:val="bottom"/>
            <w:tcBorders>
              <w:bottom w:val="single" w:sz="8" w:color="CCECFF"/>
            </w:tcBorders>
            <w:shd w:val="clear" w:color="auto" w:fill="CCECFF"/>
          </w:tcPr>
          <w:p>
            <w:pPr>
              <w:spacing w:after="0"/>
              <w:rPr>
                <w:sz w:val="21"/>
                <w:szCs w:val="21"/>
                <w:color w:val="auto"/>
              </w:rPr>
            </w:pPr>
          </w:p>
        </w:tc>
        <w:tc>
          <w:tcPr>
            <w:tcW w:w="118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CCECFF"/>
            </w:tcBorders>
            <w:shd w:val="clear" w:color="auto" w:fill="CCECFF"/>
          </w:tcPr>
          <w:p>
            <w:pPr>
              <w:spacing w:after="0"/>
              <w:rPr>
                <w:sz w:val="21"/>
                <w:szCs w:val="21"/>
                <w:color w:val="auto"/>
              </w:rPr>
            </w:pPr>
          </w:p>
        </w:tc>
        <w:tc>
          <w:tcPr>
            <w:tcW w:w="5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CCECFF"/>
            </w:tcBorders>
            <w:shd w:val="clear" w:color="auto" w:fill="CCECFF"/>
          </w:tcPr>
          <w:p>
            <w:pPr>
              <w:spacing w:after="0"/>
              <w:rPr>
                <w:sz w:val="21"/>
                <w:szCs w:val="21"/>
                <w:color w:val="auto"/>
              </w:rPr>
            </w:pPr>
          </w:p>
        </w:tc>
        <w:tc>
          <w:tcPr>
            <w:tcW w:w="9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44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4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460" w:type="dxa"/>
            <w:vAlign w:val="bottom"/>
          </w:tcPr>
          <w:p>
            <w:pPr>
              <w:spacing w:after="0"/>
              <w:rPr>
                <w:sz w:val="23"/>
                <w:szCs w:val="23"/>
                <w:color w:val="auto"/>
              </w:rPr>
            </w:pPr>
          </w:p>
        </w:tc>
        <w:tc>
          <w:tcPr>
            <w:tcW w:w="37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Finance lease ROU assets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CFF"/>
          </w:tcPr>
          <w:p>
            <w:pPr>
              <w:spacing w:after="0"/>
              <w:rPr>
                <w:sz w:val="23"/>
                <w:szCs w:val="23"/>
                <w:color w:val="auto"/>
              </w:rPr>
            </w:pPr>
          </w:p>
        </w:tc>
        <w:tc>
          <w:tcPr>
            <w:tcW w:w="118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c>
          <w:tcPr>
            <w:tcW w:w="360" w:type="dxa"/>
            <w:vAlign w:val="bottom"/>
            <w:shd w:val="clear" w:color="auto" w:fill="CCECFF"/>
          </w:tcPr>
          <w:p>
            <w:pPr>
              <w:spacing w:after="0"/>
              <w:rPr>
                <w:sz w:val="23"/>
                <w:szCs w:val="23"/>
                <w:color w:val="auto"/>
              </w:rPr>
            </w:pPr>
          </w:p>
        </w:tc>
        <w:tc>
          <w:tcPr>
            <w:tcW w:w="1220" w:type="dxa"/>
            <w:vAlign w:val="bottom"/>
            <w:gridSpan w:val="2"/>
            <w:shd w:val="clear" w:color="auto" w:fill="CCEC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23"/>
                <w:szCs w:val="23"/>
                <w:color w:val="auto"/>
              </w:rPr>
            </w:pPr>
          </w:p>
        </w:tc>
        <w:tc>
          <w:tcPr>
            <w:tcW w:w="380" w:type="dxa"/>
            <w:vAlign w:val="bottom"/>
            <w:shd w:val="clear" w:color="auto" w:fill="CCECFF"/>
          </w:tcPr>
          <w:p>
            <w:pPr>
              <w:spacing w:after="0"/>
              <w:rPr>
                <w:sz w:val="23"/>
                <w:szCs w:val="23"/>
                <w:color w:val="auto"/>
              </w:rPr>
            </w:pPr>
          </w:p>
        </w:tc>
        <w:tc>
          <w:tcPr>
            <w:tcW w:w="880" w:type="dxa"/>
            <w:vAlign w:val="bottom"/>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5,834</w:t>
            </w:r>
          </w:p>
        </w:tc>
        <w:tc>
          <w:tcPr>
            <w:tcW w:w="560" w:type="dxa"/>
            <w:vAlign w:val="bottom"/>
            <w:gridSpan w:val="2"/>
            <w:shd w:val="clear" w:color="auto" w:fill="CCEC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3"/>
                <w:szCs w:val="23"/>
                <w:color w:val="auto"/>
              </w:rPr>
            </w:pPr>
          </w:p>
        </w:tc>
        <w:tc>
          <w:tcPr>
            <w:tcW w:w="420" w:type="dxa"/>
            <w:vAlign w:val="bottom"/>
            <w:shd w:val="clear" w:color="auto" w:fill="CCECFF"/>
          </w:tcPr>
          <w:p>
            <w:pPr>
              <w:spacing w:after="0"/>
              <w:rPr>
                <w:sz w:val="23"/>
                <w:szCs w:val="23"/>
                <w:color w:val="auto"/>
              </w:rPr>
            </w:pPr>
          </w:p>
        </w:tc>
        <w:tc>
          <w:tcPr>
            <w:tcW w:w="96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8"/>
                <w:szCs w:val="18"/>
                <w:color w:val="auto"/>
              </w:rPr>
              <w:t>8,117</w:t>
            </w:r>
          </w:p>
        </w:tc>
        <w:tc>
          <w:tcPr>
            <w:tcW w:w="4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-1696720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-1696720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1" w:lineRule="exact"/>
        <w:rPr>
          <w:sz w:val="20"/>
          <w:szCs w:val="20"/>
          <w:color w:val="auto"/>
        </w:rPr>
      </w:pPr>
    </w:p>
    <w:p>
      <w:pPr>
        <w:ind w:left="360" w:right="180" w:hanging="352"/>
        <w:spacing w:after="0" w:line="230" w:lineRule="auto"/>
        <w:tabs>
          <w:tab w:leader="none" w:pos="34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As of September 30, 2025, the Company recorded accumulated amortization of $6.6 million for the finance lease ROU asset. Finance lease ROU assets are recorded within property and equipment, net on the Company’s </w:t>
      </w:r>
      <w:r>
        <w:rPr>
          <w:rFonts w:ascii="Times New Roman" w:cs="Times New Roman" w:eastAsia="Times New Roman" w:hAnsi="Times New Roman"/>
          <w:sz w:val="17"/>
          <w:szCs w:val="17"/>
          <w:color w:val="auto"/>
        </w:rPr>
        <w:t>condensed</w:t>
      </w:r>
      <w:r>
        <w:rPr>
          <w:rFonts w:ascii="Times New Roman" w:cs="Times New Roman" w:eastAsia="Times New Roman" w:hAnsi="Times New Roman"/>
          <w:sz w:val="16"/>
          <w:szCs w:val="16"/>
          <w:color w:val="auto"/>
        </w:rPr>
        <w:t xml:space="preserve"> consolidated balance sheets.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future minimum lease payments during the next five years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Year Ended December 31,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September 30, 2025. In the normal course of business, the Company enters into contracts with suppliers, primarily related to construction, and has commitments of approximately $326.4 million as of September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Coinbase Master Loan Agreement</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the Coinbase Master Loan Agreement, under which the Company established the Coinbase Overnight Credit Facility of $25.0 million. The Company will not incur commitment fees for unused portions of the Coinbase Overnight Credit Facility. The borrowing rate on amounts drawn against the Credit Facility is determined based on the Federal Funds Target Rate - Upper Bound, plus 2.5%, calculated daily based on a 365-day year and payable monthly for the duration of the loan, and market demand. Borrowings under the Coinbase Overnight Credit Facility are available on demand, open term, and collateralized by bitcoin transferred to the Lending Service Provider’s platform. Since the Lender has the right to rehypothecate the bitcoin held as collateral, the Company derecognizes the bitcoin transferred. The Company has the right to receive the bitcoin back from the Lender upon repayment of the Coinbase Overnight Credit Facility, and as such recognized a receivable for bitcoin collateral measured at fair value of the bitcoin to be received upon repayment. The Company may also withdraw bitcoin if the loan becomes over-collateralized due to increases in bitcoin price.</w:t>
      </w:r>
    </w:p>
    <w:p>
      <w:pPr>
        <w:spacing w:after="0" w:line="1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nothing outstanding on the Coinbase Overnight Credit Facility. The Company had $25.0 million balance outstanding on the Coinbase Overnight Credit Facility at a weighted average interest rate of 9.5% as of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Two Prime Lending Facility</w:t>
      </w:r>
    </w:p>
    <w:p>
      <w:pPr>
        <w:spacing w:after="0" w:line="20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also has a $100.0 million secured credit facility with Two Prime Lending Limited (“Two Prime Credit Facility”). Borrowings on this facility will be backed by the Company’s bitcoin held in a triparty account. The Company has not drawn on the Two Prime Credit Facility, and as such has nothing outstanding on this facility as of September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Luxor Purchase and Sale Agreement</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the ability to enter into agreements with Luxor Technology Corporation (“Luxor”) to borrow bitcoin to be repaid at a fixed amount of bitcoin per day over fixed periods. The Company records the outstanding balance at fair value in Short-term borrowings based on the current bitcoin price, with changes in fair value recorded in Other income (loss).</w:t>
      </w:r>
    </w:p>
    <w:p>
      <w:pPr>
        <w:spacing w:after="0" w:line="1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no ongoing transactions with Luxor under the Luxor Purchase and Sales Agreement. As of December 31, 2024 the Company owed approximately 80.3 bitcoin valued at $7.3 million related to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long-term borrowings, net of debt issuance cost as of the period presented:</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4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4"/>
        </w:trPr>
        <w:tc>
          <w:tcPr>
            <w:tcW w:w="3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Unamortized debt issuance</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costs and original issue</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discounts and premium,</w:t>
            </w:r>
          </w:p>
        </w:tc>
        <w:tc>
          <w:tcPr>
            <w:tcW w:w="16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38"/>
        </w:trPr>
        <w:tc>
          <w:tcPr>
            <w:tcW w:w="310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0" w:type="dxa"/>
            <w:vAlign w:val="bottom"/>
          </w:tcPr>
          <w:p>
            <w:pPr>
              <w:spacing w:after="0"/>
              <w:rPr>
                <w:sz w:val="20"/>
                <w:szCs w:val="20"/>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6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Borrowings, net</w:t>
            </w:r>
          </w:p>
        </w:tc>
      </w:tr>
      <w:tr>
        <w:trPr>
          <w:trHeight w:val="27"/>
        </w:trPr>
        <w:tc>
          <w:tcPr>
            <w:tcW w:w="3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 Convertible Notes</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May 2030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167,392</w:t>
            </w:r>
          </w:p>
        </w:tc>
      </w:tr>
      <w:tr>
        <w:trPr>
          <w:trHeight w:val="27"/>
        </w:trPr>
        <w:tc>
          <w:tcPr>
            <w:tcW w:w="3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 Convertible Notes</w:t>
            </w:r>
          </w:p>
        </w:tc>
        <w:tc>
          <w:tcPr>
            <w:tcW w:w="15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2031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(444,317)</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855,683</w:t>
            </w:r>
          </w:p>
        </w:tc>
      </w:tr>
      <w:tr>
        <w:trPr>
          <w:trHeight w:val="26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borrowings</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1,472,500</w:t>
            </w: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(449,425)</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1,023,075</w:t>
            </w:r>
          </w:p>
        </w:tc>
      </w:tr>
      <w:tr>
        <w:trPr>
          <w:trHeight w:val="20"/>
        </w:trPr>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Long-term borrowings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$172.5 million of principal amount of the 2030 Convertible Notes with an interest rate of 1.75%. The 2030 Convertible Notes are senior, unsecured obligations with interest due semiannually on May 15 and November 15 each year beginning on November 15, 2025. The 2030 Convertible Notes will mature on May 15, 2030, unless earlier repurchased, redeemed or converted.</w:t>
      </w:r>
    </w:p>
    <w:p>
      <w:pPr>
        <w:spacing w:after="0" w:line="1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Before February 15, 2030, noteholders will have the right to convert their 2030 Convertible Notes only upon the occurrence of certain events. From and after February 15, 2030, noteholders may convert their 2030 Convertible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As the Company has the option to settle in shares, these shares are considered potentially dilutive for the calculation of diluted earnings per share. The initial conversion rate is 224.9213 shares of the Company’s common stock per $1,000 principal amount of 2030 Convertible Notes, which represents an initial conversion price of approximately $4.45 per share of the Company’s common stock.</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2030 Convertible Notes will be redeemable, in whole or in part (subject to certain limitations), at the Company’s option at any time, and from time to time, on or after May 22, 2028 and on or before the 30th scheduled trading day immediately before the maturity date, but only if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However, the Company may not redeem less than all of the outstanding 2030 Convertible Notes unless at least $50.0 million aggregate principal amount of 2030 Convertible Notes are outstanding and not called for redemption as of the time the Company sends the related redemption notice.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Convertible Notes</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30, 2025, the Company issued $1.3 billion of principal amount of the 2031 Convertible Notes with an interest rate of 0.00%. The 2031 Convertible Notes are senior, unsecured obligations and will be equal in right of payment with the Company’s existing and future senior, unsecured indebtedness, including the 2030 Convertible Notes. The 2031 Convertible Notes will mature on October 1, 2031, unless earlier repurchased, redeemed or converted.</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Before July 1, 2031, the 2031 Convertible Notes will be convertible only upon satisfaction of certain conditions and during certain period. On or after July 1, 2031, the 2031 Convertible Notes will be convertible at any time until the close of business on the second scheduled trading day immediately preceding the maturity date (the “2031 Note Conversion Option”). The Company will settle conversions by paying or delivering, as applicable, cash, shares of its common stock, or a combination of cash and shares of its common stock, at the Company’s election. The Company’s ability to elect to settle conversions in whole or in part in shares of common stock will, subject to a limited exception, be subject to receipt of stockholder approval for an increase in the number of its authorized shares of common stock or the Company otherwise increasing the number of shares of its common stock available to settle conversions of the 2031 Convertible Notes. The initial conversion rate is 62.3733 shares of the Company’s common stock per $1,000 principal amount of the 2031 Convertible Notes, which represents an initial conversion price of approximately $16.03 per share of the Company’s common stock.</w:t>
      </w:r>
    </w:p>
    <w:p>
      <w:pPr>
        <w:spacing w:after="0" w:line="1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2031 Convertible Notes will be redeemable, in whole or in part (subject to certain limitations described below), for cash at the Company’s option at any time, and from time to time, on or after October 5, 2028 and on or before the 30th scheduled trading day immediately before the maturity date, but only if (i)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and (ii) certain “liquidity conditions” (as defined in the Indenture) having been satisfied. However, the Company may not redeem less than all of the outstanding 2031 Convertible Notes unless at least $100.0 million aggregate principal amount of 2031 Convertible Notes are outstanding and not called for redemption as of the time the Company sends the related redemption notice.</w:t>
      </w:r>
    </w:p>
    <w:p>
      <w:pPr>
        <w:spacing w:after="0" w:line="1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accounting for the issuance of the 2031 Convertible Notes, the 2031 Note Conversion Option of the 2031 Convertible Notes was deemed an embedded derivative that required bifurcation from the 2031 Convertible Notes and separate accounting as a derivative liability, resulting from the Company not having the necessary number of authorized but unissued shares of its common stock available to settle the 2031 Note Conversion Option. The proceeds from the 2031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were first allocated to the embedded derivative and the remaining proceeds were allocated to the 2031 Convertible Notes.</w:t>
      </w:r>
    </w:p>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September 30, 2025, the issuance date, the fair value of the 2031 Note Conversion Option was $414.3 million. This balance is recorded in Derivative liability on the condensed consolidated balance sheet.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September 30, 2025, 510,000,000 shares with a par value of $0.001 per share are authorized, of which, 500,000,000 shares are designated as Common Stock and 10,000,000 shares are designated as preferred stock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unaudited condensed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issued 4,362,995 shares of Common Stock to officers, employees and consultants in settlement of an equal number of fully vested RSUs awarded to these individuals, and 358,206 shares of Common Stock to directors, pursuant to grants made under the Cipher Mining Inc. 2021 Incentive Award Plan (the “Incentive Award Plan”). The Company immediately repurchased 1,675,624 of these shares of Common Stock from officers and employees, with a fair value of approximately $7.3 million, to cover taxes related to the settlement of vested RSUs, as permitted by the Incentive Award Plan. The Company placed the repurchased shares in treasury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w:t>
      </w:r>
    </w:p>
    <w:p>
      <w:pPr>
        <w:spacing w:after="0" w:line="18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among the Original Agents, Stifel, Nicolaus &amp; Company, Incorporated (“Stifel”) and Virtu Americas LLC (“Virtu”). The Amendment modifies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to include Stifel and Virtu as additional agents under the Amended Sales Agreement. On March 6, 2024, the Company also filed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Prospectus Supplement (i) increasing the dollar amount of shares available to be sold pursuant to the Amended Sales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$296,560,661, which consists of $96,560,661 remaining as originally authorized under the Prospectus Supplement and an additional $200,000,000,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Stifel and Virtu as additional agents.</w:t>
      </w:r>
    </w:p>
    <w:p>
      <w:pPr>
        <w:spacing w:after="0" w:line="2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3, 2024, the Company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w:t>
      </w:r>
    </w:p>
    <w:p>
      <w:pPr>
        <w:spacing w:after="0" w:line="13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Pursuant to the Amended and Restated Sales Agreement, the Company may offer and sell, from time to time through or to the Agents, shares of the Company’s Common Stock, for aggregate gross proceeds of up to $725.7 million (the “Shares”), which consists of (i) up to $125.7 million remaining as authorized under the Company’s Registration Statement, the base prospectus contained within the Registration Statement, and the Prospectus Supplement, as amended on September 3, 2024 and (ii) up to $600.0 million of Shares, which can be issued and sold pursuant to the Company’s shelf registration</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statement on Form S-3ASR, filed with the SEC on September 3, 2024, which became immediately effective upon filing, and a prospectus supplement dated September 3, 2024, filed by the Company with the SEC.</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Amended and Restated Sales Agreement, the Agent selected by the Company (such Agent, the “Designated Agent”) may sell the Shares in sales deemed to be “at-the-market offerings” as defined in Rule 415(a)(4) promulgated under the Securities Act. The Company has no obligation to sell any of the Shares under the Amended and Restated Sales Agreement and may at any time suspend or terminate the offering of the Shares pursuant to the Amended and Restated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Amended and Restated Sales Agreement, the Company agreed to pay the Designated Agent a commission up to 3.0% of the aggregate gross proceeds from any Shares sold through such Designated Agent pursuant to the Amended and Restated Sales Agreement. In addition, the Company agreed to reimburse certain expenses incurred by the Agents in connection with the Amended and Restated Sales Agreement. During the nine months ended September 30, 2025, in connection with the Amended and Restated Sales Agreement, the Company received proceeds of $117.4 million, net of issuance costs, from the sale of 29,334,701 shares of common stock, with an average net selling price of $4.00 per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WARRANTS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assumed Common Stock warrants that were originally issued in the Good Works Acquisition Corp (“GWAC”)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8,613,935 Public Warrants and no Private Placement Warrants outstanding as of September 30, 2025, and December 31, 2024.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September 24, 2025, as consideration for Google agreeing to backstop certain obligations of Fluidstack in connection with the Barber Lake Facility lease, the Company entered into a warrant agreement with Google (the “Google Warrant Agreement”), pursuant to which the Company issued to Google warrants to purchase 24,178,576 shares (the “Warrant Shares”) of the Company’s Common Stock for an exercise price of $0.01 per share of Common Stock (the “Google Warrants”). The Google Warrants have an exercise period beginning on the commencement date of the Barber Lake Facility lease and expiring on September 24, 2030. Solely in the event that the Company does not obtain approval from its stockholders to increase the number of shares of Common Stock authorized for issuance pursuant to its Second Amended and Restated Certificate of Incorporation, the Google Warrants may be settled in cash in whole or in part at the election of the Company. Additionally, if, on the business day prior to the beginning of the exercise period under the Google Warrant Agreement, the value of the Warrant Shares does not equal or exceed $430.0 million, the Company shall be obligated to issue additional Warrant Shares and/or make a cash payment equal in the aggregate to such shortfall amount on the terms set forth in the Warrant Agreement. The Google Warrants are recorded at fair value in Warrant liability on the Company’s condensed consolidated balance sheet and changes in the fair value are recorded in Change in fair value of warrant liability on the Company’s condensed consolidated statement of operations.</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recorded an asset of $544.5 million in Other noncurrent assets on the condensed consolidated balance sheet at the fair value of the Google Warrants at issuance to represent the value of Google backstopping the lease payments from Fluidstack. The Company will amortize this asset over the life of the lease to recognize the benefit over the term of the term of the benefit derived from the backstop.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SHARE-BASED COMPENSATION</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Award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2025, this resulted in an increase of 10,523,515 shares of Common Stock available for issuance under the Incentive Award Plan. As of September 30, 2025, 13,766,880 shares of Common Stock were available for issuance under the Incentive Award Plan.</w:t>
      </w:r>
    </w:p>
    <w:p>
      <w:pPr>
        <w:spacing w:after="0" w:line="15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in Compensation and benefits on the condensed consolidated statements of operations for the following categories of awards as follows (in thousands):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420" w:type="dxa"/>
            <w:vAlign w:val="bottom"/>
          </w:tcPr>
          <w:p>
            <w:pPr>
              <w:spacing w:after="0"/>
              <w:rPr>
                <w:sz w:val="19"/>
                <w:szCs w:val="19"/>
                <w:color w:val="auto"/>
              </w:rPr>
            </w:pPr>
          </w:p>
        </w:tc>
        <w:tc>
          <w:tcPr>
            <w:tcW w:w="342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3040" w:type="dxa"/>
            <w:vAlign w:val="bottom"/>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420" w:type="dxa"/>
            <w:vAlign w:val="bottom"/>
            <w:tcBorders>
              <w:bottom w:val="single" w:sz="8" w:color="CCEC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4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25,665</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r>
      <w:tr>
        <w:trPr>
          <w:trHeight w:val="27"/>
        </w:trPr>
        <w:tc>
          <w:tcPr>
            <w:tcW w:w="4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fully-vested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63"/>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6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31,865</w:t>
            </w:r>
          </w:p>
        </w:tc>
      </w:tr>
      <w:tr>
        <w:trPr>
          <w:trHeight w:val="21"/>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-736600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-736600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nine months ended September 30, 2025 is shown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r>
      <w:tr>
        <w:trPr>
          <w:trHeight w:val="239"/>
        </w:trPr>
        <w:tc>
          <w:tcPr>
            <w:tcW w:w="636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15,922,220</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4,270,421</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7"/>
        </w:trPr>
        <w:tc>
          <w:tcPr>
            <w:tcW w:w="6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(4,362,994)</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6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September 30, 2025</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15,829,647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r>
      <w:tr>
        <w:trPr>
          <w:trHeight w:val="120"/>
        </w:trPr>
        <w:tc>
          <w:tcPr>
            <w:tcW w:w="63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(1) Does not include RSUs that have not settled as of September 30, 2025</w:t>
            </w:r>
          </w:p>
        </w:tc>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r>
      <w:tr>
        <w:trPr>
          <w:trHeight w:val="35"/>
        </w:trPr>
        <w:tc>
          <w:tcPr>
            <w:tcW w:w="63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bl>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approximately $17.2 million of unrecognized compensation expense related to unvested Service-Based RSUs, which is expected to be recognized over a weighted-average vesting period of approximately 0.8 years.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not fully vested upon grant, service-based RSUs awarded generally vest over a period ranging from three to four years in installments as determined by the Board.</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(unless otherwise specified in the agreement between the award recipient and the Company).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CEO remains in continuous service through such achievement, any then-unvested service-based RSUs awarded to the CEO will also vest.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2021, the Company issued 4,257,710 performance-based RSUs (the “2021 Performance-Based RSUs”) at a weighted average grant date fair value of $7.76. None of the 2021 Performance-Based RSUs were vested as of September 30, 2025. There was no unrecognized compensation expense related to unvested performance-based RSUs at September 30, 2025.</w:t>
      </w:r>
    </w:p>
    <w:p>
      <w:pPr>
        <w:spacing w:after="0" w:line="13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One-third of the outstanding 2021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2021 Performance-Based RSUs that do not vest prior to the CEO’s termination of service or, if earlier, in connection with a change in control will be forfeited for no consideration.</w:t>
      </w:r>
    </w:p>
    <w:p>
      <w:pPr>
        <w:spacing w:after="0" w:line="15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26, 2025, the Company issued an additional 2,490,943 Performance-Based RSUs (the “2025 Performance-Based RSUs”) to the Company’s senior management team under the Incentive Award Plan at a weighted average grant date fair value of $5.01. None of the 2025 Performance-Based RSUs were vested as of September 30, 2025. There was approximately $6.8 million in unrecognized compensation expense related to the 2025 Performance-Based RSUs at September 30, 2025, which is expected to be recognized over a weighted-average vesting period of approximately 1.25 years, regardless of whether the market conditions required for vesting are achieved.</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31, 2025 the Company will calculate the number of Performance-Based RSUs expected to vest (the “Earned PSUs”), based upon the Company’s common stock achieving certain Total Shareholder Return (TSR) relative to the TSR of peer companies identified in the grant agreements and the overall TSR of the Company for the 2025 calendar year. The number of Earned PSUs will range from 0% to 225% of the number of 2025 Performance-Based RSU’s originally granted. Subject to the employee’s continuous service through the vesting date, one-third of the Earned PSUs will vest on December 31, 2025, and the remaining two-thirds of the Earned PSUs will vest in equal quarterly installments over the following two years with the first such vesting date occurring on March 31,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of the 2025 Performance-Based RSUs was measured using a Monte Carlo simulation model based on the following assumptions:</w:t>
      </w:r>
    </w:p>
    <w:p>
      <w:pPr>
        <w:spacing w:after="0" w:line="297" w:lineRule="exact"/>
        <w:rPr>
          <w:sz w:val="20"/>
          <w:szCs w:val="20"/>
          <w:color w:val="auto"/>
        </w:rPr>
      </w:pPr>
    </w:p>
    <w:tbl>
      <w:tblPr>
        <w:tblLayout w:type="fixed"/>
        <w:tblInd w:w="3580" w:type="dxa"/>
        <w:tblCellMar>
          <w:top w:w="0" w:type="dxa"/>
          <w:left w:w="0" w:type="dxa"/>
          <w:bottom w:w="0" w:type="dxa"/>
          <w:right w:w="0" w:type="dxa"/>
        </w:tblCellMar>
      </w:tblPr>
      <w:tr>
        <w:trPr>
          <w:trHeight w:val="27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4.14%</w:t>
            </w:r>
          </w:p>
        </w:tc>
      </w:tr>
      <w:tr>
        <w:trPr>
          <w:trHeight w:val="24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111.5%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MEASUREMENTS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September 30, 2025</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6"/>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1,004,421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1,004,421</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Power Purchase Agreement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Capped Calls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89,939</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1,189,199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1,347,628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414,320</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512,590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926,910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2024</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for bitcoin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Purchase Agreement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loan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-3205480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-3205480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-3205480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-3916680</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-3916680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-3916680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-4439920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-4439920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-4439920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-5811520</wp:posOffset>
            </wp:positionV>
            <wp:extent cx="59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-5811520</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-5811520</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-762000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-762000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-762000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not subject to fair value measurement on a recurring basis and the level of inputs used for such measurements were as follows as of the dates indicated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0"/>
        </w:trPr>
        <w:tc>
          <w:tcPr>
            <w:tcW w:w="474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carrying</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9"/>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 Convertible Notes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517,356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517,356</w:t>
            </w: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2031 Convertible Notes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855,683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1,015,230</w:t>
            </w:r>
          </w:p>
        </w:tc>
      </w:tr>
      <w:tr>
        <w:trPr>
          <w:trHeight w:val="27"/>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47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1,532,586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1,532,586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financial assets and liabilities not subject to fair value measurement on a recurring basis as of December 31, 2024.</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condensed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w:t>
      </w:r>
    </w:p>
    <w:p>
      <w:pPr>
        <w:spacing w:after="0" w:line="20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described in Note 4. Derivative Assets, the Company entered into capped call transactions to reduce the potential dilution of the Company’s common stock upon any conversion of the 2031 Convertible Notes and/or offset any potential cash payments the Company is required to make in excess of the principal amount of converted 2031 Convertible Notes. The Capped Call Transactions are classified as Level 2 and unrealized gains associated with the Capped Call Transaction are included in Other income on the condensed consolidated statement of operations.The Company engaged a valuation firm to determine the fair value of the Capped Call Transactions using a Black-Scholes option-pricing model and the quoted price of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assumptions utilized in the valuations of the Capped Call Transaction as of the date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20" w:type="dxa"/>
            <w:vAlign w:val="bottom"/>
          </w:tcPr>
          <w:p>
            <w:pPr>
              <w:spacing w:after="0"/>
              <w:rPr>
                <w:sz w:val="20"/>
                <w:szCs w:val="20"/>
                <w:color w:val="auto"/>
              </w:rPr>
            </w:pPr>
          </w:p>
        </w:tc>
        <w:tc>
          <w:tcPr>
            <w:tcW w:w="2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7"/>
        </w:trPr>
        <w:tc>
          <w:tcPr>
            <w:tcW w:w="8920" w:type="dxa"/>
            <w:vAlign w:val="bottom"/>
            <w:tcBorders>
              <w:bottom w:val="single" w:sz="8" w:color="CCEC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8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21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$16.03</w:t>
            </w: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 Price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$23.32</w:t>
            </w:r>
          </w:p>
        </w:tc>
      </w:tr>
      <w:tr>
        <w:trPr>
          <w:trHeight w:val="27"/>
        </w:trPr>
        <w:tc>
          <w:tcPr>
            <w:tcW w:w="89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1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8"/>
              </w:rPr>
              <w:t>59.9%</w:t>
            </w: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power purchase agreement, related to the Luminant Power Agreement, is divided between current and noncurrent assets, and was initially recorded on its condensed consolidated balance sheets on the derivative asset’s effective date of July 1, 2022, with an offsetting amount recorded to change in fair value of derivative asset in costs and operating expenses on the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and a remaining term of approximately 1.8 years. The valuations performed by the third-party valuation firm engaged by the Company utilized pre-tax discount rates of 5.21% and 5.96% as of September 30, 2025 and December 31, 2024,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power purchase agreement measured using significant unobservable inputs (Level 3) for the nine months ended September 30, 2025 and 2024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7960" w:type="dxa"/>
            <w:vAlign w:val="bottom"/>
            <w:tcBorders>
              <w:bottom w:val="single" w:sz="8" w:color="CCEC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rPr>
              <w:t>85,670</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6"/>
              </w:rPr>
              <w:t>93,591</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Pr>
          <w:p>
            <w:pPr>
              <w:spacing w:after="0"/>
              <w:rPr>
                <w:sz w:val="21"/>
                <w:szCs w:val="21"/>
                <w:color w:val="auto"/>
              </w:rPr>
            </w:pPr>
          </w:p>
        </w:tc>
        <w:tc>
          <w:tcPr>
            <w:tcW w:w="134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7"/>
              </w:rPr>
              <w:t>(17,180)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rPr>
              <w:t>(19,181)</w:t>
            </w:r>
          </w:p>
        </w:tc>
      </w:tr>
      <w:tr>
        <w:trPr>
          <w:trHeight w:val="27"/>
        </w:trPr>
        <w:tc>
          <w:tcPr>
            <w:tcW w:w="796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CFF"/>
          </w:tcPr>
          <w:p>
            <w:pPr>
              <w:jc w:val="center"/>
              <w:ind w:left="594"/>
              <w:spacing w:after="0"/>
              <w:rPr>
                <w:sz w:val="20"/>
                <w:szCs w:val="20"/>
                <w:color w:val="auto"/>
              </w:rPr>
            </w:pPr>
            <w:r>
              <w:rPr>
                <w:rFonts w:ascii="Times New Roman" w:cs="Times New Roman" w:eastAsia="Times New Roman" w:hAnsi="Times New Roman"/>
                <w:sz w:val="18"/>
                <w:szCs w:val="18"/>
                <w:color w:val="auto"/>
              </w:rPr>
              <w:t>68,490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center"/>
              <w:ind w:left="492"/>
              <w:spacing w:after="0"/>
              <w:rPr>
                <w:sz w:val="20"/>
                <w:szCs w:val="20"/>
                <w:color w:val="auto"/>
              </w:rPr>
            </w:pPr>
            <w:r>
              <w:rPr>
                <w:rFonts w:ascii="Times New Roman" w:cs="Times New Roman" w:eastAsia="Times New Roman" w:hAnsi="Times New Roman"/>
                <w:sz w:val="18"/>
                <w:szCs w:val="18"/>
                <w:color w:val="auto"/>
                <w:w w:val="96"/>
              </w:rPr>
              <w:t>74,410</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bottom w:val="single" w:sz="8" w:color="auto"/>
            </w:tcBorders>
          </w:tcPr>
          <w:p>
            <w:pPr>
              <w:spacing w:after="0" w:line="20" w:lineRule="exact"/>
              <w:rPr>
                <w:sz w:val="1"/>
                <w:szCs w:val="1"/>
                <w:color w:val="auto"/>
              </w:rPr>
            </w:pPr>
          </w:p>
        </w:tc>
        <w:tc>
          <w:tcPr>
            <w:tcW w:w="134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8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Private Placement Warrants (as defined in </w:t>
      </w:r>
      <w:r>
        <w:rPr>
          <w:rFonts w:ascii="Times New Roman" w:cs="Times New Roman" w:eastAsia="Times New Roman" w:hAnsi="Times New Roman"/>
          <w:sz w:val="18"/>
          <w:szCs w:val="18"/>
          <w:i w:val="1"/>
          <w:iCs w:val="1"/>
          <w:color w:val="auto"/>
        </w:rPr>
        <w:t>Note 16. Warrants</w:t>
      </w:r>
      <w:r>
        <w:rPr>
          <w:rFonts w:ascii="Times New Roman" w:cs="Times New Roman" w:eastAsia="Times New Roman" w:hAnsi="Times New Roman"/>
          <w:sz w:val="18"/>
          <w:szCs w:val="18"/>
          <w:color w:val="auto"/>
        </w:rPr>
        <w:t>) were classified within Level 3 of the fair value hierarchy because the fair value is based on significant inputs that are unobservable in the market. The valuation of the Private Placement Warrants used assumptions and estimates the Company believes would be made by a market participant in making the same valuation. As of March 31, 2024, all Private Placement Warrants were converted to Public Warrants, and as such no Private Placement Warrants were outstanding as of September 30, 2025.</w:t>
      </w:r>
    </w:p>
    <w:p>
      <w:pPr>
        <w:spacing w:after="0" w:line="15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Common Stock. The following table presents significant assumptions utilized in the valuations of the Private Placement Warrants as of the date indicated:</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8920" w:type="dxa"/>
            <w:vAlign w:val="bottom"/>
          </w:tcPr>
          <w:p>
            <w:pPr>
              <w:spacing w:after="0"/>
              <w:rPr>
                <w:sz w:val="20"/>
                <w:szCs w:val="20"/>
                <w:color w:val="auto"/>
              </w:rPr>
            </w:pPr>
          </w:p>
        </w:tc>
        <w:tc>
          <w:tcPr>
            <w:tcW w:w="2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8920" w:type="dxa"/>
            <w:vAlign w:val="bottom"/>
            <w:tcBorders>
              <w:bottom w:val="single" w:sz="8" w:color="CCEC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1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89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8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1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124.0%</w:t>
            </w: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9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8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6"/>
              </w:rPr>
              <w:t>$11.50</w:t>
            </w:r>
          </w:p>
        </w:tc>
      </w:tr>
      <w:tr>
        <w:trPr>
          <w:trHeight w:val="27"/>
        </w:trPr>
        <w:tc>
          <w:tcPr>
            <w:tcW w:w="8920" w:type="dxa"/>
            <w:vAlign w:val="bottom"/>
            <w:shd w:val="clear" w:color="auto" w:fill="CCECFF"/>
          </w:tcPr>
          <w:p>
            <w:pPr>
              <w:spacing w:after="0"/>
              <w:rPr>
                <w:sz w:val="2"/>
                <w:szCs w:val="2"/>
                <w:color w:val="auto"/>
              </w:rPr>
            </w:pPr>
          </w:p>
        </w:tc>
        <w:tc>
          <w:tcPr>
            <w:tcW w:w="2120" w:type="dxa"/>
            <w:vAlign w:val="bottom"/>
            <w:shd w:val="clear" w:color="auto" w:fill="CCEC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estimated fair value of the Private Placement Warrants (amounts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5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6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12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5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6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6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Note Conversion Option</w:t>
      </w:r>
    </w:p>
    <w:p>
      <w:pPr>
        <w:spacing w:after="0" w:line="20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Company’s 2031 Note Conversion Option is classified within Level 3 of the fair value hierarchy because the fair value is based on significant inputs that are unobservable in the market. The valuation of the 2031 Note Conversion Option used assumptions and estimates the Company believes would be made by a market participant in making the same valuation.</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2031 Note Conversion Option using a binomial lattice model. The following table presents significant assumptions utilized in the valuations of the 2031 Note Conversion Option as of the date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2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50"/>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51.00%</w:t>
            </w: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3.84%</w:t>
            </w:r>
          </w:p>
        </w:tc>
      </w:tr>
      <w:tr>
        <w:trPr>
          <w:trHeight w:val="27"/>
        </w:trPr>
        <w:tc>
          <w:tcPr>
            <w:tcW w:w="89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r>
      <w:tr>
        <w:trPr>
          <w:trHeight w:val="27"/>
        </w:trPr>
        <w:tc>
          <w:tcPr>
            <w:tcW w:w="89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Price</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$16.03</w:t>
            </w:r>
          </w:p>
        </w:tc>
      </w:tr>
      <w:tr>
        <w:trPr>
          <w:trHeight w:val="27"/>
        </w:trPr>
        <w:tc>
          <w:tcPr>
            <w:tcW w:w="89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 Warrants</w:t>
      </w:r>
    </w:p>
    <w:p>
      <w:pPr>
        <w:spacing w:after="0" w:line="18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The Company’s Google Warrants (as defined in </w:t>
      </w:r>
      <w:r>
        <w:rPr>
          <w:rFonts w:ascii="Times New Roman" w:cs="Times New Roman" w:eastAsia="Times New Roman" w:hAnsi="Times New Roman"/>
          <w:sz w:val="18"/>
          <w:szCs w:val="18"/>
          <w:i w:val="1"/>
          <w:iCs w:val="1"/>
          <w:color w:val="auto"/>
        </w:rPr>
        <w:t>Note 16. Warrants</w:t>
      </w:r>
      <w:r>
        <w:rPr>
          <w:rFonts w:ascii="Times New Roman" w:cs="Times New Roman" w:eastAsia="Times New Roman" w:hAnsi="Times New Roman"/>
          <w:sz w:val="18"/>
          <w:szCs w:val="18"/>
          <w:color w:val="auto"/>
        </w:rPr>
        <w:t>) were classified within Level 3 of the fair value hierarchy because the fair value is based on significant inputs that are unobservable in the market. The valuation of the Google Warrants used assumptions and estimates the Company believes would be made by a market participant in making the same valuation.</w:t>
      </w:r>
    </w:p>
    <w:p>
      <w:pPr>
        <w:spacing w:after="0" w:line="135" w:lineRule="exact"/>
        <w:rPr>
          <w:sz w:val="20"/>
          <w:szCs w:val="20"/>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The Company engaged a valuation firm to determine the fair value of the Google Warrants using a Black-Scholes option-pricing model and the quoted price of Common Stock. The following table presents significant assumptions utilized in the valuations of the Google Warrants as of the date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3.68%</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20" w:type="dxa"/>
            <w:vAlign w:val="bottom"/>
          </w:tcPr>
          <w:p>
            <w:pPr>
              <w:spacing w:after="0"/>
              <w:rPr>
                <w:sz w:val="21"/>
                <w:szCs w:val="21"/>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112.32%</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20" w:type="dxa"/>
            <w:vAlign w:val="bottom"/>
          </w:tcPr>
          <w:p>
            <w:pPr>
              <w:spacing w:after="0"/>
              <w:rPr>
                <w:sz w:val="21"/>
                <w:szCs w:val="21"/>
                <w:color w:val="auto"/>
              </w:rPr>
            </w:pPr>
          </w:p>
        </w:tc>
        <w:tc>
          <w:tcPr>
            <w:tcW w:w="15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tcPr>
          <w:p>
            <w:pPr>
              <w:spacing w:after="0"/>
              <w:rPr>
                <w:sz w:val="21"/>
                <w:szCs w:val="21"/>
                <w:color w:val="auto"/>
              </w:rPr>
            </w:pPr>
          </w:p>
        </w:tc>
      </w:tr>
      <w:tr>
        <w:trPr>
          <w:trHeight w:val="51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estimated fair value of the Google Warrants (amounts in thousands):</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2"/>
          </w:tcPr>
          <w:p>
            <w:pPr>
              <w:spacing w:after="0"/>
              <w:rPr>
                <w:sz w:val="17"/>
                <w:szCs w:val="17"/>
                <w:color w:val="auto"/>
              </w:rPr>
            </w:pPr>
          </w:p>
        </w:tc>
      </w:tr>
      <w:tr>
        <w:trPr>
          <w:trHeight w:val="250"/>
        </w:trPr>
        <w:tc>
          <w:tcPr>
            <w:tcW w:w="84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as of issuance date</w:t>
            </w:r>
          </w:p>
        </w:tc>
        <w:tc>
          <w:tcPr>
            <w:tcW w:w="120" w:type="dxa"/>
            <w:vAlign w:val="bottom"/>
          </w:tcPr>
          <w:p>
            <w:pPr>
              <w:spacing w:after="0"/>
              <w:rPr>
                <w:sz w:val="21"/>
                <w:szCs w:val="21"/>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544,450</w:t>
            </w:r>
          </w:p>
        </w:tc>
        <w:tc>
          <w:tcPr>
            <w:tcW w:w="64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40" w:type="dxa"/>
            <w:vAlign w:val="bottom"/>
          </w:tcPr>
          <w:p>
            <w:pPr>
              <w:spacing w:after="0"/>
              <w:rPr>
                <w:sz w:val="23"/>
                <w:szCs w:val="23"/>
                <w:color w:val="auto"/>
              </w:rPr>
            </w:pPr>
          </w:p>
        </w:tc>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(31,860)</w:t>
            </w:r>
          </w:p>
        </w:tc>
        <w:tc>
          <w:tcPr>
            <w:tcW w:w="640" w:type="dxa"/>
            <w:vAlign w:val="bottom"/>
          </w:tcPr>
          <w:p>
            <w:pPr>
              <w:spacing w:after="0"/>
              <w:rPr>
                <w:sz w:val="23"/>
                <w:szCs w:val="23"/>
                <w:color w:val="auto"/>
              </w:rPr>
            </w:pPr>
          </w:p>
        </w:tc>
      </w:tr>
      <w:tr>
        <w:trPr>
          <w:trHeight w:val="263"/>
        </w:trPr>
        <w:tc>
          <w:tcPr>
            <w:tcW w:w="84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512,590</w:t>
            </w:r>
          </w:p>
        </w:tc>
        <w:tc>
          <w:tcPr>
            <w:tcW w:w="640" w:type="dxa"/>
            <w:vAlign w:val="bottom"/>
          </w:tcPr>
          <w:p>
            <w:pPr>
              <w:spacing w:after="0"/>
              <w:rPr>
                <w:sz w:val="22"/>
                <w:szCs w:val="22"/>
                <w:color w:val="auto"/>
              </w:rPr>
            </w:pPr>
          </w:p>
        </w:tc>
      </w:tr>
      <w:tr>
        <w:trPr>
          <w:trHeight w:val="20"/>
        </w:trPr>
        <w:tc>
          <w:tcPr>
            <w:tcW w:w="8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currently has one operating segment, Bitcoin Mining, which through operations produce bitcoin to generate revenue. The Chief Operating Decision Maker (“CODM”) for the Company consists of the CEO and CFO. The CODM reviews the performance of its segment primarily based on operating income when deciding on allocating resources between reinvesting in Bitcoin Mining or exploring alternative deployment of resources. Asset information is not regularly provided to the CODM for resource allocation as a large portion of assets are property and equipment that cannot be repurposed for other revenue streams.</w:t>
      </w:r>
    </w:p>
    <w:p>
      <w:pPr>
        <w:spacing w:after="0" w:line="1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nine months ended September 30, 2025 and 2024 are summarized in the following table (in thousands):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6" w:name="page37"/>
    <w:bookmarkEnd w:id="3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7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240" w:type="dxa"/>
            <w:vAlign w:val="bottom"/>
          </w:tcPr>
          <w:p>
            <w:pPr>
              <w:spacing w:after="0"/>
              <w:rPr>
                <w:sz w:val="23"/>
                <w:szCs w:val="23"/>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 bitcoin mining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71,707</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(22,612)</w:t>
            </w: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(37,617)</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34,860</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1"/>
        </w:trPr>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0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24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97"/>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 bitcoin mining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24,102</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(67,737)</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(23,657)</w:t>
            </w: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(91,394)</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(90,556)</w:t>
            </w:r>
          </w:p>
        </w:tc>
      </w:tr>
      <w:tr>
        <w:trPr>
          <w:trHeight w:val="20"/>
        </w:trPr>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80" w:hanging="254"/>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Bitcoin Mining include Power sales, and Other gains.</w:t>
      </w:r>
    </w:p>
    <w:p>
      <w:pPr>
        <w:spacing w:after="0" w:line="63"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items included in adjustments include Compensation and benefits, and General and administrative.</w:t>
      </w:r>
    </w:p>
    <w:p>
      <w:pPr>
        <w:spacing w:after="0" w:line="63"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non-operating items include Change in fair value of warrant liability, and Other expense.</w:t>
      </w: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nine months ended September 30, 2025 and 2024 are summarized in the following table (in thousands):</w:t>
      </w:r>
    </w:p>
    <w:p>
      <w:pPr>
        <w:sectPr>
          <w:pgSz w:w="11900" w:h="16838" w:orient="portrait"/>
          <w:cols w:equalWidth="0" w:num="1">
            <w:col w:w="11180"/>
          </w:cols>
          <w:pgMar w:left="320" w:top="225" w:right="3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37" w:name="page38"/>
    <w:bookmarkEnd w:id="3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7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164,231</w:t>
            </w: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(50,345)</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(70,603)</w:t>
            </w: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(120,948)</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w:t>
            </w:r>
          </w:p>
        </w:tc>
      </w:tr>
      <w:tr>
        <w:trPr>
          <w:trHeight w:val="26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(87,281)</w:t>
            </w:r>
          </w:p>
        </w:tc>
      </w:tr>
      <w:tr>
        <w:trPr>
          <w:trHeight w:val="21"/>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225" w:right="559" w:bottom="1440" w:gutter="0" w:footer="0" w:header="0"/>
        </w:sectPr>
      </w:pPr>
    </w:p>
    <w:p>
      <w:pPr>
        <w:spacing w:after="0" w:line="48"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7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Bitcoin Mining</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109,047</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(44,164)</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(66,131)</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(19,181)</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97"/>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3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-1920875</wp:posOffset>
            </wp:positionV>
            <wp:extent cx="684911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-1577975</wp:posOffset>
            </wp:positionV>
            <wp:extent cx="684911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-1235075</wp:posOffset>
            </wp:positionV>
            <wp:extent cx="684911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-892175</wp:posOffset>
            </wp:positionV>
            <wp:extent cx="684911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-549275</wp:posOffset>
            </wp:positionV>
            <wp:extent cx="684911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-197485</wp:posOffset>
            </wp:positionV>
            <wp:extent cx="684911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21590</wp:posOffset>
            </wp:positionV>
            <wp:extent cx="684911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34290</wp:posOffset>
            </wp:positionV>
            <wp:extent cx="684911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before taxes</w:t>
      </w:r>
    </w:p>
    <w:p>
      <w:pPr>
        <w:spacing w:after="0" w:line="327" w:lineRule="exact"/>
        <w:rPr>
          <w:sz w:val="20"/>
          <w:szCs w:val="20"/>
          <w:color w:val="auto"/>
        </w:rPr>
      </w:pPr>
    </w:p>
    <w:p>
      <w:pPr>
        <w:ind w:left="500" w:hanging="251"/>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Bitcoin Mining include Power sales, and Other gains.</w:t>
      </w:r>
    </w:p>
    <w:p>
      <w:pPr>
        <w:spacing w:after="0" w:line="63" w:lineRule="exact"/>
        <w:rPr>
          <w:rFonts w:ascii="Times New Roman" w:cs="Times New Roman" w:eastAsia="Times New Roman" w:hAnsi="Times New Roman"/>
          <w:sz w:val="18"/>
          <w:szCs w:val="18"/>
          <w:color w:val="auto"/>
        </w:rPr>
      </w:pPr>
    </w:p>
    <w:p>
      <w:pPr>
        <w:ind w:left="500" w:hanging="251"/>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items included in adjustments include Compensation and benefits, and General and administrative.</w:t>
      </w:r>
    </w:p>
    <w:p>
      <w:pPr>
        <w:spacing w:after="0" w:line="63" w:lineRule="exact"/>
        <w:rPr>
          <w:rFonts w:ascii="Times New Roman" w:cs="Times New Roman" w:eastAsia="Times New Roman" w:hAnsi="Times New Roman"/>
          <w:sz w:val="18"/>
          <w:szCs w:val="18"/>
          <w:color w:val="auto"/>
        </w:rPr>
      </w:pPr>
    </w:p>
    <w:p>
      <w:pPr>
        <w:ind w:left="500" w:hanging="251"/>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non-operating items include Change in fair value of warrant liability, and Other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INCOME TAXES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8"/>
          <w:szCs w:val="18"/>
          <w:b w:val="1"/>
          <w:bCs w:val="1"/>
          <w:color w:val="auto"/>
        </w:rPr>
        <w:t>Consolidated</w:t>
      </w:r>
    </w:p>
    <w:p>
      <w:pPr>
        <w:spacing w:after="0" w:line="67" w:lineRule="exact"/>
        <w:rPr>
          <w:sz w:val="20"/>
          <w:szCs w:val="20"/>
          <w:color w:val="auto"/>
        </w:rPr>
      </w:pPr>
    </w:p>
    <w:p>
      <w:pPr>
        <w:ind w:left="769" w:hanging="769"/>
        <w:spacing w:after="0"/>
        <w:tabs>
          <w:tab w:leader="none" w:pos="7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1405890</wp:posOffset>
            </wp:positionV>
            <wp:extent cx="9175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6,641</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(60,779)</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3,027</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(1,118)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57" w:lineRule="exact"/>
        <w:rPr>
          <w:sz w:val="20"/>
          <w:szCs w:val="20"/>
          <w:color w:val="auto"/>
        </w:rPr>
      </w:pPr>
    </w:p>
    <w:p>
      <w:pPr>
        <w:ind w:left="789" w:hanging="789"/>
        <w:spacing w:after="0"/>
        <w:tabs>
          <w:tab w:leader="none" w:pos="7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60325</wp:posOffset>
            </wp:positionV>
            <wp:extent cx="9175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816" w:lineRule="exact"/>
        <w:rPr>
          <w:sz w:val="20"/>
          <w:szCs w:val="20"/>
          <w:color w:val="auto"/>
        </w:rPr>
      </w:pPr>
    </w:p>
    <w:p>
      <w:pPr>
        <w:sectPr>
          <w:pgSz w:w="11900" w:h="16838" w:orient="portrait"/>
          <w:cols w:equalWidth="0" w:num="2">
            <w:col w:w="9420" w:space="171"/>
            <w:col w:w="1429"/>
          </w:cols>
          <w:pgMar w:left="320" w:top="225" w:right="559" w:bottom="1440" w:gutter="0" w:footer="0" w:header="0"/>
          <w:type w:val="continuous"/>
        </w:sectPr>
      </w:pP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determination of income tax expense in the unaudited condensed consolidated statements of operations is based upon the estimated effective tax rate for the year, adjusted for the impact of any discrete items which are accounted for in the</w:t>
      </w:r>
    </w:p>
    <w:p>
      <w:pPr>
        <w:sectPr>
          <w:pgSz w:w="11900" w:h="16838" w:orient="portrait"/>
          <w:cols w:equalWidth="0" w:num="1">
            <w:col w:w="11020"/>
          </w:cols>
          <w:pgMar w:left="320" w:top="225" w:right="55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25" w:right="559" w:bottom="1440" w:gutter="0" w:footer="0" w:header="0"/>
          <w:type w:val="continuous"/>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period in which they occur. The Company recorded an income tax expense of approximately 8.4% of loss before taxes for the three months ended September 30, 2025 and 4.2% of loss before taxes for the three months ended September 30, 2024, and 0.9% of loss before taxes for the nine months ended September 30, 2025 and 3.8% of income before taxes for the nine months ended September 30,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condensed consolidated financial statements through the date of this report. No subsequent events have been identified other than those disclosed in these condensed consolidated financial statements except for the following: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Colchis Site Acquisition</w:t>
      </w:r>
    </w:p>
    <w:p>
      <w:pPr>
        <w:spacing w:after="0" w:line="200" w:lineRule="exact"/>
        <w:rPr>
          <w:sz w:val="20"/>
          <w:szCs w:val="20"/>
          <w:color w:val="auto"/>
        </w:rPr>
      </w:pPr>
    </w:p>
    <w:p>
      <w:pPr>
        <w:ind w:right="840"/>
        <w:spacing w:after="0" w:line="453" w:lineRule="auto"/>
        <w:rPr>
          <w:sz w:val="20"/>
          <w:szCs w:val="20"/>
          <w:color w:val="auto"/>
        </w:rPr>
      </w:pPr>
      <w:r>
        <w:rPr>
          <w:rFonts w:ascii="Times New Roman" w:cs="Times New Roman" w:eastAsia="Times New Roman" w:hAnsi="Times New Roman"/>
          <w:sz w:val="18"/>
          <w:szCs w:val="18"/>
          <w:color w:val="auto"/>
        </w:rPr>
        <w:t xml:space="preserve">On October 20, 2025, the Company purchased majority ownership of a site in west Texas. The Company purchased this interest for $20 million. </w:t>
      </w:r>
      <w:r>
        <w:rPr>
          <w:rFonts w:ascii="Times New Roman" w:cs="Times New Roman" w:eastAsia="Times New Roman" w:hAnsi="Times New Roman"/>
          <w:sz w:val="18"/>
          <w:szCs w:val="18"/>
          <w:i w:val="1"/>
          <w:iCs w:val="1"/>
          <w:color w:val="auto"/>
        </w:rPr>
        <w:t>Amazon Web Services Lease</w:t>
      </w:r>
    </w:p>
    <w:p>
      <w:pPr>
        <w:spacing w:after="0" w:line="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October 29, 2025, the Company executed a 15-year data center campus lease with Amazon Web Services to provide turnkey space and power for artificial intelligence workloads.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Approval to Increase Authorized Shares</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October 30, 2025, the Company’s shareholders approved an amendment to the Company’s Second Amended and Restated Certificate of Incorporation to increase the number of shares of common stock, par value $0.001 per share, authorized for issuance from 500,000,000 shares to 1,000,000,000 shares. The amendment became effective upon filing with the Delaware Secretary of State on October 30, 2025.</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9" w:name="page40"/>
    <w:bookmarkEnd w:id="3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Part II, Item 1A, “Risk Factors” and other factors set forth in other parts of this Quarterly Report.</w:t>
      </w:r>
    </w:p>
    <w:p>
      <w:pPr>
        <w:spacing w:after="0" w:line="156"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“Cipher Mining,” “we,” “us” or “our” refers to Cipher Mining Inc. and its consolidated subsidiaries,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develop, own and operate industrial-scale digital infrastructure to support high-performance computing (“HPC”) and purpose-built data centers for bitcoin mining applications. Our active portfolio and development pipeline consists of approximately 4.0 GW of capacity across 12 sites. We currently operate two wholly-owned bitcoin mining data centers, a 207 MW site located in Odessa, Texas that draws fixed priced power from a power purchase agreement with its electricity provider (the “Odessa Facility”), and a 300 MW data center in Wink, Texas, of which 150 MW is operational as a bitcoin mining data center, that draws power from the power grid (the “Black Pearl Facility”); have equity investments in three partially-owned 40 MW bitcoin mining data centers; and have a pipeline of approximately 3.2 GW of potential capacity suitable for HPC workloads. We have sourced and built five sites totaling 477 MW of capacity, all completed on time.</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Black Pearl Facility has recently been fully contracted for HPC hosting with bitcoin mining operations at the site expected to conclude as construction commences. We aim to be industry leaders in sourcing a pipeline of sites suitable for compute-intensive workloads, including the recent addition of a 1-gigawatt (“GW”) site to our portfolio in Texas, and to optimize those sites for commercial use. Through a subsidiary, Cipher is in the process of constructing a data center for HPC near Colorado City, Texas (the “Barber Lake Facility”). See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current intention is to continue expanding our business by developing and operating industrial-scale data centers for HPC and other compute-intensive applications, scaling pipeline capacity, continuing to execute our disciplined treasury management strategy and pursuing additional strategic arrangements, such as joint ventures, data center hosting and leasing agreements, or software licensing arrangements. We aim to be a market leader in developing next-generation digital infrastructure and providing best-in-class solutions to support various compute workloads.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Fluidstack Lease</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25, 2025, we announced Cipher Barber Lake LLC (“Cipher Barber Lake”), our wholly owned indirect subsidiary, had entered into a Datacenter Lease (the “Fluidstack Lease”) with Fluidstack USA II Inc. (“Fluidstack”), which provides for the development of a data center facility on, and lease to Fluidstack of, the Barber Lake Facility located near Colorado City, Texas on the terms and subject to the conditions contained therein. The Facility is expected to provide 168 megawatts (MW) of critical IT load for high-performance computing data center operations. We expect to complete the development and construction of the facility and deliver the facility to Fluidstack by September 2026. Fluidstack’s obligations to pay rent under the Fluidstack Lease begin on the commencement date of the lease and will continue for a 10-year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Colchis Site Acquisition</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20, 2025, we purchased majority ownership of a 1-GW site in west Texas. The Colchis site includes a fully executed 1-GW Direct Connect Agreement with American Electric Power (“AEP”), under which AEP will construct the necessary dual interconnection facility for a targeted energization in 2028. Construction of the interconnection facility will proceed in parallel with ERCOT's final review and approval. The 620-acres of land under option sit adjacent to the existing substation, and the site has all the necessary characteristics for development of an HPC data center.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Amazon Web Services Lease</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October 29, 2025, we executed a 15-year data center campus lease with Amazon Web Services to provide turnkey space and power for artificial intelligence (“AI”) workloads. Under the terms of the lease agreement, Cipher will deliver</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0" w:name="page41"/>
    <w:bookmarkEnd w:id="40"/>
    <w:p>
      <w:pPr>
        <w:spacing w:after="0" w:line="1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300 MW of capacity in 2026. The capacity will be delivered in two phases, expected to begin in July 2026 and complete in the fourth quarter of 2026, with rent commencing in August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Approval to Increase Authorized Shares</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October 30, 2025, our shareholders approved an amendment to our Second Amended and Restated Certificate of Incorporation to increase the number of shares of common stock, par value $0.001 per share, authorized for issuance from 500,000,000 shares to 1,000,000,000 shares. The amendment became effective upon filing with the Delaware Secretary of State on October 30,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Affecting Our Results of Operations” in the “Management’s Discussion and Analysis of Financial Condition and Results of Operations” section of our 2024 Form 10-K. Our financial position and results of operations depend to a significant extent on those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Inventory</w:t>
      </w:r>
    </w:p>
    <w:p>
      <w:pPr>
        <w:spacing w:after="0" w:line="2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inventory for the nine months ended September 30, 2025, including bitcoin production and sales of bitcoin (dollar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7"/>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20,714</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139,858</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payments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(150,226)</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on bitcoin(2)</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bitcoin transferred to collateral, net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transferred from collateral, net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w:t>
            </w:r>
          </w:p>
        </w:tc>
      </w:tr>
      <w:tr>
        <w:trPr>
          <w:trHeight w:val="27"/>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components of our results of operations, refer to the “Management’s Discussion and Analysis of Financial Condition and Results of Operations” section of our 2024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 (in thousands):</w:t>
      </w:r>
    </w:p>
    <w:p>
      <w:pPr>
        <w:spacing w:after="0" w:line="241"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9"/>
                <w:szCs w:val="19"/>
                <w:color w:val="auto"/>
              </w:rPr>
            </w:pPr>
          </w:p>
        </w:tc>
        <w:tc>
          <w:tcPr>
            <w:tcW w:w="304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2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24,102</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164,231</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109,047</w:t>
            </w:r>
          </w:p>
        </w:tc>
      </w:tr>
      <w:tr>
        <w:trPr>
          <w:trHeight w:val="213"/>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(15,063)</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(44,164)</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(44,058)</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(147,102)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(66,131)</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power purchase agreement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(19,181)</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income of equity investees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fair value of bitcoin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20,245</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25,114</w:t>
            </w:r>
          </w:p>
        </w:tc>
      </w:tr>
      <w:tr>
        <w:trPr>
          <w:trHeight w:val="237"/>
        </w:trPr>
        <w:tc>
          <w:tcPr>
            <w:tcW w:w="4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gains (losses)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(109,324)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(115,496)</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(285,179)</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(169,826)</w:t>
            </w:r>
          </w:p>
        </w:tc>
      </w:tr>
      <w:tr>
        <w:trPr>
          <w:trHeight w:val="237"/>
        </w:trPr>
        <w:tc>
          <w:tcPr>
            <w:tcW w:w="4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(91,394)</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(120,948)</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(60,779)</w:t>
            </w:r>
          </w:p>
        </w:tc>
      </w:tr>
      <w:tr>
        <w:trPr>
          <w:trHeight w:val="230"/>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4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r>
      <w:tr>
        <w:trPr>
          <w:trHeight w:val="237"/>
        </w:trPr>
        <w:tc>
          <w:tcPr>
            <w:tcW w:w="4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34,031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33,667</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r>
      <w:tr>
        <w:trPr>
          <w:trHeight w:val="243"/>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before taxes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(59,855)</w:t>
            </w:r>
          </w:p>
        </w:tc>
      </w:tr>
      <w:tr>
        <w:trPr>
          <w:trHeight w:val="233"/>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income tax benefit (expense)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46"/>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r>
      <w:tr>
        <w:trPr>
          <w:trHeight w:val="236"/>
        </w:trPr>
        <w:tc>
          <w:tcPr>
            <w:tcW w:w="4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w:t>
            </w:r>
          </w:p>
        </w:tc>
      </w:tr>
      <w:tr>
        <w:trPr>
          <w:trHeight w:val="268"/>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(86,754)</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Three Months Ended September 30, 2025 and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September 30, 2025 was $71.7 million compared to $24.1 million for the three months ended September 30, 2024 and was generated from bitcoin mining operations at the Odessa and Black Pearl Facilities. The increase year over year was primarily driven by higher bitcoin prices in the current quarter compared to the prior year quarter, and an increase in total bitcoin mined attributable to the Black Pearl Facility coming online at the end of the second quarter of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the three months ended September 30, 2025 was $26.7 million, compared with $15.1 million for the three months ended September 30, 2024, and consisted primarily of power costs at our data centers. The increase in the three months ended September 30, 2025 is driven primarily by additional power costs from mining activities at the Black Pearl Facility, which commenced mining in the second quarter of 2025.</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2" w:name="page43"/>
    <w:bookmarkEnd w:id="42"/>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for the three months ended September 30, 2025 was $14.4 million, consistent with $14.7 million for the three months ended September 30, 2024.The decrease is primarily due to certain performance-based stock-compensation being fully vested in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$0.7 million to $8.2 million during the three months ended September 30, 2025 from $8.9 million for the three months ended September 30, 2024. The decrease was primarily driven by decreased legal fees in the current quarter related to strategic initiatives.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Depreciation for the three months ended September 30, 2025 was $59.5 million, an increase of $30.9 million compared to Depreciation and amortization of $28.6 million for the three months ended September 30, 2024. The increase was primarily due to additional depreciation expense on miners acquired as part of the Odessa fleet upgrade, and assets at our Black Pearl Facility being placed into service.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asset was a $9.0 million loss for the three months ended September 30, 2025 and was driven by the fair value of the Luminant Power Agreement. The estimated fair value of our derivative asset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At the Odessa Facility we sold excess electricity that was available under the Luminant Power Agreement back to the ERCOT market through Luminant. We sold power for proceeds of $2.3 million and $1.4 million for the three months ended September 30, 2025, and 2024, respectively. Power sales fluctuate each period based on power and bitcoin prices which are both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income of equity investees</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Equity in losses of equity investees totaled $1.5 million for the three months ended September 30, 2025 compared to income of $0.8 million for the three months ended September 30, 2024. Equity in losses of equity investees consists of our 49% share in the earnings (losses) generated by our three partially-owned mining sites, and the accretion of the basis differences in our investments in the equity investees that resulted from contributions of miners during the year ended December 31, 2022. We are accreting these basis differences over the five-year useful life of the miners.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 gains on fair value of bitcoin</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Unrealized gains on fair value of bitcoin totaled $0.1 million for the three months ended September 30, 2025, compared to losses of $22.2 million for the three months ended September 30, 2024. Unrealized (losses) gains on fair value of bitcoin is driven by the cost of bitcoin mined compared to the price of bitcoin at the end of the period. The current quarter’s ending bitcoin price was consistent with the average price over the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(losses) gains on sale of bitcoin</w:t>
      </w:r>
    </w:p>
    <w:p>
      <w:pPr>
        <w:spacing w:after="0" w:line="20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Realized gains on sale of bitcoin totaled $7.5 million for the three months ended September 30, 2025 compared to $20.2 million for the three months ended September 30, 2024. Realized gains and losses on sale of bitcoin is a result of selling bitcoin at prices different from the cost basis.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8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Other income totaled $34.0 million for the three months ended September 30, 2025, compared to Other income of $0.8 million for three months ended September 30, 2024. The balance in the current quarter is primarily related to the gain on the mark to market of our Warrant liability.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0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we recorded a benefit for income taxes of $0.3 million primarily driven by net losses in the current period. For the three months ended September 30, 2024, we recorded a benefit for income taxes of $3.8 million.</w:t>
      </w:r>
    </w:p>
    <w:p>
      <w:pPr>
        <w:spacing w:after="0" w:line="117" w:lineRule="exact"/>
        <w:rPr>
          <w:sz w:val="20"/>
          <w:szCs w:val="20"/>
          <w:color w:val="auto"/>
        </w:rPr>
      </w:pPr>
    </w:p>
    <w:p>
      <w:pPr>
        <w:ind w:right="5360"/>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Comparative Results for the Nine Months Ended September 30, 2025 and 2024 </w:t>
      </w:r>
      <w:r>
        <w:rPr>
          <w:rFonts w:ascii="Times New Roman" w:cs="Times New Roman" w:eastAsia="Times New Roman" w:hAnsi="Times New Roman"/>
          <w:sz w:val="18"/>
          <w:szCs w:val="18"/>
          <w:i w:val="1"/>
          <w:iCs w:val="1"/>
          <w:color w:val="auto"/>
        </w:rPr>
        <w:t>Revenue</w:t>
      </w: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 for the nine months ended September 30, 2025 was $164.2 million, compared to $109.0 million for the nine months ended September 30, 2024, and was generated from bitcoin mining operations at the Odessa and Black Pearl Facilities. The increase year over year was primarily driven by an increase in the average bitcoin price in the current year, partially offset by a decrease in the amount of bitcoin mined as a result of the bitcoin halving in April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the nine months ended September 30, 2025 was $57.0 million, compared with $44.2 million for the nine months ended September 30, 2024, and consisted primarily of power costs at our data centers. The increase is primarily due to increased power costs at the Black Pearl Facility which commenced mining operations in July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for the nine months ended September 30, 2025 was $44.4 million, consistent with $44.1 million for the nine months ended September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2025 was $26.2 million, an increase of $2.8 million compared to $23.4 million for the nine months ended September 30, 2024. The increase was primarily driven by an increase in legal fees related to strategic initiatives.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for the nine months ended September 30, 2025 was $147.1 million, an increase of $81.0 million compared to Depreciation and amortization of $66.1 million for the nine months ended September 30, 2024. The increase was primarily due to increased miners, and mining equipment at the Odessa Facility as a result of the Odessa fleet upgrade in the fourth quarter of 2024, increased fixed assets placed into service as a result of the Black Pearl Facility commencing operations in July 2025, and the change in the estimated useful life of our miners from five years to three years as of June 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asset was a $17.2 million decrease for the nine months ended September 30, 2025 and was driven by the fair value of the Luminant Power Agreement. The estimated fair value of our derivative asset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At our Odessa Facility, we sell excess electricity that was available under the Luminant Power Agreement, but not needed in our mining operations, back to the ERCOT market through Luminant. We sold power for proceeds of $4.7</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million and $3.7 million for the nine months ended September 30, 2025, and 2024, respectively. Power sales fluctuate each period based on power and bitcoin prices, which are volatile.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income of equity investees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Equity in losses of equity investees totaled $8.5 million for the nine months ended September 30, 2025 compared to income of $1.0 million for the nine months ended September 30, 2024. Equity in losses of equity investees consists of our 49% share in the earnings (losses) generated by our three partially-owned mining sites, and the accretion of the basis differences in our investments in the equity investees that resulted from contributions of miners during the year ended December 31, 2022. We are accreting these basis differences over the five-year useful life of the miners. For the nine months ended September 30, 2025, we recognized roughly $4.0 million as our 49% share of a one-time impairment charge on the miners of Alborz LLC, net of accretion.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 gains on fair value of bitcoin</w:t>
      </w:r>
    </w:p>
    <w:p>
      <w:pPr>
        <w:spacing w:after="0" w:line="18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Unrealized losses on fair value of bitcoin totaled $2.9 million for the nine months ended September 30, 2025, compared to Unrealized losses on fair value of bitcoin of $2.8 million for the nine months ended September 30, 2024. Unrealized (losses) gains on fair value of bitcoin is driven by the cost of bitcoin mined compared to the price of bitcoin at the end of the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on sale of bitcoin</w:t>
      </w:r>
    </w:p>
    <w:p>
      <w:pPr>
        <w:spacing w:after="0" w:line="20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Realized gains on sale of bitcoin totaled $16.1 million for the nine months ended September 30, 2025 compared to $25.1 million in the prior year period. In both periods, this is driven by selling bitcoin above our cost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totaled $33.7 million for the nine months ended September 30, 2025, compared to $0.9 million of Other income for the nine months ended September 30, 2024. The increase of Other expense in the current year is driven primarily from the mark to market on our Warrant liability in the current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we recorded a provision for income taxes of $0.8 million as a result of projected income for the current year in the jurisdictions which we operate. For the nine months ended September 30, 2024, we recorded a provision for income taxes of $2.3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had cash used in operations of $153.5 million for the nine months ended September 30, 2025. As of September 30, 2025, we had cash and cash equivalents of $1,207.4 million, total stockholders’ equity of $783.2 million and an accumulated deficit of $269.5 million. We fund operations primarily through a combination of at-the-market stock issuances, short-term and long-term financing arrangements, and bitcoin sales.</w:t>
      </w:r>
    </w:p>
    <w:p>
      <w:pPr>
        <w:spacing w:after="0" w:line="13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established an at-the-market sales agreement with Cantor Fitzgerald &amp; Co., Canaccord Genuity LLC, Needham &amp; Company, LLC, Compass Point Research &amp; Trading, LLC, Keefe, Bruyette &amp; Woods, Inc., Virtu Americas LLC, and BTIG, LLC (each, an “Agent” and, together, the “Agents”), pursuant to which we may, from time to time, sell shares of our common stock having an aggregate offering price of up to $725.7 million. For the three months ended September 30, 2025, we received net proceeds on sales of 6.0 million shares of common stock under the Amended and Restated Sales Agreement of approximately $31.7 million (net of commissions and expenses) at an average net selling price of $5.29 per share. For more information on our at-the-market sales agreement and our at-the-market offerings, see </w:t>
      </w:r>
      <w:r>
        <w:rPr>
          <w:rFonts w:ascii="Times New Roman" w:cs="Times New Roman" w:eastAsia="Times New Roman" w:hAnsi="Times New Roman"/>
          <w:sz w:val="18"/>
          <w:szCs w:val="18"/>
          <w:i w:val="1"/>
          <w:iCs w:val="1"/>
          <w:color w:val="auto"/>
        </w:rPr>
        <w:t>Note 15. Stockholders’ Equity</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a master loan agreement with Coinbase Credit, Inc., as lender, and Coinbase, Inc., as lending service provider. Pursuant to the master loan agreement, we currently have a secured line of credit up to $25.0 million (the “Coinbase Overnight Credit Facility”). We will not incur commitment fees for unused portions of the Coinbase Overnight Credit Facility. The borrowing rate on amounts drawn against the Coinbase Overnight Credit Facility is determined on the basis of the Federal Funds Target Rate - Upper Bound, plus 2.5%, calculated daily based on a 365-day year and payable monthly for the duration of the loan. Borrowings under the Coinbase Overnight Credit Facility are available on demand,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open term, and collateralized by bitcoin transferred to the lending service provider’s platform. As of September 30, 2025 we had nothing drawn on the Coinbase Overnight Credit Facility.</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enter into agreements with Luxor Technology Corporation (“Luxor”) when needed to borrow bitcoin for short-term periods, which we are able to use as a source of short-term financing.</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May 22, 2025, we issued $172.5 million principal amount of convertible notes due in 2030 with an interest rate of 1.75% (the “2030 Convertible Notes”). The 2030 Convertible Notes are senior, unsecured obligations with interest due semiannually on May 15 and November 15 each year beginning on November 15, 2025.</w:t>
      </w:r>
    </w:p>
    <w:p>
      <w:pPr>
        <w:spacing w:after="0" w:line="1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we issued an aggregate principal amount of $1,300 million of 0.00% Convertible Senior Notes due 2031 (the “2031 Convertible Notes” and together with the 2030 Convertible Notes, the “Convertible Notes”)). With the net proceeds of the 2031 Convertible Notes, we funded capped call transactions which are generally expected to reduce the potential dilution of the Company’s common stock that will initially underlie the 2031 Convertible Notes, and expect to use the remaining proceeds to finance a portion of the construction at the Company’s Barber Lake facility, accelerate the build-out of its high-performance computing strategy, continue to develop its sites, and forgeneral corporate purposes.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more information on our 2030 Convertible Notes and 2031 Convertible Notes, see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our intent and ability to sell bitcoin received or earned, and our intent and ability to sell common stock through at-the-market offerings will be sufficient to enable us to meet our operating and capital requirements for at least 12 months from the date the condensed consolidated financial statements included in this Quarterly Report are issued and the foreseeable future.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4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CCECFF"/>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(153,506)</w:t>
            </w:r>
          </w:p>
        </w:tc>
        <w:tc>
          <w:tcPr>
            <w:tcW w:w="10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CCECFF"/>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(58,533)</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(195,147)</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CCECFF"/>
            </w:tcBorders>
            <w:shd w:val="clear" w:color="auto" w:fill="CCECFF"/>
          </w:tcPr>
          <w:p>
            <w:pPr>
              <w:spacing w:after="0"/>
              <w:rPr>
                <w:sz w:val="23"/>
                <w:szCs w:val="23"/>
                <w:color w:val="auto"/>
              </w:rPr>
            </w:pP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1,486,202</w:t>
            </w:r>
          </w:p>
        </w:tc>
        <w:tc>
          <w:tcPr>
            <w:tcW w:w="100" w:type="dxa"/>
            <w:vAlign w:val="bottom"/>
            <w:tcBorders>
              <w:bottom w:val="single" w:sz="8" w:color="CCECFF"/>
            </w:tcBorders>
            <w:shd w:val="clear" w:color="auto" w:fill="CCECFF"/>
          </w:tcPr>
          <w:p>
            <w:pPr>
              <w:spacing w:after="0"/>
              <w:rPr>
                <w:sz w:val="23"/>
                <w:szCs w:val="23"/>
                <w:color w:val="auto"/>
              </w:rPr>
            </w:pPr>
          </w:p>
        </w:tc>
        <w:tc>
          <w:tcPr>
            <w:tcW w:w="400" w:type="dxa"/>
            <w:vAlign w:val="bottom"/>
            <w:tcBorders>
              <w:bottom w:val="single" w:sz="8" w:color="CCECFF"/>
            </w:tcBorders>
            <w:shd w:val="clear" w:color="auto" w:fill="CCECFF"/>
          </w:tcPr>
          <w:p>
            <w:pPr>
              <w:spacing w:after="0"/>
              <w:rPr>
                <w:sz w:val="23"/>
                <w:szCs w:val="23"/>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207,309</w:t>
            </w:r>
          </w:p>
        </w:tc>
      </w:tr>
      <w:tr>
        <w:trPr>
          <w:trHeight w:val="237"/>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1,201,242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(46,371)</w:t>
            </w:r>
          </w:p>
        </w:tc>
      </w:tr>
      <w:tr>
        <w:trPr>
          <w:trHeight w:val="27"/>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increased by $95.0 million to $153.5 million for the nine months ended September 30, 2025 from $58.5 million for the nine months ended September 30, 2024. We incurred a net loss of $88.0 million for the nine months ended September 30, 2025, compared to a net loss of $62.1 million for the nine months ended September 30, 2024, representing an increase of $25.9 million. Cash flows used in operating activities was impacted by a $4.1 million increase in non-cash items, primarily driven by an $80.8 million increase in depreciation, an increase of $9.5 million in equity in losses of equity investees, partially offset by an increase of $54.7 million in non-cash consideration received for services and a decrease of $31.6 million in the change in fair value of our warrants. Additionally, changes in assets and liabilities resulted in an increase in cash used of $65.0 million between the nine months ended September 30, 2025 and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decreased by $63.7 million to $131.5 million of net cash used in investing activities for the nine months ended September 30, 2025 compared to $195.1 million of net cash used in investing activities for the nine months ended September 30, 2024. This change primarily related to a decrease of $134.3 million in deposits related to new miner purchases, an increase of $70.4 million in proceeds from sale of bitcoin, offset by an increase of $169.7 million increase in purchases of Property and equipment related to building out the Black Pearl facility and new miner purchases.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Cash flows provided by financing activities increased by $1,278.9 million to $1,486.2 million net cash provided by financing activities for the nine months ended September 30, 2025 from $207.3 million net cash provided by financing activities for the nine months ended September 30, 2024. This change was primarily driven by a $50.0 million increase in proceeds from treasury stock reissued for PIPE investment and a $1,437.4 million increase in proceeds from issuance of convertible notes, net of issuance costs, partially offset by a $106.3 million decrease in proceeds from the issuance of common stock during the nine months ended September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0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December 17, 2021, we entered into a lease agreement for office space, amended in the second quarter of 2024, with a term through May 2029. Monthly rent payments associated with the amended lease are approximately $0.2 million.</w:t>
      </w:r>
    </w:p>
    <w:p>
      <w:pPr>
        <w:spacing w:after="0" w:line="121"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We also entered into a series of agreements with affiliates of Luminant ET Services Company LLC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3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3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condensed consolidated balance sheet.</w:t>
      </w:r>
    </w:p>
    <w:p>
      <w:pPr>
        <w:spacing w:after="0" w:line="14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condensed consolidated financial statements.</w:t>
      </w:r>
    </w:p>
    <w:p>
      <w:pPr>
        <w:spacing w:after="0" w:line="13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are providing supplemental financial measures for Adjusted Earnings (Loss) and Adjusted Earnings (Loss) per share - diluted, in each case that exclude the impact of (i) the non-cash change in fair value of derivative asset, (ii) share-based compensation expense, (iii) depreciation and amortization, (iv) deferred income tax expense, (v) nonrecurring gains and losses and (vi) the non-cash change in fair value of warrant liability. 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 by excluding certain items that vary in our industry based on company policy.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condensed consolidated financial statements included elsewhere in this Quarterly Report, which have been prepared in accordance with GAAP. We rely primarily on such condensed consolidated financial statements to understand, manage and evaluate our business performance and use the non-GAAP financial measures only supplementally.</w:t>
      </w:r>
    </w:p>
    <w:p>
      <w:pPr>
        <w:spacing w:after="0" w:line="15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(loss) to the most directly comparable GAAP measure for the periods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9"/>
                <w:szCs w:val="19"/>
                <w:color w:val="auto"/>
              </w:rPr>
            </w:pPr>
          </w:p>
        </w:tc>
        <w:tc>
          <w:tcPr>
            <w:tcW w:w="276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52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5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(62,145)</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r>
      <w:tr>
        <w:trPr>
          <w:trHeight w:val="243"/>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31,865</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w:t>
            </w:r>
          </w:p>
        </w:tc>
      </w:tr>
      <w:tr>
        <w:trPr>
          <w:trHeight w:val="243"/>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(losses) gains - nonrecurring</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earnings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(loss) per share - diluted to the most directly comparable GAAP measure for the periods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304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9"/>
                <w:szCs w:val="19"/>
                <w:color w:val="auto"/>
              </w:rPr>
            </w:pPr>
          </w:p>
        </w:tc>
        <w:tc>
          <w:tcPr>
            <w:tcW w:w="276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524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 per share - diluted:</w:t>
            </w:r>
          </w:p>
        </w:tc>
        <w:tc>
          <w:tcPr>
            <w:tcW w:w="9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power purchase agreement per diluted share</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per diluted share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per diluted share</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 per diluted share</w:t>
            </w:r>
          </w:p>
        </w:tc>
        <w:tc>
          <w:tcPr>
            <w:tcW w:w="90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(losses) gains - nonrecurring per diluted share</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per diluted share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(loss) per diluted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our policies regarding our critical accounting estimates, see "Critical Accounting Policies and Estimates" of Part II, Item 7 "Management's Discussion and Analysis of Financial Condition and Results of Operations" in our 2024 Form 10-K. As of September 30, 2025, there were no significant changes in our critical accounting policies and estimates or the application or the results of the application of those policies to our unaudited condensed consolidated financial statements from those previously disclosed in our 2024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8" w:name="page49"/>
    <w:bookmarkEnd w:id="48"/>
    <w:p>
      <w:pPr>
        <w:spacing w:after="0" w:line="1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adopted and not yet adopted as of the date of this report, is included in Note 2 to our unaudited condensed consolidated financial statements located in “Part I - Financial Information, Item 1. Financial Statements” in this Quarterly Report.</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of our market risks involves forward-looking statements. Actual results could differ materially from those projected in our forward-looking statements. For more information regarding the forward-looking statements used in this section and elsewhere in this Quarterly Report, see the Cautionary Note Regarding Forward-Looking Statements at the forepart of this Quarterly Report.</w:t>
      </w:r>
    </w:p>
    <w:p>
      <w:pPr>
        <w:spacing w:after="0" w:line="13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primary market risks are described below. We use various strategies to manage these risks; however, they may still from time to time impact our condensed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Price Risk</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hold bitcoin on our inventory at fair value, and as such we are exposed to the impact of the change in bitcoin price. As of September 30, 2025, we had 1,493 bitcoin in inventory. A 10% decrease in the price of bitcoin would result in an estimated $17.0 million increase in Net loss for the nine months ended September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Price Risk</w:t>
      </w:r>
    </w:p>
    <w:p>
      <w:pPr>
        <w:spacing w:after="0" w:line="200"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estimated fair value of our Derivative asset related to our power purchase agreement is derived from Level 2 and Level 3 inputs. Specifically, the discounted cash flow estimation models contain quoted spot and forward prices for electricity. A 10% decrease in power prices would result in an estimated $13.1 million decrease in the estimated fair value of the Derivative asset and increase in Net loss for the nine months ended September 30,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as defined by Rules 13a-15(e) and 15d-15(e) of the Exchange Act, as of September 30, 2025, the end of the period covered by this Quarterly Report. This evaluation was done under the supervision and with the participation of management, including our Chief Executive Officer and Chief Financial Officer.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September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noted in the 2024 Form 10-K, during management’s assessment of internal controls over financial reporting, a material weakness was identified related to certain Information Technology General Controls (“ITGCs”) over change management controls.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the material weakness related to certain ITGCs over change management controls and lack of related compensating automated process-level and manual controls was identified, management began implementing and has continued to implement and refine measures designed to ensure that control deficiencies contributing to the material weakness are remediated, such that these controls are designed, implemented, and operating effectively. During the three months ended September 30, 2025, management continued implementing its enhanced program change management controls for certain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50" w:name="page51"/>
    <w:bookmarkEnd w:id="50"/>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systems impacting the Company’s processes around revenue recognition and design of manual key reconciliation processes. The Company continued to make progress but work still remains to ensure reliability of such controls. Our plan continues to include the following, and management will continue to assess additional opportunities for remediation on an ongoing basis:</w:t>
      </w:r>
    </w:p>
    <w:p>
      <w:pPr>
        <w:spacing w:after="0" w:line="176" w:lineRule="exact"/>
        <w:rPr>
          <w:sz w:val="20"/>
          <w:szCs w:val="20"/>
          <w:color w:val="auto"/>
        </w:rPr>
      </w:pPr>
    </w:p>
    <w:p>
      <w:pPr>
        <w:ind w:left="1300" w:right="260" w:hanging="942"/>
        <w:spacing w:after="0" w:line="282" w:lineRule="auto"/>
        <w:tabs>
          <w:tab w:leader="none" w:pos="1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advancing our remediation efforts by devoting resources throughout 2025 to key areas of financial reporting and information technology.</w:t>
      </w:r>
    </w:p>
    <w:p>
      <w:pPr>
        <w:spacing w:after="0" w:line="53" w:lineRule="exact"/>
        <w:rPr>
          <w:rFonts w:ascii="Times New Roman" w:cs="Times New Roman" w:eastAsia="Times New Roman" w:hAnsi="Times New Roman"/>
          <w:sz w:val="18"/>
          <w:szCs w:val="18"/>
          <w:color w:val="auto"/>
        </w:rPr>
      </w:pPr>
    </w:p>
    <w:p>
      <w:pPr>
        <w:ind w:left="1300" w:right="580" w:hanging="942"/>
        <w:spacing w:after="0" w:line="282" w:lineRule="auto"/>
        <w:tabs>
          <w:tab w:leader="none" w:pos="1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engagement with advisory firms to support the evaluation and enhancement of the Company’s controls related to the material weakness described above.</w:t>
      </w:r>
    </w:p>
    <w:p>
      <w:pPr>
        <w:spacing w:after="0" w:line="53" w:lineRule="exact"/>
        <w:rPr>
          <w:rFonts w:ascii="Times New Roman" w:cs="Times New Roman" w:eastAsia="Times New Roman" w:hAnsi="Times New Roman"/>
          <w:sz w:val="18"/>
          <w:szCs w:val="18"/>
          <w:color w:val="auto"/>
        </w:rPr>
      </w:pPr>
    </w:p>
    <w:p>
      <w:pPr>
        <w:ind w:left="1300" w:right="300" w:hanging="942"/>
        <w:spacing w:after="0" w:line="282" w:lineRule="auto"/>
        <w:tabs>
          <w:tab w:leader="none" w:pos="1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 and refine processes and controls and engage external resources as needed to ensure that controls are appropriately designed, implemented, and operating effectively.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that the material weakness in our internal control over financial reporting will not be considered remediated until the remediated controls operate for a sufficient period of time and can be tested and concluded by management to be designed and operating 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Rules 13a-15(f) and 15d-15(f) under the Exchange Act) during the three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1" w:name="page52"/>
    <w:bookmarkEnd w:id="51"/>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 outcome of any such claims or proceedings, regardless of the merits, is inherently uncertain. There have been no material changes to such proceedings previously disclosed in our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Our business, financial condition and operating results can be affected by a number of factors, whether currently known or unknown, including but not limited to the risk factors as previously disclosed in Part I, Item 1A, “Risk Factors” of our 2024 Form 10-K, which is incorporated herein by reference. Other than the additional risk factors herein, there have been no material changes to the risk factors previously disclosed in our 2024 Form 10-K.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the construction of our Barber Lake Facility in a timely manner or within our anticipated cost estimates, our business and results of operations could be adversely affected.</w:t>
      </w:r>
    </w:p>
    <w:p>
      <w:pPr>
        <w:spacing w:after="0" w:line="11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business depends upon the construction of our Barber Lake Facility. Until we complete construction of all of the facilities that are required by the Fluidstack Lease, we will not realize the full amount of projected revenue from such lease. We cannot guarantee we will complete construction (or any future strategic growth initiatives) on time or within our cost estimates, if at all, due in part to the ongoing challenges to the global supply chain, the implementation of new tariffs and more restrictive trade policies, increased inflation and changing conditions within the United States labor market. Under certain circumstances, our lessee will have the right to terminate the lease if there are significant delays in the completion of construction, subject to extension for force majeure events. If we experience delays in the construction process or are unable to complete construction within our anticipated costs estimates, we may not generate sufficient revenues to fund our liquidity needs, including payment of principal and interest on the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construction risks.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Construction of our Barber Lake Facility exposes us to significant construction risks, including risks related to: construction delays; lack of availability of parts and/or labor, increased prices as a result, in part, of inflation, and delays for data center equipment; labor disputes and work stoppages, including interruptions in work due to pandemics, epidemics, and other health risks; unanticipated environmental issues and geological problems; delays related to permitting and approvals to commence operations from public agencies and utility companies; and delays in site readiness leading to our failure to meet commitments made in connection with such expansion. All construction-related projects depend on the skill, experience, and attentiveness of our personnel throughout the design and construction process. Should a designer, general contractor, significant subcontractor or key supplier experience financial difficulties or other problems during the design or construction process, we could experience significant delays, increased costs to complete the project and/or other negative impacts to our expected returns.</w:t>
      </w:r>
    </w:p>
    <w:p>
      <w:pPr>
        <w:spacing w:after="0" w:line="1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unable to overcome these risks and additional pressures to complete our construction projects in a timely manner, if at all, we may not realize their anticipated benefits, and our business and financial condition may suffer as a result.</w:t>
      </w:r>
    </w:p>
    <w:p>
      <w:pPr>
        <w:spacing w:after="0" w:line="13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Google Backstop will only be effective after rent commencement under the Fluidstack Lease and is only triggered by certain events of default under the Fluidstack Lease.</w:t>
      </w:r>
    </w:p>
    <w:p>
      <w:pPr>
        <w:spacing w:after="0" w:line="11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Google’s backstop of Fluidstack’s obligations under the Fluidstack Lease is only effective following the rent commencement date of the Fluidstack Lease. If the Fluidstack Lease does not commence as of its targeted rent commencement date, then the Google Backstop will not become effective until the completion of the Barber Lake Facility. If completion of the Barber Lake Facility is delayed by greater than 180 days, or greater than 300 days in the case of a force majeure event, as may be extended for tenant delay, Fluidstack will have the right to terminate the Fluidstack Lease. Such termination event would not trigger the Google Backstop. In addition, the Google Backstop is only triggered upon a payment or insolvency event of default under the Fluidstack Lease. While unlikely to occur, there are other events of default or termination events that may result in the termination of the Fluidstack Lease without triggering the Google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ind w:right="540"/>
        <w:spacing w:after="0" w:line="282" w:lineRule="auto"/>
        <w:rPr>
          <w:sz w:val="20"/>
          <w:szCs w:val="20"/>
          <w:color w:val="auto"/>
        </w:rPr>
      </w:pPr>
      <w:r>
        <w:rPr>
          <w:rFonts w:ascii="Times New Roman" w:cs="Times New Roman" w:eastAsia="Times New Roman" w:hAnsi="Times New Roman"/>
          <w:sz w:val="18"/>
          <w:szCs w:val="18"/>
          <w:color w:val="auto"/>
        </w:rPr>
        <w:t>Backstop. In addition, if we have a disagreement with Google about whether the Google Backstop has been triggered, there can be no assurance that Google will honor the Google Backstop in a timely manner or at 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HPC business strategy may not perform as planned.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the potential for HPC hosting complements our current business model with expected stable, long-term and high margin revenue. However, the success of our HPC hosting services may not develop as anticipated, and may be affected by factors such as the reliability and timing of power supply, supply chain disruption (including local labor availability), the implementation of new tariffs and more restrictive trade regulations and changes in in-house specialized expertise to manage the business. A failure to successfully implement our HPC business strategy may adversely affect our business, prospects, or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access sufficient additional capital for future strategic growth initiatives.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expansion of our existing mining facilities and our digital infrastructure to support HPC hosting and colocation are capital-intensive projects, and we anticipate that future strategic growth initiatives will likewise continue to be capital-intensive. We expect to raise additional capital to fund these and other future strategic growth initiatives; however, we may be unable to do so in a timely manner, in sufficient quantities, or on terms acceptable to us, if at all. If we are unable to raise the additional capital needed to execute our future strategic growth initiatives, we may be less competitive in our industry and the results of our operations and financial condition may suffer, and the market price for our securities may be materially and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Enhanced tariff, import/export restrictions, or other trade barriers may have an adverse impact on global economic conditions.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have been, and continue to be, uncertainties with respect to the global economy and trade relations between the U.S. and other countries globally, including trade policies, treaties, tariffs, and customs duties and taxes. Implementation of more restrictive trade policies or the renegotiation of existing U.S. trade agreements or trade agreements of other countries where we procure supplies and materials for our digital infrastructure could negatively impact our business results of operations, cash flows, and financial condition. Tariffs, sanctions and other barriers to trade could adversely affect the business of our business partners, such as suppliers, which could in turn negatively impact our net revenue and results of operations. If tariffs, trade restrictions or trade barriers are expanded or increased, then our exposure to future taxes and duties on imported products and components could be significant and could have a material effect on our financial results.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predict the extent to which the U.S. or other countries will impose new or additional quotas, duties, tariffs, taxes, or other similar restrictions upon the import of goods and services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HPC data centers, our costs, our business partners, our suppliers, and the U.S. economy, which in turn could have a material adverse effect on our business, operating results, and financial condition.</w:t>
      </w:r>
    </w:p>
    <w:p>
      <w:pPr>
        <w:spacing w:after="0" w:line="13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harmed by increased costs to procure power, prolonged power outages, shortages or capacity constraints as well as insufficient access to power.</w:t>
      </w:r>
    </w:p>
    <w:p>
      <w:pPr>
        <w:spacing w:after="0" w:line="1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power outages, shortages, capacity constraints or significant increases in the cost of power may have an adverse effect on our business and our results of operations.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rely on third parties, third party infrastructure, governments, and global supplies to provide a sufficient amount of power to maintain our HPC data center operations to meet the needs of our current and future HPC hosting and colocation tenants. Any limitation on the delivered energy supply could limit our ability to operate our HPC data centers. These limitations could have a negative impact on the Barber Lake Facility or limit our ability to grow our business, which could negatively affect our financial performance and results of operations. Each new HPC data center requires access to significant quantities of electricity. Limitations on generation, transmission and distribution may limit our ability to obtain sufficient power capacity for potential expansion sites or existing markets. Utility companies may impose onerous operating conditions to any approval or provision of power or we may experience significant delays and substantial increased costs to provide the level of electrical service required by our current or future data center designs.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tenants for our HPC data centers.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3" w:name="page54"/>
    <w:bookmarkEnd w:id="53"/>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Many factors, including global economic conditions, may cause current HPC data center tenants like Fluidstack or future tenants to experience a downturn in their businesses or otherwise experience a lack of liquidity, which may weaken their financial condition and impact our estimates as to the probability of collectability of payments, and ultimately result in their failure to make timely rental and other payments or their default under their agreements with us.</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Further, the development of new technologies, the adoption of new industry standards or other factors could render our HPC data center tenants’ current products and services obsolete or unmarketable and contribute to a downturn in their businesses, thereby increasing the likelihood that they default under their leases, become insolvent or file for bankruptcy. If a tenant defaults or fails to make timely rent or other payments (notwithstanding the Google Backstop with respect to the Fluidstack Lease), we may experience delays in enforcing our rights as landlord and may incur substantial costs in protecting our investment, which could adversely affect our financial condition and results of operations.</w:t>
      </w:r>
    </w:p>
    <w:p>
      <w:pPr>
        <w:spacing w:after="0" w:line="14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If a tenant becomes a debtor in a case under Title 11 of the United States Code, as amended (the “Bankruptcy Code”), we cannot evict the tenant solely because of the bankruptcy. In addition, the bankruptcy court might authorize the tenant to reject and terminate its contracts with us. Our claim against the tenant for unpaid, future rent and other payments would be subject to a statutory cap that might be substantially less than the remaining amounts actually owed under their agreements with us. In either case, our claim for unpaid rent and other amounts would likely not be paid in full. Our revenue could be materially adversely affected if a significant tenant were to become bankrupt or insolvent, suffer a downturn in its businesses, fail to renew its contract or renew on terms less favorable to us than its current terms.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HPC data center tenants could subject us to significant liability.</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aim to continuously enter into agreements with tenants pursuant to which we provide data center space, power, environmental controls, physical security and connectivity products to our HPC hosting and colocation tenants. These contracts typically contain indemnification and liability provisions, in addition to service level commitments, which could potentially impose a significant cost on us in the event of losses arising out of certain breaches of such agreements, services to be provided by us or our subcontractors or from third-party claims. HPC data center tenants increasingly are looking to pass through their regulatory obligations and other liabilities to their outsourced data center providers and we may not be able to limit our liability or damages in an event of loss suffered by such tenants whether as a result of our breach of an agreement or otherwise. If such an event of loss occurred, we could be liable for material monetary damages and could incur significant legal fees in defending against such an action, which could adversely affect our financial condition and results of operations.</w:t>
      </w:r>
    </w:p>
    <w:p>
      <w:pPr>
        <w:spacing w:after="0" w:line="1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also develop space specifically for HPC data center tenants pursuant to agreements signed prior to beginning or early in the development process. In those cases, if we fail to meet our development obligations under those agreements, these tenants may be able to terminate their agreements and we would be required to find a new tenant for this space. In addition, in certain circumstances we may lease HPC data center facilities prior to their completion. If we fail to complete the facilities in a timely manner, the tenant may be entitled to terminate its agreement, seek damages or penalties against us or pursue other remedies and we may be required to find a new tenant for the space. If we are not able to complete an HPC data center in a timely manner, if development costs are higher than we currently estimate, our financial condition, results of operations and cash flow could be materially adversely affected.</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a tenant’s decision to lease space and power in our HPC data center typically involves a significant commitment of resources and due diligence on the part of our tenants regarding the adequacy of our facilities. As a result, we may expend significant time and resources in pursuing a particular transaction that may not result in revenue. Economic conditions, including market downturns and the implementation of new tariffs and more restrictive trade regulations may impact tenants’ ability to plan future business activities, which could cause tenants to slow spending or delay decision-making. Our inability to adequately manage the risks associated with these developments may adversely affect our business, financial condition and results of operations.</w:t>
      </w:r>
    </w:p>
    <w:p>
      <w:pPr>
        <w:spacing w:after="0" w:line="15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advancement in the efficiency of AI models presents risks and challenges that may adversely impact our business and operating results.</w:t>
      </w:r>
    </w:p>
    <w:p>
      <w:pPr>
        <w:spacing w:after="0" w:line="118"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 introduction of, and advancement in the efficiency of AI models could potentially adversely affect data center usage by significantly reducing the computational power needed to train AI models, potentially leading to less demand for high-power density, liquid-cooled data center infrastructure and colocation facilities such as those we are building at the Barber Lake Facility. New advancements in AI models could also alter the way data centers are currently designed and utilized and may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our Convertible Notes</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Convertible Notes.</w:t>
      </w:r>
    </w:p>
    <w:p>
      <w:pPr>
        <w:spacing w:after="0" w:line="1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incurred 172.5 million of additional indebtedness as a result of the 2030 Convertible Notes offering completed in May 2025 and $1,300.0 million principal amount of additional indebtedness as a result of the 2031 Convertible Notes offering completed in September 2025.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5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8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Convertible Notes;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sufficient funds, and we may otherwise be unable to maintain sufficient cash reserves, to pay amounts due under our indebtedness, including the Convertible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Convertible Notes for cash following a fundamental change or on a specified optional repurchase date or to pay any cash amounts due upon maturity or conversion of the Convertible Notes, and our other indebtedness may limit our ability to repurchase the Convertible Notes or to pay any cash amounts due upon their maturity or conversion.</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the Convertible Notes may, subject to limited exceptions, require us to repurchase their Convertible Notes on May 15, 2028 (for the 2030 Convertible Notes) and on October 1, 2029 (for the 2031 Convertible Notes), and following a fundamental change, at a cash repurchase price generally equal to the principal amount of the Convertible Notes to be repurchased, plus accrued and unpaid special interest and additional interest, if any. Upon maturity of the Convertible Notes, we must pay their principal amount and accrued and unpaid special interest and additional interest, if any, in cash, unless they have been previously repurchased, redeemed or converted.</w:t>
      </w:r>
    </w:p>
    <w:p>
      <w:pPr>
        <w:spacing w:after="0" w:line="1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prior to the “reserved share effective date”, upon conversion, we will satisfy all of our conversion obligation in cash, subject to the “share settlement election exception”, and on or after the “reserved share effective date”, upon conversion, we will satisfy part or all of our conversion obligation in cash unless we elect to settle conversions solely in shares of our common stock.</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not have enough available cash or be able to obtain financing at the time we are required to repurchase the Convertible Notes or pay any cash amounts due upon their maturity or conversion. In addition, applicable law, regulatory authorities and the agreements that we may have in the future governing our other indebtedness may restrict our ability to repurchase the Convertible Notes or to pay any cash amounts due upon their maturity or conversion. Our failure to repurchase Convertible Notes or to pay any cash amounts due upon their maturity or conversion when required will constitute a default under the indenture. A default under the indenture or the fundamental change itself could also lead to 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default under agreements governing our other indebtedness, which may result in that other indebtedness becoming immediately payable in full. We may not have sufficient funds to satisfy all amounts due under the other indebtedness and the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Convertible Notes indentures could delay or prevent an otherwise beneficial takeover of us.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provisions in the Convertible Notes and related indentures could make a third-party attempt to acquire us more difficult or expensive. For example, if a takeover constitutes a fundamental change, then noteholders will have the right to require us to repurchase their Convertible Notes for cash. In addition, if a takeover constitutes a make-whole fundamental change, then we may be required to temporarily increase the conversion rate. In either case, and in other cases, our obligations under the Convertible Notes and the indenture could increase the cost of acquiring us or otherwise discourage a third party from acquiring us or removing incumbent management, including in a transaction that noteholders or holders of our common stock may view as favorable.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Notes, if triggered, may adversely affect our financial condition and operating results.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Convertible Notes is triggered, holders of such notes will be entitled to convert the Convertible Notes at any time during specified periods at their option. If one or more holders elect to convert their Convertible Notes, (i) if the conversion date for such conversion is before the “reserved share effective date ”, we will settle all of our conversion obligation through the payment of cash, subject to the “share settlement election exception”, and (ii) if the conversion date for such conversion is on or after the “reserved share effective date,” we may elect to settle all or a portion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Notes could adversely affect our reported financial condition and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method for the Convertible Notes may adversely affect our reported earnings and financial condition.</w:t>
      </w:r>
    </w:p>
    <w:p>
      <w:pPr>
        <w:spacing w:after="0" w:line="18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issuance costs for the Convertible Notes are treated as a debt discount for accounting purposes and will be amortized into interest expense over the term of the Convertible Notes. As a result of this amortization, the interest expense that we expect to recognize for the Convertible Notes for accounting purposes will be greater than the cash special interest or additional interest payments, if any, we will pay on the Convertible Notes, which will result in lower reported income.</w:t>
      </w:r>
    </w:p>
    <w:p>
      <w:pPr>
        <w:spacing w:after="0" w:line="13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Notes is satisfied, then we may be required under applicable accounting standards to reclassify the liability carrying value of the Convertible Notes as a current, rather than a long-term, liability. This reclassification could be required even if no investors convert their Convertible Notes and could materially reduce our reported working capital.</w:t>
      </w:r>
    </w:p>
    <w:p>
      <w:pPr>
        <w:spacing w:after="0" w:line="1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upon conversion of the Convertible Notes will dilute the ownership interests of our stockholders and could depress the trading price of our common stock.</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conversion of the Convertible Notes being offered in the 2030 Convertible Notes offering or the 2031 Convertible Notes offering, we will satisfy part or all of our conversion obligations in shares of our common stock, unless we elect to settle conversions solely in cash. The issuance of shares of our common stock upon conversion of the Convertible Notes will dilute the ownership interests of our stockholders, which could depress the trading price of our common stock. In addition, the market’s expectation that conversions may occur could depress the trading price of our common stock even in the absence of actual conversions. Moreover, the expectation of conversions could encourage the short selling of our common stock, which could place further downward pressure on the trading price of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2031 Convertible Notes and the market price of our common stock.</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2031 Convertible Notes, we entered into privately negotiated capped call transactions with certain financial institutions (collectively, the “option counterparties”). The capped call transactions are generally expected to reduce the potential dilution to our common stock upon any conversion of the 2031 Convertible Notes and/or offset any potential cash payments we are required to make in excess of the principal amount of converted 2031 Convertible Notes, with such reduction and/or offset subject to a cap. In connection with establishing their initial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6" w:name="page57"/>
    <w:bookmarkEnd w:id="56"/>
    <w:p>
      <w:pPr>
        <w:ind w:right="420"/>
        <w:spacing w:after="0" w:line="286" w:lineRule="auto"/>
        <w:rPr>
          <w:sz w:val="20"/>
          <w:szCs w:val="20"/>
          <w:color w:val="auto"/>
        </w:rPr>
      </w:pPr>
      <w:r>
        <w:rPr>
          <w:rFonts w:ascii="Times New Roman" w:cs="Times New Roman" w:eastAsia="Times New Roman" w:hAnsi="Times New Roman"/>
          <w:sz w:val="18"/>
          <w:szCs w:val="18"/>
          <w:color w:val="auto"/>
        </w:rPr>
        <w:t>hedges of the capped call transactions, the option counterparties entered into various derivative transactions, which may be exited in the future.</w:t>
      </w:r>
      <w:r>
        <w:rPr>
          <w:rFonts w:ascii="Times New Roman" w:cs="Times New Roman" w:eastAsia="Times New Roman" w:hAnsi="Times New Roman"/>
          <w:sz w:val="18"/>
          <w:szCs w:val="18"/>
          <w:b w:val="1"/>
          <w:bCs w:val="1"/>
          <w:i w:val="1"/>
          <w:iCs w:val="1"/>
          <w:color w:val="auto"/>
        </w:rPr>
        <w:t>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subject to counterparty risk with respect to the capped call transactions and these capped call transactions may not operate as planned.</w:t>
      </w:r>
    </w:p>
    <w:p>
      <w:pPr>
        <w:spacing w:after="0" w:line="18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the effect of which would not be compensated for, than we currently anticipate with respect to our common stock. We can provide no assurance as to the financial stability or viability of the option counterparties.</w:t>
      </w:r>
    </w:p>
    <w:p>
      <w:pPr>
        <w:spacing w:after="0" w:line="14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the terms of the capped call transactions are complex, and they may not operate as planned. For example, the terms of these may be subject to adjustment, modification or, in some cases, renegotiation in the event of certain corporate and other transactions. Accordingly, the capped call transactions may not operate as we intend in the event that we are required to adjust the terms of such instruments as a result of transactions in the future or in the event of other unanticipated developments that may adversely affect the functioning of the capped call transactions.</w:t>
      </w:r>
    </w:p>
    <w:p>
      <w:pPr>
        <w:spacing w:after="0" w:line="13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capped call transactions are separate transactions (in each case entered into between us and the option counterparties), are not part of the terms of the 2031 Convertible Notes and will not change the holders’ rights under the 2031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Disclosure in lieu of reporting on a Current Report on Form 8-K.</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Amended and Restated Bylaws</w:t>
      </w:r>
    </w:p>
    <w:p>
      <w:pPr>
        <w:spacing w:after="0" w:line="187" w:lineRule="exact"/>
        <w:rPr>
          <w:sz w:val="20"/>
          <w:szCs w:val="20"/>
          <w:color w:val="auto"/>
        </w:rPr>
      </w:pPr>
    </w:p>
    <w:p>
      <w:pPr>
        <w:ind w:left="660" w:right="20" w:firstLine="648"/>
        <w:spacing w:after="0" w:line="274" w:lineRule="auto"/>
        <w:rPr>
          <w:sz w:val="20"/>
          <w:szCs w:val="20"/>
          <w:color w:val="auto"/>
        </w:rPr>
      </w:pPr>
      <w:r>
        <w:rPr>
          <w:rFonts w:ascii="Times New Roman" w:cs="Times New Roman" w:eastAsia="Times New Roman" w:hAnsi="Times New Roman"/>
          <w:sz w:val="17"/>
          <w:szCs w:val="17"/>
          <w:color w:val="auto"/>
        </w:rPr>
        <w:t>On October 30, 2025, the Board of Directors approved and adopted amendments to the Company’s Amended and Restated Bylaws (the “Bylaws”), effective immediately. The Bylaws were amended and restated to, among other things, align the Company’s bylaws with developments in Delaware law, update procedures relating to meetings of the Board of Directors and meetings of stockholders and revise the advance notice provisions for director nominations and proposals for other business, including to address matters related to Rule 14a-19 under the Exchange Act. The Bylaws also implement certain ministerial and conforming changes. The foregoing summary of the amendments to the Bylaws does not purport to be complete and is qualified in its entirety by reference to the full text of the Bylaws, a copy of which is filed as Exhibit 3.3 hereto.</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Special Meeting of Stockholders Results</w:t>
      </w:r>
    </w:p>
    <w:p>
      <w:pPr>
        <w:spacing w:after="0" w:line="119"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On October 30, 2025, the Company held its 2025 Special Meeting of Stockholders (the “Special Meeting”). A total of 264,666,601 shares of the Company’s common stock were present electronically or represented by proxy at the Annual Meeting, representing approximately 67.29% percent of the Company’s outstanding common stock as of the September 12, 2025 record date. The following are the voting results for the proposal considered and voted upon at the meeting, which was described in the Company’s Definitive Proxy Statement filed with the SEC on October 6, 2025.</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No. 1 - Amendment of the Company’s Second Amended and Restated Certificate of Incorporation</w:t>
      </w:r>
    </w:p>
    <w:p>
      <w:pPr>
        <w:spacing w:after="0" w:line="121" w:lineRule="exact"/>
        <w:rPr>
          <w:sz w:val="20"/>
          <w:szCs w:val="20"/>
          <w:color w:val="auto"/>
        </w:rPr>
      </w:pPr>
    </w:p>
    <w:p>
      <w:pPr>
        <w:jc w:val="both"/>
        <w:ind w:left="660"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an amendment to the Company’s Second Amended and Restated Certificate of Incorporation to increase the number of shares of common stock, par value $0.001 per share, authorized for issuance from 500,000,000 shares to 1,000,000,000 shares by the following votes: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Votes FOR</w:t>
            </w:r>
          </w:p>
        </w:tc>
        <w:tc>
          <w:tcPr>
            <w:tcW w:w="3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7"/>
        </w:trPr>
        <w:tc>
          <w:tcPr>
            <w:tcW w:w="3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250,120,890</w:t>
            </w:r>
          </w:p>
        </w:tc>
        <w:tc>
          <w:tcPr>
            <w:tcW w:w="320" w:type="dxa"/>
            <w:vAlign w:val="bottom"/>
          </w:tcPr>
          <w:p>
            <w:pPr>
              <w:spacing w:after="0"/>
              <w:rPr>
                <w:sz w:val="20"/>
                <w:szCs w:val="20"/>
                <w:color w:val="auto"/>
              </w:rPr>
            </w:pPr>
          </w:p>
        </w:tc>
        <w:tc>
          <w:tcPr>
            <w:tcW w:w="34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5,106,035</w:t>
            </w:r>
          </w:p>
        </w:tc>
        <w:tc>
          <w:tcPr>
            <w:tcW w:w="340" w:type="dxa"/>
            <w:vAlign w:val="bottom"/>
          </w:tcPr>
          <w:p>
            <w:pPr>
              <w:spacing w:after="0"/>
              <w:rPr>
                <w:sz w:val="20"/>
                <w:szCs w:val="20"/>
                <w:color w:val="auto"/>
              </w:rPr>
            </w:pPr>
          </w:p>
        </w:tc>
        <w:tc>
          <w:tcPr>
            <w:tcW w:w="34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9,439,676</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00" w:right="2040" w:hanging="644"/>
        <w:spacing w:after="0" w:line="461"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85" w:lineRule="exact"/>
        <w:rPr>
          <w:sz w:val="20"/>
          <w:szCs w:val="20"/>
          <w:color w:val="auto"/>
        </w:rPr>
      </w:pPr>
    </w:p>
    <w:p>
      <w:pPr>
        <w:ind w:left="660" w:right="20" w:firstLine="648"/>
        <w:spacing w:after="0" w:line="256" w:lineRule="auto"/>
        <w:rPr>
          <w:sz w:val="20"/>
          <w:szCs w:val="20"/>
          <w:color w:val="auto"/>
        </w:rPr>
      </w:pPr>
      <w:r>
        <w:rPr>
          <w:rFonts w:ascii="Times New Roman" w:cs="Times New Roman" w:eastAsia="Times New Roman" w:hAnsi="Times New Roman"/>
          <w:sz w:val="18"/>
          <w:szCs w:val="18"/>
          <w:color w:val="auto"/>
        </w:rPr>
        <w:t>Our officers and directors from time to time may adopt trading plans to transact in our common stock for a variety of reasons, including tax considerations, investment diversification, or other personal reasons. During the three months ended September 30, 2025, certain of our officers and directors adopted a pre-arranged stock trading plan intended to satisfy the affirmative defense of Rule 10b5-1(c) under the Securities Exchange Act of 1934, as amended (each such plan, a “Rule 10b5-1 Plan”), as described below. On August 11, 2025, Tyler Page, Chief Executive Officer, amended his Rule 10b5-1 Plan, which he previously adopted on March 14, 2025. As amended, the Rule 10b5-1 trading arrangement covers the sale of up to 900,000 shares of our common stock until November 13, 2025.</w:t>
      </w:r>
    </w:p>
    <w:p>
      <w:pPr>
        <w:spacing w:after="0" w:line="147" w:lineRule="exact"/>
        <w:rPr>
          <w:sz w:val="20"/>
          <w:szCs w:val="20"/>
          <w:color w:val="auto"/>
        </w:rPr>
      </w:pPr>
    </w:p>
    <w:p>
      <w:pPr>
        <w:ind w:left="660" w:firstLine="648"/>
        <w:spacing w:after="0" w:line="266" w:lineRule="auto"/>
        <w:rPr>
          <w:sz w:val="20"/>
          <w:szCs w:val="20"/>
          <w:color w:val="auto"/>
        </w:rPr>
      </w:pPr>
      <w:r>
        <w:rPr>
          <w:rFonts w:ascii="Times New Roman" w:cs="Times New Roman" w:eastAsia="Times New Roman" w:hAnsi="Times New Roman"/>
          <w:sz w:val="18"/>
          <w:szCs w:val="18"/>
          <w:color w:val="auto"/>
        </w:rPr>
        <w:t>No other directors or “officers” (as defined in Section 16a-1(f) of the Securities Exchange Act of 1934, as amended) adopted, terminated, or modified a “Rule 10b5-1 trading arrangement” or a “non-Rule 10b5-1 trading arrangement,” as each term is defined in Item 408(a) of Regulation S-K, during the three months ended September 30, 2025.</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28"/>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4"/>
                <w:szCs w:val="24"/>
                <w:color w:val="auto"/>
              </w:rPr>
            </w:pPr>
          </w:p>
        </w:tc>
        <w:tc>
          <w:tcPr>
            <w:tcW w:w="43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Agreement and Plan of Merger, dated as of March 4, 2021, by and</w:t>
              </w:r>
            </w:hyperlink>
          </w:p>
        </w:tc>
        <w:tc>
          <w:tcPr>
            <w:tcW w:w="440" w:type="dxa"/>
            <w:vAlign w:val="bottom"/>
            <w:gridSpan w:val="13"/>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33"/>
          </w:tcPr>
          <w:p>
            <w:pPr>
              <w:spacing w:after="0" w:line="183"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among Good Works Acquisition Corp., Currency Merger Sub, Inc. and</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30"/>
          </w:tcPr>
          <w:p>
            <w:pPr>
              <w:spacing w:after="0" w:line="169"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Cipher Mining Technologies Inc.</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Second Amended and Restated Certificate of Incorporation of Cipher</w:t>
              </w:r>
            </w:hyperlink>
          </w:p>
        </w:tc>
        <w:tc>
          <w:tcPr>
            <w:tcW w:w="240" w:type="dxa"/>
            <w:vAlign w:val="bottom"/>
            <w:gridSpan w:val="6"/>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33"/>
          </w:tcPr>
          <w:p>
            <w:pPr>
              <w:spacing w:after="0" w:line="183"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Mining Inc.</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Certificate of Amendment of Second Amended and Restated</w:t>
            </w:r>
          </w:p>
        </w:tc>
        <w:tc>
          <w:tcPr>
            <w:tcW w:w="800" w:type="dxa"/>
            <w:vAlign w:val="bottom"/>
            <w:gridSpan w:val="18"/>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33"/>
          </w:tcPr>
          <w:p>
            <w:pPr>
              <w:spacing w:after="0" w:line="183" w:lineRule="exact"/>
              <w:rPr>
                <w:sz w:val="20"/>
                <w:szCs w:val="20"/>
                <w:color w:val="auto"/>
              </w:rPr>
            </w:pPr>
            <w:r>
              <w:rPr>
                <w:rFonts w:ascii="Times New Roman" w:cs="Times New Roman" w:eastAsia="Times New Roman" w:hAnsi="Times New Roman"/>
                <w:sz w:val="16"/>
                <w:szCs w:val="16"/>
                <w:color w:val="0000FF"/>
              </w:rPr>
              <w:t>Certificate of Incorporation of Cipher Mining Inc.</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Amended and Restated Bylaws of Cipher Mining Inc.</w:t>
            </w:r>
          </w:p>
        </w:tc>
        <w:tc>
          <w:tcPr>
            <w:tcW w:w="1240" w:type="dxa"/>
            <w:vAlign w:val="bottom"/>
            <w:gridSpan w:val="24"/>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Specimen Warrant Certificate of Good Works Acquisition Corp.</w:t>
              </w:r>
            </w:hyperlink>
          </w:p>
        </w:tc>
        <w:tc>
          <w:tcPr>
            <w:tcW w:w="580" w:type="dxa"/>
            <w:vAlign w:val="bottom"/>
            <w:gridSpan w:val="16"/>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333-248333</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10/9/20</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3"/>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Warrant Agreement, dated as of October 19, 2020, by and between</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10/28/20</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top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Continental Stock Transfer &amp; Trust Company and Good Works</w:t>
              </w:r>
            </w:hyperlink>
          </w:p>
        </w:tc>
        <w:tc>
          <w:tcPr>
            <w:tcW w:w="420" w:type="dxa"/>
            <w:vAlign w:val="bottom"/>
            <w:gridSpan w:val="12"/>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Acquisition Corp.</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3"/>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Indenture, dated as of May 22, 2025, between Cipher Mining Inc. and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bottom w:val="single" w:sz="8" w:color="0000FF"/>
            </w:tcBorders>
            <w:gridSpan w:val="13"/>
          </w:tcPr>
          <w:p>
            <w:pPr>
              <w:spacing w:after="0" w:line="183"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U.S. Bank Trust Company, National Association, as trustee.</w:t>
              </w:r>
            </w:hyperlink>
          </w:p>
        </w:tc>
        <w:tc>
          <w:tcPr>
            <w:tcW w:w="640" w:type="dxa"/>
            <w:vAlign w:val="bottom"/>
            <w:tcBorders>
              <w:top w:val="single" w:sz="8" w:color="0000FF"/>
            </w:tcBorders>
            <w:gridSpan w:val="15"/>
          </w:tcPr>
          <w:p>
            <w:pPr>
              <w:spacing w:after="0"/>
              <w:rPr>
                <w:sz w:val="15"/>
                <w:szCs w:val="15"/>
                <w:color w:val="auto"/>
              </w:rPr>
            </w:pPr>
          </w:p>
        </w:tc>
        <w:tc>
          <w:tcPr>
            <w:tcW w:w="22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First Supplemental Indenture, dated as of May 22, 2025, between</w:t>
              </w:r>
            </w:hyperlink>
          </w:p>
        </w:tc>
        <w:tc>
          <w:tcPr>
            <w:tcW w:w="500" w:type="dxa"/>
            <w:vAlign w:val="bottom"/>
            <w:gridSpan w:val="15"/>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33"/>
          </w:tcPr>
          <w:p>
            <w:pPr>
              <w:spacing w:after="0" w:line="183"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Cipher Mining Inc. and U.S. Bank Trust Company, National</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Association, as Trustee.</w:t>
              </w:r>
            </w:hyperlink>
          </w:p>
        </w:tc>
        <w:tc>
          <w:tcPr>
            <w:tcW w:w="360" w:type="dxa"/>
            <w:vAlign w:val="bottom"/>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3"/>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of 1.75% Convertible Senior Note Due 2030 (included as Exhibit</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16"/>
                <w:szCs w:val="16"/>
                <w:color w:val="0000FF"/>
                <w:w w:val="99"/>
              </w:rPr>
            </w:pPr>
            <w:hyperlink r:id="rId130">
              <w:r>
                <w:rPr>
                  <w:rFonts w:ascii="Times New Roman" w:cs="Times New Roman" w:eastAsia="Times New Roman" w:hAnsi="Times New Roman"/>
                  <w:sz w:val="16"/>
                  <w:szCs w:val="16"/>
                  <w:color w:val="0000FF"/>
                  <w:w w:val="99"/>
                </w:rPr>
                <w:t>A to Exhibit 4.4).</w:t>
              </w:r>
            </w:hyperlink>
          </w:p>
        </w:tc>
        <w:tc>
          <w:tcPr>
            <w:tcW w:w="3460" w:type="dxa"/>
            <w:vAlign w:val="bottom"/>
            <w:tcBorders>
              <w:top w:val="single" w:sz="8" w:color="0000FF"/>
            </w:tcBorders>
            <w:gridSpan w:val="28"/>
          </w:tcPr>
          <w:p>
            <w:pPr>
              <w:spacing w:after="0"/>
              <w:rPr>
                <w:sz w:val="15"/>
                <w:szCs w:val="15"/>
                <w:color w:val="auto"/>
              </w:rPr>
            </w:pPr>
          </w:p>
        </w:tc>
        <w:tc>
          <w:tcPr>
            <w:tcW w:w="1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Warrant Agreement, by and between Cipher Mining Inc. and Google</w:t>
              </w:r>
            </w:hyperlink>
          </w:p>
        </w:tc>
        <w:tc>
          <w:tcPr>
            <w:tcW w:w="260" w:type="dxa"/>
            <w:vAlign w:val="bottom"/>
            <w:gridSpan w:val="7"/>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9/25/25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LLC, dated September 24, 2025.</w:t>
              </w:r>
            </w:hyperlink>
          </w:p>
        </w:tc>
        <w:tc>
          <w:tcPr>
            <w:tcW w:w="2600" w:type="dxa"/>
            <w:vAlign w:val="bottom"/>
            <w:gridSpan w:val="27"/>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3"/>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Indenture, dated as of September 30, 2025, between Cipher Mining</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9/30/25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bottom w:val="single" w:sz="8" w:color="0000FF"/>
            </w:tcBorders>
            <w:gridSpan w:val="25"/>
          </w:tcPr>
          <w:p>
            <w:pPr>
              <w:spacing w:after="0" w:line="183"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Inc. and U.S. Bank Trust Company, National Association, as trustee.</w:t>
              </w:r>
            </w:hyperlink>
          </w:p>
        </w:tc>
        <w:tc>
          <w:tcPr>
            <w:tcW w:w="28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3"/>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Form of certificate representing the 0.00% Convertible Senior Notes</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9/30/25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40" w:type="dxa"/>
            <w:vAlign w:val="bottom"/>
            <w:tcBorders>
              <w:top w:val="single" w:sz="8" w:color="0000FF"/>
            </w:tcBorders>
            <w:gridSpan w:val="24"/>
          </w:tcPr>
          <w:p>
            <w:pPr>
              <w:spacing w:after="0" w:line="183"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due 2031 (included as Exhibit A to Exhibit 4.1).</w:t>
              </w:r>
            </w:hyperlink>
          </w:p>
        </w:tc>
        <w:tc>
          <w:tcPr>
            <w:tcW w:w="300" w:type="dxa"/>
            <w:vAlign w:val="bottom"/>
            <w:gridSpan w:val="9"/>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9"/>
                <w:szCs w:val="19"/>
                <w:color w:val="auto"/>
              </w:rPr>
            </w:pPr>
          </w:p>
        </w:tc>
        <w:tc>
          <w:tcPr>
            <w:tcW w:w="4740" w:type="dxa"/>
            <w:vAlign w:val="bottom"/>
            <w:gridSpan w:val="33"/>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Recognition Agreement, by and among Cipher Barber Lake LLC,</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9/25/25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33"/>
          </w:tcPr>
          <w:p>
            <w:pPr>
              <w:spacing w:after="0" w:line="183"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Fluidstack USA II Inc. and Google LLC, dated September 24, 2025.</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 xml:space="preserve">Form </w:t>
            </w:r>
            <w:hyperlink r:id="rId135">
              <w:r>
                <w:rPr>
                  <w:rFonts w:ascii="Times New Roman" w:cs="Times New Roman" w:eastAsia="Times New Roman" w:hAnsi="Times New Roman"/>
                  <w:sz w:val="16"/>
                  <w:szCs w:val="16"/>
                  <w:color w:val="0000FF"/>
                </w:rPr>
                <w:t>of confirmation for the Capped Call Transactions.</w:t>
              </w:r>
            </w:hyperlink>
          </w:p>
        </w:tc>
        <w:tc>
          <w:tcPr>
            <w:tcW w:w="800" w:type="dxa"/>
            <w:vAlign w:val="bottom"/>
            <w:tcBorders>
              <w:top w:val="single" w:sz="8" w:color="0000FF"/>
            </w:tcBorders>
            <w:gridSpan w:val="13"/>
          </w:tcPr>
          <w:p>
            <w:pPr>
              <w:spacing w:after="0"/>
              <w:rPr>
                <w:sz w:val="19"/>
                <w:szCs w:val="19"/>
                <w:color w:val="auto"/>
              </w:rPr>
            </w:pPr>
          </w:p>
        </w:tc>
        <w:tc>
          <w:tcPr>
            <w:tcW w:w="320" w:type="dxa"/>
            <w:vAlign w:val="bottom"/>
            <w:gridSpan w:val="10"/>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9/30/25</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8"/>
          </w:tcPr>
          <w:p>
            <w:pPr>
              <w:spacing w:after="0"/>
              <w:rPr>
                <w:sz w:val="15"/>
                <w:szCs w:val="15"/>
                <w:color w:val="auto"/>
              </w:rPr>
            </w:pPr>
          </w:p>
        </w:tc>
        <w:tc>
          <w:tcPr>
            <w:tcW w:w="820" w:type="dxa"/>
            <w:vAlign w:val="bottom"/>
            <w:gridSpan w:val="16"/>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00" w:type="dxa"/>
            <w:vAlign w:val="bottom"/>
            <w:tcBorders>
              <w:top w:val="single" w:sz="8" w:color="0000FF"/>
            </w:tcBorders>
            <w:gridSpan w:val="7"/>
          </w:tcPr>
          <w:p>
            <w:pPr>
              <w:spacing w:after="0"/>
              <w:rPr>
                <w:sz w:val="15"/>
                <w:szCs w:val="15"/>
                <w:color w:val="auto"/>
              </w:rPr>
            </w:pPr>
          </w:p>
        </w:tc>
        <w:tc>
          <w:tcPr>
            <w:tcW w:w="860" w:type="dxa"/>
            <w:vAlign w:val="bottom"/>
            <w:gridSpan w:val="17"/>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18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160" w:type="dxa"/>
            <w:vAlign w:val="bottom"/>
            <w:gridSpan w:val="2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w:t>
            </w:r>
          </w:p>
        </w:tc>
        <w:tc>
          <w:tcPr>
            <w:tcW w:w="22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80" w:type="dxa"/>
            <w:vAlign w:val="bottom"/>
            <w:gridSpan w:val="3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1"/>
                <w:szCs w:val="21"/>
                <w:color w:val="auto"/>
              </w:rPr>
            </w:pPr>
          </w:p>
        </w:tc>
        <w:tc>
          <w:tcPr>
            <w:tcW w:w="474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1"/>
                <w:szCs w:val="21"/>
                <w:color w:val="auto"/>
              </w:rPr>
            </w:pPr>
          </w:p>
        </w:tc>
        <w:tc>
          <w:tcPr>
            <w:tcW w:w="474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120" w:right="4720" w:hanging="1094"/>
        <w:spacing w:after="0" w:line="298" w:lineRule="auto"/>
        <w:tabs>
          <w:tab w:leader="none" w:pos="11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-2540</wp:posOffset>
            </wp:positionV>
            <wp:extent cx="7200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020" w:space="340"/>
            <w:col w:w="620"/>
          </w:cols>
          <w:pgMar w:left="320" w:top="1292" w:right="5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4"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Certain confidential portions (indicated by brackets and asterisks) have been omitted from this exhibit pursuant to Item 601(b)(10)(iv) of Regulation S-K</w:t>
      </w:r>
    </w:p>
    <w:p>
      <w:pPr>
        <w:spacing w:after="0" w:line="12" w:lineRule="exact"/>
        <w:rPr>
          <w:sz w:val="20"/>
          <w:szCs w:val="20"/>
          <w:color w:val="auto"/>
        </w:rPr>
      </w:pPr>
    </w:p>
    <w:p>
      <w:pPr>
        <w:ind w:left="180" w:right="40"/>
        <w:spacing w:after="0" w:line="251" w:lineRule="auto"/>
        <w:rPr>
          <w:sz w:val="20"/>
          <w:szCs w:val="20"/>
          <w:color w:val="auto"/>
        </w:rPr>
      </w:pPr>
      <w:r>
        <w:rPr>
          <w:rFonts w:ascii="Times New Roman" w:cs="Times New Roman" w:eastAsia="Times New Roman" w:hAnsi="Times New Roman"/>
          <w:sz w:val="18"/>
          <w:szCs w:val="18"/>
          <w:color w:val="auto"/>
        </w:rPr>
        <w:t>because such information is (i) non-material, (ii) is of the type that the registrant customarily and actually treats as private or confidential and (iii) would be competitively harmful if publicly disclosed.</w:t>
      </w:r>
    </w:p>
    <w:p>
      <w:pPr>
        <w:spacing w:after="0" w:line="1" w:lineRule="exact"/>
        <w:rPr>
          <w:sz w:val="20"/>
          <w:szCs w:val="20"/>
          <w:color w:val="auto"/>
        </w:rPr>
      </w:pPr>
    </w:p>
    <w:p>
      <w:pPr>
        <w:ind w:left="180" w:right="20" w:hanging="172"/>
        <w:spacing w:after="0" w:line="260" w:lineRule="auto"/>
        <w:tabs>
          <w:tab w:leader="none" w:pos="1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undertakes to provide copies of any of the omitted schedules or exhibits upon request by the Securities and Exchange Commission.</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60" w:name="page61"/>
    <w:bookmarkEnd w:id="6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29"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80"/>
          </w:cols>
          <w:pgMar w:left="320" w:top="1292" w:right="399" w:bottom="1440" w:gutter="0" w:footer="0" w:header="0"/>
        </w:sectPr>
      </w:pPr>
    </w:p>
    <w:bookmarkStart w:id="61" w:name="page62"/>
    <w:bookmarkEnd w:id="61"/>
    <w:p>
      <w:pPr>
        <w:ind w:left="10300"/>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00" w:lineRule="exact"/>
        <w:rPr>
          <w:sz w:val="20"/>
          <w:szCs w:val="20"/>
          <w:color w:val="auto"/>
        </w:rPr>
      </w:pPr>
    </w:p>
    <w:p>
      <w:pPr>
        <w:spacing w:after="0" w:line="28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“DGCL”),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HEREBY CERTIFY THAT: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620" w:hanging="328"/>
        <w:spacing w:after="0" w:line="31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Corporation as heretofore in effect is hereby amended by replacing Article IV, Section 4.1 with the following:</w:t>
      </w:r>
    </w:p>
    <w:p>
      <w:pPr>
        <w:spacing w:after="0" w:line="175" w:lineRule="exact"/>
        <w:rPr>
          <w:rFonts w:ascii="Times New Roman" w:cs="Times New Roman" w:eastAsia="Times New Roman" w:hAnsi="Times New Roman"/>
          <w:sz w:val="18"/>
          <w:szCs w:val="18"/>
          <w:color w:val="auto"/>
        </w:rPr>
      </w:pPr>
    </w:p>
    <w:p>
      <w:pPr>
        <w:ind w:left="660" w:right="12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Authorized Capital Stock</w:t>
      </w:r>
      <w:r>
        <w:rPr>
          <w:rFonts w:ascii="Times New Roman" w:cs="Times New Roman" w:eastAsia="Times New Roman" w:hAnsi="Times New Roman"/>
          <w:sz w:val="17"/>
          <w:szCs w:val="17"/>
          <w:color w:val="auto"/>
        </w:rPr>
        <w:t>. The total number of shares of all classes of capital stock, each with a par value of $0.001 per share, which the Corporation is authorized to issue is 1,010,000,000 shares, consisting of (a) 1,000,000,000 shares of common stock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10,000,000 shares of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2.The forgoing amendment was duly adopted in accordance with the provisions of Section 242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82" w:right="439" w:bottom="1440" w:gutter="0" w:footer="0" w:header="0"/>
        </w:sectPr>
      </w:pPr>
    </w:p>
    <w:bookmarkStart w:id="62" w:name="page63"/>
    <w:bookmarkEnd w:id="62"/>
    <w:p>
      <w:pPr>
        <w:spacing w:after="0" w:line="329"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executed by its duly authorized officer on this 30th day of October,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5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_/s/ Tyler Page_________</w:t>
      </w:r>
    </w:p>
    <w:p>
      <w:pPr>
        <w:spacing w:after="0" w:line="26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Tyler Page</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820"/>
          </w:cols>
          <w:pgMar w:left="320" w:top="1161" w:right="7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Amended and Restated Bylaws of</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Cipher Mining Inc.</w:t>
      </w:r>
    </w:p>
    <w:p>
      <w:pPr>
        <w:spacing w:after="0" w:line="24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10120"/>
          </w:cols>
          <w:pgMar w:left="144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700" w:type="dxa"/>
            <w:vAlign w:val="bottom"/>
            <w:gridSpan w:val="2"/>
          </w:tcPr>
          <w:p>
            <w:pPr>
              <w:ind w:left="534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1.</w:t>
            </w:r>
            <w:r>
              <w:rPr>
                <w:rFonts w:ascii="Times New Roman" w:cs="Times New Roman" w:eastAsia="Times New Roman" w:hAnsi="Times New Roman"/>
                <w:sz w:val="18"/>
                <w:szCs w:val="18"/>
                <w:u w:val="single" w:color="auto"/>
                <w:color w:val="0563C1"/>
                <w:w w:val="88"/>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11"/>
          </w:tcPr>
          <w:p>
            <w:pPr>
              <w:spacing w:after="0"/>
              <w:rPr>
                <w:sz w:val="20"/>
                <w:szCs w:val="20"/>
                <w:color w:val="auto"/>
              </w:rPr>
            </w:pPr>
            <w:r>
              <w:rPr>
                <w:rFonts w:ascii="Times New Roman" w:cs="Times New Roman" w:eastAsia="Times New Roman" w:hAnsi="Times New Roman"/>
                <w:sz w:val="18"/>
                <w:szCs w:val="18"/>
                <w:color w:val="0563C1"/>
              </w:rPr>
              <w:t>Registered Office.</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r>
      <w:tr>
        <w:trPr>
          <w:trHeight w:val="236"/>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1.</w:t>
            </w:r>
            <w:r>
              <w:rPr>
                <w:rFonts w:ascii="Times New Roman" w:cs="Times New Roman" w:eastAsia="Times New Roman" w:hAnsi="Times New Roman"/>
                <w:sz w:val="18"/>
                <w:szCs w:val="18"/>
                <w:u w:val="single" w:color="auto"/>
                <w:color w:val="0563C1"/>
                <w:w w:val="88"/>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Borders>
              <w:top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rPr>
              <w:t xml:space="preserve">Other Offices.  </w:t>
            </w:r>
            <w:r>
              <w:rPr>
                <w:rFonts w:ascii="Times New Roman" w:cs="Times New Roman" w:eastAsia="Times New Roman" w:hAnsi="Times New Roman"/>
                <w:sz w:val="18"/>
                <w:szCs w:val="18"/>
                <w:color w:val="000000"/>
              </w:rPr>
              <w:t>1</w:t>
            </w:r>
          </w:p>
        </w:tc>
        <w:tc>
          <w:tcPr>
            <w:tcW w:w="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330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 xml:space="preserve">Article II - Meetings of Stockholders  </w:t>
            </w:r>
            <w:r>
              <w:rPr>
                <w:rFonts w:ascii="Times New Roman" w:cs="Times New Roman" w:eastAsia="Times New Roman" w:hAnsi="Times New Roman"/>
                <w:sz w:val="18"/>
                <w:szCs w:val="18"/>
                <w:color w:val="000000"/>
              </w:rPr>
              <w:t>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3"/>
        </w:trPr>
        <w:tc>
          <w:tcPr>
            <w:tcW w:w="920" w:type="dxa"/>
            <w:vAlign w:val="bottom"/>
            <w:tcBorders>
              <w:top w:val="single" w:sz="8" w:color="0563C1"/>
            </w:tcBorders>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2.</w:t>
            </w:r>
            <w:r>
              <w:rPr>
                <w:rFonts w:ascii="Times New Roman" w:cs="Times New Roman" w:eastAsia="Times New Roman" w:hAnsi="Times New Roman"/>
                <w:sz w:val="18"/>
                <w:szCs w:val="18"/>
                <w:u w:val="single" w:color="auto"/>
                <w:color w:val="0563C1"/>
                <w:w w:val="88"/>
              </w:rPr>
              <w:t>1.</w:t>
            </w:r>
          </w:p>
        </w:tc>
        <w:tc>
          <w:tcPr>
            <w:tcW w:w="80" w:type="dxa"/>
            <w:vAlign w:val="bottom"/>
            <w:tcBorders>
              <w:top w:val="single" w:sz="8" w:color="0563C1"/>
            </w:tcBorders>
          </w:tcPr>
          <w:p>
            <w:pPr>
              <w:spacing w:after="0"/>
              <w:rPr>
                <w:sz w:val="24"/>
                <w:szCs w:val="24"/>
                <w:color w:val="auto"/>
              </w:rPr>
            </w:pPr>
          </w:p>
        </w:tc>
        <w:tc>
          <w:tcPr>
            <w:tcW w:w="1540" w:type="dxa"/>
            <w:vAlign w:val="bottom"/>
            <w:tcBorders>
              <w:top w:val="single" w:sz="8" w:color="0563C1"/>
            </w:tcBorders>
            <w:gridSpan w:val="12"/>
          </w:tcPr>
          <w:p>
            <w:pPr>
              <w:ind w:left="160"/>
              <w:spacing w:after="0"/>
              <w:rPr>
                <w:sz w:val="20"/>
                <w:szCs w:val="20"/>
                <w:color w:val="auto"/>
              </w:rPr>
            </w:pPr>
            <w:r>
              <w:rPr>
                <w:rFonts w:ascii="Times New Roman" w:cs="Times New Roman" w:eastAsia="Times New Roman" w:hAnsi="Times New Roman"/>
                <w:sz w:val="18"/>
                <w:szCs w:val="18"/>
                <w:color w:val="0563C1"/>
              </w:rPr>
              <w:t>Place of Meetings.</w:t>
            </w:r>
          </w:p>
        </w:tc>
        <w:tc>
          <w:tcPr>
            <w:tcW w:w="160" w:type="dxa"/>
            <w:vAlign w:val="bottom"/>
            <w:tcBorders>
              <w:top w:val="single" w:sz="8" w:color="0563C1"/>
            </w:tcBorders>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4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2.</w:t>
            </w:r>
            <w:r>
              <w:rPr>
                <w:rFonts w:ascii="Times New Roman" w:cs="Times New Roman" w:eastAsia="Times New Roman" w:hAnsi="Times New Roman"/>
                <w:sz w:val="18"/>
                <w:szCs w:val="18"/>
                <w:u w:val="single" w:color="auto"/>
                <w:color w:val="0563C1"/>
                <w:w w:val="88"/>
              </w:rPr>
              <w:t>2.</w:t>
            </w:r>
          </w:p>
        </w:tc>
        <w:tc>
          <w:tcPr>
            <w:tcW w:w="80" w:type="dxa"/>
            <w:vAlign w:val="bottom"/>
          </w:tcPr>
          <w:p>
            <w:pPr>
              <w:spacing w:after="0"/>
              <w:rPr>
                <w:sz w:val="21"/>
                <w:szCs w:val="21"/>
                <w:color w:val="auto"/>
              </w:rPr>
            </w:pPr>
          </w:p>
        </w:tc>
        <w:tc>
          <w:tcPr>
            <w:tcW w:w="1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0563C1"/>
              </w:rPr>
              <w:t>Annual Meeting.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4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2.</w:t>
            </w:r>
            <w:r>
              <w:rPr>
                <w:rFonts w:ascii="Times New Roman" w:cs="Times New Roman" w:eastAsia="Times New Roman" w:hAnsi="Times New Roman"/>
                <w:sz w:val="18"/>
                <w:szCs w:val="18"/>
                <w:u w:val="single" w:color="auto"/>
                <w:color w:val="0563C1"/>
                <w:w w:val="88"/>
              </w:rPr>
              <w:t>3.</w:t>
            </w:r>
          </w:p>
        </w:tc>
        <w:tc>
          <w:tcPr>
            <w:tcW w:w="80" w:type="dxa"/>
            <w:vAlign w:val="bottom"/>
          </w:tcPr>
          <w:p>
            <w:pPr>
              <w:spacing w:after="0"/>
              <w:rPr>
                <w:sz w:val="20"/>
                <w:szCs w:val="20"/>
                <w:color w:val="auto"/>
              </w:rPr>
            </w:pPr>
          </w:p>
        </w:tc>
        <w:tc>
          <w:tcPr>
            <w:tcW w:w="1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0563C1"/>
              </w:rPr>
              <w:t>Special Meeting.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40" w:type="dxa"/>
            <w:vAlign w:val="bottom"/>
            <w:gridSpan w:val="3"/>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2.</w:t>
            </w:r>
            <w:r>
              <w:rPr>
                <w:rFonts w:ascii="Times New Roman" w:cs="Times New Roman" w:eastAsia="Times New Roman" w:hAnsi="Times New Roman"/>
                <w:sz w:val="18"/>
                <w:szCs w:val="18"/>
                <w:u w:val="single" w:color="auto"/>
                <w:color w:val="0563C1"/>
                <w:w w:val="88"/>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563C1"/>
              </w:rPr>
              <w:t xml:space="preserve">Notice of Business to be Brought before a Meeting.  </w:t>
            </w:r>
            <w:r>
              <w:rPr>
                <w:rFonts w:ascii="Times New Roman" w:cs="Times New Roman" w:eastAsia="Times New Roman" w:hAnsi="Times New Roman"/>
                <w:sz w:val="18"/>
                <w:szCs w:val="18"/>
                <w:color w:val="000000"/>
              </w:rPr>
              <w:t>1</w:t>
            </w:r>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2.</w:t>
            </w:r>
            <w:r>
              <w:rPr>
                <w:rFonts w:ascii="Times New Roman" w:cs="Times New Roman" w:eastAsia="Times New Roman" w:hAnsi="Times New Roman"/>
                <w:sz w:val="18"/>
                <w:szCs w:val="18"/>
                <w:u w:val="single" w:color="auto"/>
                <w:color w:val="0563C1"/>
                <w:w w:val="88"/>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563C1"/>
              </w:rPr>
              <w:t xml:space="preserve">Notice of Nominations for Election to the Board.  </w:t>
            </w:r>
            <w:r>
              <w:rPr>
                <w:rFonts w:ascii="Times New Roman" w:cs="Times New Roman" w:eastAsia="Times New Roman" w:hAnsi="Times New Roman"/>
                <w:sz w:val="18"/>
                <w:szCs w:val="18"/>
                <w:color w:val="000000"/>
              </w:rPr>
              <w:t>5</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2.</w:t>
            </w:r>
            <w:r>
              <w:rPr>
                <w:rFonts w:ascii="Times New Roman" w:cs="Times New Roman" w:eastAsia="Times New Roman" w:hAnsi="Times New Roman"/>
                <w:sz w:val="18"/>
                <w:szCs w:val="18"/>
                <w:u w:val="single" w:color="auto"/>
                <w:color w:val="0563C1"/>
                <w:w w:val="88"/>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Notice of Stockholders’ Meetings.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50"/>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2.</w:t>
            </w:r>
            <w:r>
              <w:rPr>
                <w:rFonts w:ascii="Times New Roman" w:cs="Times New Roman" w:eastAsia="Times New Roman" w:hAnsi="Times New Roman"/>
                <w:sz w:val="18"/>
                <w:szCs w:val="18"/>
                <w:u w:val="single" w:color="auto"/>
                <w:color w:val="0563C1"/>
                <w:w w:val="88"/>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top w:val="single" w:sz="8" w:color="0563C1"/>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9"/>
              </w:rPr>
              <w:t>Quorum.</w:t>
            </w:r>
          </w:p>
        </w:tc>
        <w:tc>
          <w:tcPr>
            <w:tcW w:w="100" w:type="dxa"/>
            <w:vAlign w:val="bottom"/>
            <w:tcBorders>
              <w:top w:val="single" w:sz="8" w:color="0563C1"/>
            </w:tcBorders>
            <w:gridSpan w:val="2"/>
          </w:tcPr>
          <w:p>
            <w:pPr>
              <w:spacing w:after="0"/>
              <w:rPr>
                <w:sz w:val="21"/>
                <w:szCs w:val="21"/>
                <w:color w:val="auto"/>
              </w:rPr>
            </w:pPr>
          </w:p>
        </w:tc>
        <w:tc>
          <w:tcPr>
            <w:tcW w:w="280" w:type="dxa"/>
            <w:vAlign w:val="bottom"/>
            <w:tcBorders>
              <w:top w:val="single" w:sz="8" w:color="0563C1"/>
            </w:tcBorders>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36"/>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2.</w:t>
            </w:r>
            <w:r>
              <w:rPr>
                <w:rFonts w:ascii="Times New Roman" w:cs="Times New Roman" w:eastAsia="Times New Roman" w:hAnsi="Times New Roman"/>
                <w:sz w:val="18"/>
                <w:szCs w:val="18"/>
                <w:u w:val="single" w:color="auto"/>
                <w:color w:val="0563C1"/>
                <w:w w:val="88"/>
              </w:rPr>
              <w:t>8.</w:t>
            </w:r>
          </w:p>
        </w:tc>
        <w:tc>
          <w:tcPr>
            <w:tcW w:w="80" w:type="dxa"/>
            <w:vAlign w:val="bottom"/>
          </w:tcPr>
          <w:p>
            <w:pPr>
              <w:spacing w:after="0"/>
              <w:rPr>
                <w:sz w:val="20"/>
                <w:szCs w:val="20"/>
                <w:color w:val="auto"/>
              </w:rPr>
            </w:pPr>
          </w:p>
        </w:tc>
        <w:tc>
          <w:tcPr>
            <w:tcW w:w="230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563C1"/>
              </w:rPr>
              <w:t>Adjourned Meeting; Notice.</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2.</w:t>
            </w:r>
            <w:r>
              <w:rPr>
                <w:rFonts w:ascii="Times New Roman" w:cs="Times New Roman" w:eastAsia="Times New Roman" w:hAnsi="Times New Roman"/>
                <w:sz w:val="18"/>
                <w:szCs w:val="18"/>
                <w:u w:val="single" w:color="auto"/>
                <w:color w:val="0563C1"/>
                <w:w w:val="88"/>
              </w:rPr>
              <w:t>9.</w:t>
            </w:r>
          </w:p>
        </w:tc>
        <w:tc>
          <w:tcPr>
            <w:tcW w:w="80" w:type="dxa"/>
            <w:vAlign w:val="bottom"/>
          </w:tcPr>
          <w:p>
            <w:pPr>
              <w:spacing w:after="0"/>
              <w:rPr>
                <w:sz w:val="20"/>
                <w:szCs w:val="20"/>
                <w:color w:val="auto"/>
              </w:rPr>
            </w:pPr>
          </w:p>
        </w:tc>
        <w:tc>
          <w:tcPr>
            <w:tcW w:w="188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563C1"/>
              </w:rPr>
              <w:t>Conduct of Business.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10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3"/>
              </w:rPr>
              <w:t>2.</w:t>
            </w:r>
            <w:r>
              <w:rPr>
                <w:rFonts w:ascii="Times New Roman" w:cs="Times New Roman" w:eastAsia="Times New Roman" w:hAnsi="Times New Roman"/>
                <w:sz w:val="18"/>
                <w:szCs w:val="18"/>
                <w:u w:val="single" w:color="auto"/>
                <w:color w:val="0563C1"/>
                <w:w w:val="83"/>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563C1"/>
              </w:rPr>
              <w:t>Voting.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1000" w:type="dxa"/>
            <w:vAlign w:val="bottom"/>
            <w:gridSpan w:val="3"/>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236"/>
        </w:trPr>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3"/>
              </w:rPr>
              <w:t>2.</w:t>
            </w:r>
            <w:r>
              <w:rPr>
                <w:rFonts w:ascii="Times New Roman" w:cs="Times New Roman" w:eastAsia="Times New Roman" w:hAnsi="Times New Roman"/>
                <w:sz w:val="18"/>
                <w:szCs w:val="18"/>
                <w:u w:val="single" w:color="auto"/>
                <w:color w:val="0563C1"/>
                <w:w w:val="83"/>
              </w:rPr>
              <w:t>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80" w:type="dxa"/>
            <w:vAlign w:val="bottom"/>
            <w:gridSpan w:val="27"/>
          </w:tcPr>
          <w:p>
            <w:pPr>
              <w:spacing w:after="0"/>
              <w:rPr>
                <w:sz w:val="20"/>
                <w:szCs w:val="20"/>
                <w:color w:val="auto"/>
              </w:rPr>
            </w:pPr>
            <w:r>
              <w:rPr>
                <w:rFonts w:ascii="Times New Roman" w:cs="Times New Roman" w:eastAsia="Times New Roman" w:hAnsi="Times New Roman"/>
                <w:sz w:val="18"/>
                <w:szCs w:val="18"/>
                <w:color w:val="0563C1"/>
              </w:rPr>
              <w:t xml:space="preserve">Record Date for Stockholder Meetings and Other Purposes.  </w:t>
            </w:r>
            <w:r>
              <w:rPr>
                <w:rFonts w:ascii="Times New Roman" w:cs="Times New Roman" w:eastAsia="Times New Roman" w:hAnsi="Times New Roman"/>
                <w:sz w:val="18"/>
                <w:szCs w:val="18"/>
                <w:color w:val="000000"/>
              </w:rPr>
              <w:t>11</w:t>
            </w:r>
          </w:p>
        </w:tc>
      </w:tr>
      <w:tr>
        <w:trPr>
          <w:trHeight w:val="20"/>
        </w:trPr>
        <w:tc>
          <w:tcPr>
            <w:tcW w:w="660" w:type="dxa"/>
            <w:vAlign w:val="bottom"/>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3"/>
              </w:rPr>
              <w:t>2.</w:t>
            </w:r>
            <w:r>
              <w:rPr>
                <w:rFonts w:ascii="Times New Roman" w:cs="Times New Roman" w:eastAsia="Times New Roman" w:hAnsi="Times New Roman"/>
                <w:sz w:val="18"/>
                <w:szCs w:val="18"/>
                <w:u w:val="single" w:color="auto"/>
                <w:color w:val="0563C1"/>
                <w:w w:val="83"/>
              </w:rPr>
              <w:t>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563C1"/>
              </w:rPr>
              <w:t>Proxies.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3"/>
              </w:rPr>
              <w:t>2.</w:t>
            </w:r>
            <w:r>
              <w:rPr>
                <w:rFonts w:ascii="Times New Roman" w:cs="Times New Roman" w:eastAsia="Times New Roman" w:hAnsi="Times New Roman"/>
                <w:sz w:val="18"/>
                <w:szCs w:val="18"/>
                <w:u w:val="single" w:color="auto"/>
                <w:color w:val="0563C1"/>
                <w:w w:val="83"/>
              </w:rPr>
              <w:t>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List of Stockholders Entitled to Vote.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760" w:type="dxa"/>
            <w:vAlign w:val="bottom"/>
            <w:tcBorders>
              <w:left w:val="single" w:sz="8" w:color="0563C1"/>
            </w:tcBorders>
            <w:gridSpan w:val="7"/>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3"/>
              </w:rPr>
              <w:t>2.</w:t>
            </w:r>
            <w:r>
              <w:rPr>
                <w:rFonts w:ascii="Times New Roman" w:cs="Times New Roman" w:eastAsia="Times New Roman" w:hAnsi="Times New Roman"/>
                <w:sz w:val="18"/>
                <w:szCs w:val="18"/>
                <w:u w:val="single" w:color="auto"/>
                <w:color w:val="0563C1"/>
                <w:w w:val="83"/>
              </w:rPr>
              <w:t>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12"/>
          </w:tcPr>
          <w:p>
            <w:pPr>
              <w:spacing w:after="0"/>
              <w:rPr>
                <w:sz w:val="20"/>
                <w:szCs w:val="20"/>
                <w:color w:val="auto"/>
              </w:rPr>
            </w:pPr>
            <w:r>
              <w:rPr>
                <w:rFonts w:ascii="Times New Roman" w:cs="Times New Roman" w:eastAsia="Times New Roman" w:hAnsi="Times New Roman"/>
                <w:sz w:val="18"/>
                <w:szCs w:val="18"/>
                <w:color w:val="0563C1"/>
                <w:w w:val="98"/>
              </w:rPr>
              <w:t>Inspectors of Election.</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760" w:type="dxa"/>
            <w:vAlign w:val="bottom"/>
            <w:tcBorders>
              <w:left w:val="single" w:sz="8" w:color="0563C1"/>
            </w:tcBorders>
            <w:gridSpan w:val="7"/>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3"/>
              </w:rPr>
              <w:t>2.</w:t>
            </w:r>
            <w:r>
              <w:rPr>
                <w:rFonts w:ascii="Times New Roman" w:cs="Times New Roman" w:eastAsia="Times New Roman" w:hAnsi="Times New Roman"/>
                <w:sz w:val="18"/>
                <w:szCs w:val="18"/>
                <w:u w:val="single" w:color="auto"/>
                <w:color w:val="0563C1"/>
                <w:w w:val="83"/>
              </w:rPr>
              <w:t>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Delivery to the Corporation.</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2"/>
        </w:trPr>
        <w:tc>
          <w:tcPr>
            <w:tcW w:w="1920" w:type="dxa"/>
            <w:vAlign w:val="bottom"/>
            <w:gridSpan w:val="10"/>
          </w:tcPr>
          <w:p>
            <w:pPr>
              <w:spacing w:after="0"/>
              <w:rPr>
                <w:sz w:val="20"/>
                <w:szCs w:val="20"/>
                <w:color w:val="auto"/>
              </w:rPr>
            </w:pPr>
            <w:r>
              <w:rPr>
                <w:rFonts w:ascii="Times New Roman" w:cs="Times New Roman" w:eastAsia="Times New Roman" w:hAnsi="Times New Roman"/>
                <w:sz w:val="18"/>
                <w:szCs w:val="18"/>
                <w:color w:val="0563C1"/>
              </w:rPr>
              <w:t xml:space="preserve">Article III - Directors  </w:t>
            </w:r>
            <w:r>
              <w:rPr>
                <w:rFonts w:ascii="Times New Roman" w:cs="Times New Roman" w:eastAsia="Times New Roman" w:hAnsi="Times New Roman"/>
                <w:sz w:val="18"/>
                <w:szCs w:val="18"/>
                <w:color w:val="000000"/>
              </w:rPr>
              <w:t>12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92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60" w:type="dxa"/>
            <w:vAlign w:val="bottom"/>
            <w:tcBorders>
              <w:left w:val="single" w:sz="8" w:color="0563C1"/>
            </w:tcBorders>
            <w:gridSpan w:val="3"/>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3"/>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3.</w:t>
            </w:r>
            <w:r>
              <w:rPr>
                <w:rFonts w:ascii="Times New Roman" w:cs="Times New Roman" w:eastAsia="Times New Roman" w:hAnsi="Times New Roman"/>
                <w:sz w:val="18"/>
                <w:szCs w:val="18"/>
                <w:u w:val="single" w:color="auto"/>
                <w:color w:val="0563C1"/>
                <w:w w:val="88"/>
              </w:rPr>
              <w:t>1.</w:t>
            </w:r>
          </w:p>
        </w:tc>
        <w:tc>
          <w:tcPr>
            <w:tcW w:w="80" w:type="dxa"/>
            <w:vAlign w:val="bottom"/>
          </w:tcPr>
          <w:p>
            <w:pPr>
              <w:spacing w:after="0"/>
              <w:rPr>
                <w:sz w:val="24"/>
                <w:szCs w:val="24"/>
                <w:color w:val="auto"/>
              </w:rPr>
            </w:pPr>
          </w:p>
        </w:tc>
        <w:tc>
          <w:tcPr>
            <w:tcW w:w="92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0563C1"/>
              </w:rPr>
              <w:t>Powers.</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3.</w:t>
            </w:r>
            <w:r>
              <w:rPr>
                <w:rFonts w:ascii="Times New Roman" w:cs="Times New Roman" w:eastAsia="Times New Roman" w:hAnsi="Times New Roman"/>
                <w:sz w:val="18"/>
                <w:szCs w:val="18"/>
                <w:u w:val="single" w:color="auto"/>
                <w:color w:val="0563C1"/>
                <w:w w:val="88"/>
              </w:rPr>
              <w:t>2.</w:t>
            </w:r>
          </w:p>
        </w:tc>
        <w:tc>
          <w:tcPr>
            <w:tcW w:w="80" w:type="dxa"/>
            <w:vAlign w:val="bottom"/>
          </w:tcPr>
          <w:p>
            <w:pPr>
              <w:spacing w:after="0"/>
              <w:rPr>
                <w:sz w:val="20"/>
                <w:szCs w:val="20"/>
                <w:color w:val="auto"/>
              </w:rPr>
            </w:pPr>
          </w:p>
        </w:tc>
        <w:tc>
          <w:tcPr>
            <w:tcW w:w="188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563C1"/>
              </w:rPr>
              <w:t>Number of Directors.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12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760" w:type="dxa"/>
            <w:vAlign w:val="bottom"/>
            <w:tcBorders>
              <w:left w:val="single" w:sz="8" w:color="0563C1"/>
            </w:tcBorders>
            <w:gridSpan w:val="7"/>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r>
      <w:tr>
        <w:trPr>
          <w:trHeight w:val="250"/>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3.</w:t>
            </w:r>
            <w:r>
              <w:rPr>
                <w:rFonts w:ascii="Times New Roman" w:cs="Times New Roman" w:eastAsia="Times New Roman" w:hAnsi="Times New Roman"/>
                <w:sz w:val="18"/>
                <w:szCs w:val="18"/>
                <w:u w:val="single" w:color="auto"/>
                <w:color w:val="0563C1"/>
                <w:w w:val="88"/>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563C1"/>
              </w:rPr>
              <w:t xml:space="preserve">Election, Qualification and Term of Office of Directors.  </w:t>
            </w:r>
            <w:r>
              <w:rPr>
                <w:rFonts w:ascii="Times New Roman" w:cs="Times New Roman" w:eastAsia="Times New Roman" w:hAnsi="Times New Roman"/>
                <w:sz w:val="18"/>
                <w:szCs w:val="18"/>
                <w:color w:val="000000"/>
              </w:rPr>
              <w:t>13</w:t>
            </w: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3.</w:t>
            </w:r>
            <w:r>
              <w:rPr>
                <w:rFonts w:ascii="Times New Roman" w:cs="Times New Roman" w:eastAsia="Times New Roman" w:hAnsi="Times New Roman"/>
                <w:sz w:val="18"/>
                <w:szCs w:val="18"/>
                <w:u w:val="single" w:color="auto"/>
                <w:color w:val="0563C1"/>
                <w:w w:val="88"/>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top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rPr>
              <w:t>Resignation and Vacancies.</w:t>
            </w:r>
          </w:p>
        </w:tc>
        <w:tc>
          <w:tcPr>
            <w:tcW w:w="240" w:type="dxa"/>
            <w:vAlign w:val="bottom"/>
            <w:tcBorders>
              <w:top w:val="single" w:sz="8" w:color="0563C1"/>
            </w:tcBorders>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0563C1"/>
            </w:tcBorders>
          </w:tcPr>
          <w:p>
            <w:pPr>
              <w:spacing w:after="0"/>
              <w:rPr>
                <w:sz w:val="20"/>
                <w:szCs w:val="20"/>
                <w:color w:val="auto"/>
              </w:rPr>
            </w:pPr>
          </w:p>
        </w:tc>
        <w:tc>
          <w:tcPr>
            <w:tcW w:w="60" w:type="dxa"/>
            <w:vAlign w:val="bottom"/>
            <w:tcBorders>
              <w:top w:val="single" w:sz="8" w:color="0563C1"/>
            </w:tcBorders>
          </w:tcPr>
          <w:p>
            <w:pPr>
              <w:spacing w:after="0"/>
              <w:rPr>
                <w:sz w:val="20"/>
                <w:szCs w:val="20"/>
                <w:color w:val="auto"/>
              </w:rPr>
            </w:pPr>
          </w:p>
        </w:tc>
        <w:tc>
          <w:tcPr>
            <w:tcW w:w="220" w:type="dxa"/>
            <w:vAlign w:val="bottom"/>
            <w:tcBorders>
              <w:top w:val="single" w:sz="8" w:color="0563C1"/>
            </w:tcBorders>
          </w:tcPr>
          <w:p>
            <w:pPr>
              <w:spacing w:after="0"/>
              <w:rPr>
                <w:sz w:val="20"/>
                <w:szCs w:val="20"/>
                <w:color w:val="auto"/>
              </w:rPr>
            </w:pPr>
          </w:p>
        </w:tc>
        <w:tc>
          <w:tcPr>
            <w:tcW w:w="100" w:type="dxa"/>
            <w:vAlign w:val="bottom"/>
            <w:tcBorders>
              <w:top w:val="single" w:sz="8" w:color="0563C1"/>
            </w:tcBorders>
          </w:tcPr>
          <w:p>
            <w:pPr>
              <w:spacing w:after="0"/>
              <w:rPr>
                <w:sz w:val="20"/>
                <w:szCs w:val="20"/>
                <w:color w:val="auto"/>
              </w:rPr>
            </w:pPr>
          </w:p>
        </w:tc>
        <w:tc>
          <w:tcPr>
            <w:tcW w:w="280" w:type="dxa"/>
            <w:vAlign w:val="bottom"/>
            <w:tcBorders>
              <w:top w:val="single" w:sz="8" w:color="0563C1"/>
            </w:tcBorders>
          </w:tcPr>
          <w:p>
            <w:pPr>
              <w:spacing w:after="0"/>
              <w:rPr>
                <w:sz w:val="20"/>
                <w:szCs w:val="20"/>
                <w:color w:val="auto"/>
              </w:rPr>
            </w:pPr>
          </w:p>
        </w:tc>
        <w:tc>
          <w:tcPr>
            <w:tcW w:w="400" w:type="dxa"/>
            <w:vAlign w:val="bottom"/>
            <w:tcBorders>
              <w:top w:val="single" w:sz="8" w:color="0563C1"/>
            </w:tcBorders>
          </w:tcPr>
          <w:p>
            <w:pPr>
              <w:spacing w:after="0"/>
              <w:rPr>
                <w:sz w:val="20"/>
                <w:szCs w:val="20"/>
                <w:color w:val="auto"/>
              </w:rPr>
            </w:pPr>
          </w:p>
        </w:tc>
        <w:tc>
          <w:tcPr>
            <w:tcW w:w="180" w:type="dxa"/>
            <w:vAlign w:val="bottom"/>
            <w:tcBorders>
              <w:top w:val="single" w:sz="8" w:color="0563C1"/>
            </w:tcBorders>
          </w:tcPr>
          <w:p>
            <w:pPr>
              <w:spacing w:after="0"/>
              <w:rPr>
                <w:sz w:val="20"/>
                <w:szCs w:val="20"/>
                <w:color w:val="auto"/>
              </w:rPr>
            </w:pPr>
          </w:p>
        </w:tc>
        <w:tc>
          <w:tcPr>
            <w:tcW w:w="300" w:type="dxa"/>
            <w:vAlign w:val="bottom"/>
            <w:tcBorders>
              <w:top w:val="single" w:sz="8" w:color="0563C1"/>
            </w:tcBorders>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760" w:type="dxa"/>
            <w:vAlign w:val="bottom"/>
            <w:tcBorders>
              <w:left w:val="single" w:sz="8" w:color="0563C1"/>
            </w:tcBorders>
            <w:gridSpan w:val="7"/>
            <w:shd w:val="clear" w:color="auto" w:fill="0563C1"/>
          </w:tcPr>
          <w:p>
            <w:pPr>
              <w:spacing w:after="0" w:line="20" w:lineRule="exact"/>
              <w:rPr>
                <w:sz w:val="1"/>
                <w:szCs w:val="1"/>
                <w:color w:val="auto"/>
              </w:rPr>
            </w:pPr>
          </w:p>
        </w:tc>
        <w:tc>
          <w:tcPr>
            <w:tcW w:w="520" w:type="dxa"/>
            <w:vAlign w:val="bottom"/>
            <w:tcBorders>
              <w:left w:val="single" w:sz="8" w:color="0563C1"/>
            </w:tcBorders>
            <w:gridSpan w:val="4"/>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3.</w:t>
            </w:r>
            <w:r>
              <w:rPr>
                <w:rFonts w:ascii="Times New Roman" w:cs="Times New Roman" w:eastAsia="Times New Roman" w:hAnsi="Times New Roman"/>
                <w:sz w:val="18"/>
                <w:szCs w:val="18"/>
                <w:u w:val="single" w:color="auto"/>
                <w:color w:val="0563C1"/>
                <w:w w:val="88"/>
              </w:rPr>
              <w:t>5.</w:t>
            </w:r>
          </w:p>
        </w:tc>
        <w:tc>
          <w:tcPr>
            <w:tcW w:w="80" w:type="dxa"/>
            <w:vAlign w:val="bottom"/>
          </w:tcPr>
          <w:p>
            <w:pPr>
              <w:spacing w:after="0"/>
              <w:rPr>
                <w:sz w:val="20"/>
                <w:szCs w:val="20"/>
                <w:color w:val="auto"/>
              </w:rPr>
            </w:pPr>
          </w:p>
        </w:tc>
        <w:tc>
          <w:tcPr>
            <w:tcW w:w="10240" w:type="dxa"/>
            <w:vAlign w:val="bottom"/>
            <w:gridSpan w:val="29"/>
          </w:tcPr>
          <w:p>
            <w:pPr>
              <w:ind w:left="160"/>
              <w:spacing w:after="0"/>
              <w:rPr>
                <w:sz w:val="20"/>
                <w:szCs w:val="20"/>
                <w:color w:val="auto"/>
              </w:rPr>
            </w:pPr>
            <w:r>
              <w:rPr>
                <w:rFonts w:ascii="Times New Roman" w:cs="Times New Roman" w:eastAsia="Times New Roman" w:hAnsi="Times New Roman"/>
                <w:sz w:val="18"/>
                <w:szCs w:val="18"/>
                <w:color w:val="0563C1"/>
              </w:rPr>
              <w:t xml:space="preserve">Place of Meetings; Meetings by Telephone.  </w:t>
            </w:r>
            <w:r>
              <w:rPr>
                <w:rFonts w:ascii="Times New Roman" w:cs="Times New Roman" w:eastAsia="Times New Roman" w:hAnsi="Times New Roman"/>
                <w:sz w:val="18"/>
                <w:szCs w:val="18"/>
                <w:color w:val="000000"/>
              </w:rPr>
              <w:t>13</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760" w:type="dxa"/>
            <w:vAlign w:val="bottom"/>
            <w:tcBorders>
              <w:left w:val="single" w:sz="8" w:color="0563C1"/>
            </w:tcBorders>
            <w:gridSpan w:val="7"/>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3.</w:t>
            </w:r>
            <w:r>
              <w:rPr>
                <w:rFonts w:ascii="Times New Roman" w:cs="Times New Roman" w:eastAsia="Times New Roman" w:hAnsi="Times New Roman"/>
                <w:sz w:val="18"/>
                <w:szCs w:val="18"/>
                <w:u w:val="single" w:color="auto"/>
                <w:color w:val="0563C1"/>
                <w:w w:val="88"/>
              </w:rPr>
              <w:t>6.</w:t>
            </w:r>
          </w:p>
        </w:tc>
        <w:tc>
          <w:tcPr>
            <w:tcW w:w="80" w:type="dxa"/>
            <w:vAlign w:val="bottom"/>
          </w:tcPr>
          <w:p>
            <w:pPr>
              <w:spacing w:after="0"/>
              <w:rPr>
                <w:sz w:val="20"/>
                <w:szCs w:val="20"/>
                <w:color w:val="auto"/>
              </w:rPr>
            </w:pPr>
          </w:p>
        </w:tc>
        <w:tc>
          <w:tcPr>
            <w:tcW w:w="1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0563C1"/>
              </w:rPr>
              <w:t>Regular Meetings.</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760" w:type="dxa"/>
            <w:vAlign w:val="bottom"/>
            <w:tcBorders>
              <w:left w:val="single" w:sz="8" w:color="0563C1"/>
            </w:tcBorders>
            <w:gridSpan w:val="7"/>
            <w:shd w:val="clear" w:color="auto" w:fill="0563C1"/>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3.</w:t>
            </w:r>
            <w:r>
              <w:rPr>
                <w:rFonts w:ascii="Times New Roman" w:cs="Times New Roman" w:eastAsia="Times New Roman" w:hAnsi="Times New Roman"/>
                <w:sz w:val="18"/>
                <w:szCs w:val="18"/>
                <w:u w:val="single" w:color="auto"/>
                <w:color w:val="0563C1"/>
                <w:w w:val="88"/>
              </w:rPr>
              <w:t>7.</w:t>
            </w:r>
          </w:p>
        </w:tc>
        <w:tc>
          <w:tcPr>
            <w:tcW w:w="80" w:type="dxa"/>
            <w:vAlign w:val="bottom"/>
          </w:tcPr>
          <w:p>
            <w:pPr>
              <w:spacing w:after="0"/>
              <w:rPr>
                <w:sz w:val="20"/>
                <w:szCs w:val="20"/>
                <w:color w:val="auto"/>
              </w:rPr>
            </w:pPr>
          </w:p>
        </w:tc>
        <w:tc>
          <w:tcPr>
            <w:tcW w:w="2700" w:type="dxa"/>
            <w:vAlign w:val="bottom"/>
            <w:gridSpan w:val="20"/>
          </w:tcPr>
          <w:p>
            <w:pPr>
              <w:ind w:left="160"/>
              <w:spacing w:after="0"/>
              <w:rPr>
                <w:sz w:val="20"/>
                <w:szCs w:val="20"/>
                <w:color w:val="auto"/>
              </w:rPr>
            </w:pPr>
            <w:r>
              <w:rPr>
                <w:rFonts w:ascii="Times New Roman" w:cs="Times New Roman" w:eastAsia="Times New Roman" w:hAnsi="Times New Roman"/>
                <w:sz w:val="18"/>
                <w:szCs w:val="18"/>
                <w:color w:val="0563C1"/>
              </w:rPr>
              <w:t xml:space="preserve">Special Meetings; Notice.  </w:t>
            </w:r>
            <w:r>
              <w:rPr>
                <w:rFonts w:ascii="Times New Roman" w:cs="Times New Roman" w:eastAsia="Times New Roman" w:hAnsi="Times New Roman"/>
                <w:sz w:val="18"/>
                <w:szCs w:val="18"/>
                <w:color w:val="000000"/>
              </w:rPr>
              <w:t>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3.</w:t>
            </w:r>
            <w:r>
              <w:rPr>
                <w:rFonts w:ascii="Times New Roman" w:cs="Times New Roman" w:eastAsia="Times New Roman" w:hAnsi="Times New Roman"/>
                <w:sz w:val="18"/>
                <w:szCs w:val="18"/>
                <w:u w:val="single" w:color="auto"/>
                <w:color w:val="0563C1"/>
                <w:w w:val="88"/>
              </w:rPr>
              <w:t>8.</w:t>
            </w:r>
          </w:p>
        </w:tc>
        <w:tc>
          <w:tcPr>
            <w:tcW w:w="80" w:type="dxa"/>
            <w:vAlign w:val="bottom"/>
          </w:tcPr>
          <w:p>
            <w:pPr>
              <w:spacing w:after="0"/>
              <w:rPr>
                <w:sz w:val="21"/>
                <w:szCs w:val="21"/>
                <w:color w:val="auto"/>
              </w:rPr>
            </w:pPr>
          </w:p>
        </w:tc>
        <w:tc>
          <w:tcPr>
            <w:tcW w:w="92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0563C1"/>
              </w:rPr>
              <w:t>Quorum.</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72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3.</w:t>
            </w:r>
            <w:r>
              <w:rPr>
                <w:rFonts w:ascii="Times New Roman" w:cs="Times New Roman" w:eastAsia="Times New Roman" w:hAnsi="Times New Roman"/>
                <w:sz w:val="18"/>
                <w:szCs w:val="18"/>
                <w:u w:val="single" w:color="auto"/>
                <w:color w:val="0563C1"/>
                <w:w w:val="88"/>
              </w:rPr>
              <w:t>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Board Action without a Meeting.</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1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480" w:type="dxa"/>
            <w:vAlign w:val="bottom"/>
            <w:gridSpan w:val="2"/>
            <w:shd w:val="clear" w:color="auto" w:fill="0563C1"/>
          </w:tcPr>
          <w:p>
            <w:pPr>
              <w:spacing w:after="0" w:line="20" w:lineRule="exact"/>
              <w:rPr>
                <w:sz w:val="1"/>
                <w:szCs w:val="1"/>
                <w:color w:val="auto"/>
              </w:rPr>
            </w:pPr>
          </w:p>
        </w:tc>
        <w:tc>
          <w:tcPr>
            <w:tcW w:w="1800" w:type="dxa"/>
            <w:vAlign w:val="bottom"/>
            <w:tcBorders>
              <w:left w:val="single" w:sz="8" w:color="0563C1"/>
            </w:tcBorders>
            <w:gridSpan w:val="14"/>
            <w:shd w:val="clear" w:color="auto" w:fill="0563C1"/>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3"/>
              </w:rPr>
              <w:t>3.</w:t>
            </w:r>
            <w:r>
              <w:rPr>
                <w:rFonts w:ascii="Times New Roman" w:cs="Times New Roman" w:eastAsia="Times New Roman" w:hAnsi="Times New Roman"/>
                <w:sz w:val="18"/>
                <w:szCs w:val="18"/>
                <w:u w:val="single" w:color="auto"/>
                <w:color w:val="0563C1"/>
                <w:w w:val="83"/>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Fees and Compensation of 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2"/>
          </w:tcPr>
          <w:p>
            <w:pPr>
              <w:spacing w:after="0" w:line="20" w:lineRule="exact"/>
              <w:rPr>
                <w:sz w:val="1"/>
                <w:szCs w:val="1"/>
                <w:color w:val="auto"/>
              </w:rPr>
            </w:pPr>
          </w:p>
        </w:tc>
        <w:tc>
          <w:tcPr>
            <w:tcW w:w="480" w:type="dxa"/>
            <w:vAlign w:val="bottom"/>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920" w:type="dxa"/>
            <w:vAlign w:val="bottom"/>
            <w:gridSpan w:val="10"/>
          </w:tcPr>
          <w:p>
            <w:pPr>
              <w:spacing w:after="0"/>
              <w:rPr>
                <w:sz w:val="20"/>
                <w:szCs w:val="20"/>
                <w:color w:val="auto"/>
              </w:rPr>
            </w:pPr>
            <w:r>
              <w:rPr>
                <w:rFonts w:ascii="Times New Roman" w:cs="Times New Roman" w:eastAsia="Times New Roman" w:hAnsi="Times New Roman"/>
                <w:sz w:val="18"/>
                <w:szCs w:val="18"/>
                <w:color w:val="0563C1"/>
              </w:rPr>
              <w:t>Article IV - Committees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6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65" w:lineRule="exact"/>
        <w:rPr>
          <w:sz w:val="20"/>
          <w:szCs w:val="20"/>
          <w:color w:val="auto"/>
        </w:rPr>
      </w:pPr>
    </w:p>
    <w:p>
      <w:pPr>
        <w:ind w:left="660"/>
        <w:spacing w:after="0"/>
        <w:tabs>
          <w:tab w:leader="none" w:pos="1140" w:val="left"/>
          <w:tab w:leader="none" w:pos="3140" w:val="left"/>
        </w:tabs>
        <w:rPr>
          <w:sz w:val="20"/>
          <w:szCs w:val="20"/>
          <w:color w:val="auto"/>
        </w:rPr>
      </w:pPr>
      <w:r>
        <w:rPr>
          <w:rFonts w:ascii="Times New Roman" w:cs="Times New Roman" w:eastAsia="Times New Roman" w:hAnsi="Times New Roman"/>
          <w:sz w:val="18"/>
          <w:szCs w:val="18"/>
          <w:u w:val="single" w:color="auto"/>
          <w:color w:val="0563C1"/>
        </w:rPr>
        <w:t>4.1.</w:t>
      </w:r>
      <w:r>
        <w:rPr>
          <w:sz w:val="20"/>
          <w:szCs w:val="20"/>
          <w:color w:val="auto"/>
        </w:rPr>
        <w:tab/>
      </w:r>
      <w:r>
        <w:rPr>
          <w:rFonts w:ascii="Times New Roman" w:cs="Times New Roman" w:eastAsia="Times New Roman" w:hAnsi="Times New Roman"/>
          <w:sz w:val="18"/>
          <w:szCs w:val="18"/>
          <w:u w:val="single" w:color="auto"/>
          <w:color w:val="0563C1"/>
        </w:rPr>
        <w:t>Committees of Directors.</w:t>
      </w:r>
      <w:r>
        <w:rPr>
          <w:sz w:val="20"/>
          <w:szCs w:val="20"/>
          <w:color w:val="auto"/>
        </w:rPr>
        <w:tab/>
      </w:r>
      <w:r>
        <w:rPr>
          <w:rFonts w:ascii="Times New Roman" w:cs="Times New Roman" w:eastAsia="Times New Roman" w:hAnsi="Times New Roman"/>
          <w:sz w:val="18"/>
          <w:szCs w:val="18"/>
          <w:color w:val="auto"/>
        </w:rPr>
        <w:t>14</w:t>
      </w:r>
    </w:p>
    <w:p>
      <w:pPr>
        <w:spacing w:after="0" w:line="50" w:lineRule="exact"/>
        <w:rPr>
          <w:sz w:val="20"/>
          <w:szCs w:val="20"/>
          <w:color w:val="auto"/>
        </w:rPr>
      </w:pPr>
    </w:p>
    <w:p>
      <w:pPr>
        <w:ind w:left="660"/>
        <w:spacing w:after="0"/>
        <w:tabs>
          <w:tab w:leader="none" w:pos="1140" w:val="left"/>
          <w:tab w:leader="none" w:pos="2800" w:val="left"/>
        </w:tabs>
        <w:rPr>
          <w:sz w:val="20"/>
          <w:szCs w:val="20"/>
          <w:color w:val="auto"/>
        </w:rPr>
      </w:pPr>
      <w:r>
        <w:rPr>
          <w:rFonts w:ascii="Times New Roman" w:cs="Times New Roman" w:eastAsia="Times New Roman" w:hAnsi="Times New Roman"/>
          <w:sz w:val="18"/>
          <w:szCs w:val="18"/>
          <w:u w:val="single" w:color="auto"/>
          <w:color w:val="0563C1"/>
        </w:rPr>
        <w:t>4.2.</w:t>
      </w:r>
      <w:r>
        <w:rPr>
          <w:sz w:val="20"/>
          <w:szCs w:val="20"/>
          <w:color w:val="auto"/>
        </w:rPr>
        <w:tab/>
      </w:r>
      <w:r>
        <w:rPr>
          <w:rFonts w:ascii="Times New Roman" w:cs="Times New Roman" w:eastAsia="Times New Roman" w:hAnsi="Times New Roman"/>
          <w:sz w:val="18"/>
          <w:szCs w:val="18"/>
          <w:u w:val="single" w:color="auto"/>
          <w:color w:val="0563C1"/>
        </w:rPr>
        <w:t>Committee Minutes.</w:t>
      </w:r>
      <w:r>
        <w:rPr>
          <w:sz w:val="20"/>
          <w:szCs w:val="20"/>
          <w:color w:val="auto"/>
        </w:rPr>
        <w:tab/>
      </w:r>
      <w:r>
        <w:rPr>
          <w:rFonts w:ascii="Times New Roman" w:cs="Times New Roman" w:eastAsia="Times New Roman" w:hAnsi="Times New Roman"/>
          <w:sz w:val="18"/>
          <w:szCs w:val="18"/>
          <w:color w:val="auto"/>
        </w:rPr>
        <w:t>15</w:t>
      </w:r>
    </w:p>
    <w:p>
      <w:pPr>
        <w:spacing w:after="0" w:line="50" w:lineRule="exact"/>
        <w:rPr>
          <w:sz w:val="20"/>
          <w:szCs w:val="20"/>
          <w:color w:val="auto"/>
        </w:rPr>
      </w:pPr>
    </w:p>
    <w:p>
      <w:pPr>
        <w:ind w:left="660"/>
        <w:spacing w:after="0"/>
        <w:tabs>
          <w:tab w:leader="none" w:pos="1140" w:val="left"/>
          <w:tab w:leader="none" w:pos="4060" w:val="left"/>
        </w:tabs>
        <w:rPr>
          <w:sz w:val="20"/>
          <w:szCs w:val="20"/>
          <w:color w:val="auto"/>
        </w:rPr>
      </w:pPr>
      <w:r>
        <w:rPr>
          <w:rFonts w:ascii="Times New Roman" w:cs="Times New Roman" w:eastAsia="Times New Roman" w:hAnsi="Times New Roman"/>
          <w:sz w:val="18"/>
          <w:szCs w:val="18"/>
          <w:u w:val="single" w:color="auto"/>
          <w:color w:val="0563C1"/>
        </w:rPr>
        <w:t>4.3.</w:t>
      </w:r>
      <w:r>
        <w:rPr>
          <w:sz w:val="20"/>
          <w:szCs w:val="20"/>
          <w:color w:val="auto"/>
        </w:rPr>
        <w:tab/>
      </w:r>
      <w:r>
        <w:rPr>
          <w:rFonts w:ascii="Times New Roman" w:cs="Times New Roman" w:eastAsia="Times New Roman" w:hAnsi="Times New Roman"/>
          <w:sz w:val="18"/>
          <w:szCs w:val="18"/>
          <w:u w:val="single" w:color="auto"/>
          <w:color w:val="0563C1"/>
        </w:rPr>
        <w:t>Meetings and Actions of Committees.</w:t>
      </w:r>
      <w:r>
        <w:rPr>
          <w:sz w:val="20"/>
          <w:szCs w:val="20"/>
          <w:color w:val="auto"/>
        </w:rPr>
        <w:tab/>
      </w:r>
      <w:r>
        <w:rPr>
          <w:rFonts w:ascii="Times New Roman" w:cs="Times New Roman" w:eastAsia="Times New Roman" w:hAnsi="Times New Roman"/>
          <w:sz w:val="18"/>
          <w:szCs w:val="18"/>
          <w:color w:val="auto"/>
        </w:rPr>
        <w:t>15</w:t>
      </w:r>
    </w:p>
    <w:p>
      <w:pPr>
        <w:spacing w:after="0" w:line="63" w:lineRule="exact"/>
        <w:rPr>
          <w:sz w:val="20"/>
          <w:szCs w:val="20"/>
          <w:color w:val="auto"/>
        </w:rPr>
      </w:pPr>
    </w:p>
    <w:p>
      <w:pPr>
        <w:ind w:left="660"/>
        <w:spacing w:after="0"/>
        <w:tabs>
          <w:tab w:leader="none" w:pos="1140" w:val="left"/>
          <w:tab w:leader="none" w:pos="2480" w:val="left"/>
        </w:tabs>
        <w:rPr>
          <w:sz w:val="20"/>
          <w:szCs w:val="20"/>
          <w:color w:val="auto"/>
        </w:rPr>
      </w:pPr>
      <w:r>
        <w:rPr>
          <w:rFonts w:ascii="Times New Roman" w:cs="Times New Roman" w:eastAsia="Times New Roman" w:hAnsi="Times New Roman"/>
          <w:sz w:val="18"/>
          <w:szCs w:val="18"/>
          <w:u w:val="single" w:color="auto"/>
          <w:color w:val="0563C1"/>
        </w:rPr>
        <w:t>4.4.</w:t>
      </w:r>
      <w:r>
        <w:rPr>
          <w:sz w:val="20"/>
          <w:szCs w:val="20"/>
          <w:color w:val="auto"/>
        </w:rPr>
        <w:tab/>
      </w:r>
      <w:r>
        <w:rPr>
          <w:rFonts w:ascii="Times New Roman" w:cs="Times New Roman" w:eastAsia="Times New Roman" w:hAnsi="Times New Roman"/>
          <w:sz w:val="18"/>
          <w:szCs w:val="18"/>
          <w:u w:val="single" w:color="auto"/>
          <w:color w:val="0563C1"/>
        </w:rPr>
        <w:t>Subcommittees.</w:t>
      </w:r>
      <w:r>
        <w:rPr>
          <w:sz w:val="20"/>
          <w:szCs w:val="20"/>
          <w:color w:val="auto"/>
        </w:rPr>
        <w:tab/>
      </w:r>
      <w:r>
        <w:rPr>
          <w:rFonts w:ascii="Times New Roman" w:cs="Times New Roman" w:eastAsia="Times New Roman" w:hAnsi="Times New Roman"/>
          <w:sz w:val="18"/>
          <w:szCs w:val="18"/>
          <w:color w:val="auto"/>
        </w:rPr>
        <w:t>15</w:t>
      </w:r>
    </w:p>
    <w:p>
      <w:pPr>
        <w:spacing w:after="0" w:line="22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563C1"/>
        </w:rPr>
        <w:t>Article V - Officers</w:t>
      </w:r>
      <w:r>
        <w:rPr>
          <w:sz w:val="20"/>
          <w:szCs w:val="20"/>
          <w:color w:val="auto"/>
        </w:rPr>
        <w:tab/>
      </w:r>
      <w:r>
        <w:rPr>
          <w:rFonts w:ascii="Times New Roman" w:cs="Times New Roman" w:eastAsia="Times New Roman" w:hAnsi="Times New Roman"/>
          <w:sz w:val="18"/>
          <w:szCs w:val="18"/>
          <w:color w:val="auto"/>
        </w:rPr>
        <w:t>15</w:t>
      </w:r>
    </w:p>
    <w:p>
      <w:pPr>
        <w:spacing w:after="0" w:line="266" w:lineRule="exact"/>
        <w:rPr>
          <w:sz w:val="20"/>
          <w:szCs w:val="20"/>
          <w:color w:val="auto"/>
        </w:rPr>
      </w:pPr>
    </w:p>
    <w:p>
      <w:pPr>
        <w:ind w:left="660"/>
        <w:spacing w:after="0"/>
        <w:tabs>
          <w:tab w:leader="none" w:pos="1140" w:val="left"/>
          <w:tab w:leader="none" w:pos="1960" w:val="left"/>
        </w:tabs>
        <w:rPr>
          <w:sz w:val="20"/>
          <w:szCs w:val="20"/>
          <w:color w:val="auto"/>
        </w:rPr>
      </w:pPr>
      <w:r>
        <w:rPr>
          <w:rFonts w:ascii="Times New Roman" w:cs="Times New Roman" w:eastAsia="Times New Roman" w:hAnsi="Times New Roman"/>
          <w:sz w:val="18"/>
          <w:szCs w:val="18"/>
          <w:u w:val="single" w:color="auto"/>
          <w:color w:val="0563C1"/>
        </w:rPr>
        <w:t>5.1.</w:t>
      </w:r>
      <w:r>
        <w:rPr>
          <w:sz w:val="20"/>
          <w:szCs w:val="20"/>
          <w:color w:val="auto"/>
        </w:rPr>
        <w:tab/>
      </w:r>
      <w:r>
        <w:rPr>
          <w:rFonts w:ascii="Times New Roman" w:cs="Times New Roman" w:eastAsia="Times New Roman" w:hAnsi="Times New Roman"/>
          <w:sz w:val="18"/>
          <w:szCs w:val="18"/>
          <w:u w:val="single" w:color="auto"/>
          <w:color w:val="0563C1"/>
        </w:rPr>
        <w:t>Officers.</w:t>
      </w:r>
      <w:r>
        <w:rPr>
          <w:sz w:val="20"/>
          <w:szCs w:val="20"/>
          <w:color w:val="auto"/>
        </w:rPr>
        <w:tab/>
      </w:r>
      <w:r>
        <w:rPr>
          <w:rFonts w:ascii="Times New Roman" w:cs="Times New Roman" w:eastAsia="Times New Roman" w:hAnsi="Times New Roman"/>
          <w:sz w:val="18"/>
          <w:szCs w:val="18"/>
          <w:color w:val="auto"/>
        </w:rPr>
        <w:t>15</w:t>
      </w:r>
    </w:p>
    <w:p>
      <w:pPr>
        <w:spacing w:after="0" w:line="50" w:lineRule="exact"/>
        <w:rPr>
          <w:sz w:val="20"/>
          <w:szCs w:val="20"/>
          <w:color w:val="auto"/>
        </w:rPr>
      </w:pPr>
    </w:p>
    <w:p>
      <w:pPr>
        <w:ind w:left="660"/>
        <w:spacing w:after="0"/>
        <w:tabs>
          <w:tab w:leader="none" w:pos="1140" w:val="left"/>
          <w:tab w:leader="none" w:pos="3140" w:val="left"/>
        </w:tabs>
        <w:rPr>
          <w:sz w:val="20"/>
          <w:szCs w:val="20"/>
          <w:color w:val="auto"/>
        </w:rPr>
      </w:pPr>
      <w:r>
        <w:rPr>
          <w:rFonts w:ascii="Times New Roman" w:cs="Times New Roman" w:eastAsia="Times New Roman" w:hAnsi="Times New Roman"/>
          <w:sz w:val="18"/>
          <w:szCs w:val="18"/>
          <w:u w:val="single" w:color="auto"/>
          <w:color w:val="0563C1"/>
        </w:rPr>
        <w:t>5.2.</w:t>
      </w:r>
      <w:r>
        <w:rPr>
          <w:sz w:val="20"/>
          <w:szCs w:val="20"/>
          <w:color w:val="auto"/>
        </w:rPr>
        <w:tab/>
      </w:r>
      <w:r>
        <w:rPr>
          <w:rFonts w:ascii="Times New Roman" w:cs="Times New Roman" w:eastAsia="Times New Roman" w:hAnsi="Times New Roman"/>
          <w:sz w:val="18"/>
          <w:szCs w:val="18"/>
          <w:u w:val="single" w:color="auto"/>
          <w:color w:val="0563C1"/>
        </w:rPr>
        <w:t>Appointment of Officers.</w:t>
      </w:r>
      <w:r>
        <w:rPr>
          <w:sz w:val="20"/>
          <w:szCs w:val="20"/>
          <w:color w:val="auto"/>
        </w:rPr>
        <w:tab/>
      </w: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240"/>
          </w:cols>
          <w:pgMar w:left="320" w:top="1413" w:right="339" w:bottom="1440" w:gutter="0" w:footer="0" w:header="0"/>
          <w:type w:val="continuous"/>
        </w:sectPr>
      </w:pPr>
    </w:p>
    <w:bookmarkStart w:id="65" w:name="page66"/>
    <w:bookmarkEnd w:id="6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5.</w:t>
            </w:r>
            <w:r>
              <w:rPr>
                <w:rFonts w:ascii="Times New Roman" w:cs="Times New Roman" w:eastAsia="Times New Roman" w:hAnsi="Times New Roman"/>
                <w:sz w:val="18"/>
                <w:szCs w:val="18"/>
                <w:u w:val="single" w:color="auto"/>
                <w:color w:val="0563C1"/>
                <w:w w:val="88"/>
              </w:rPr>
              <w:t>3.</w:t>
            </w:r>
          </w:p>
        </w:tc>
        <w:tc>
          <w:tcPr>
            <w:tcW w:w="100" w:type="dxa"/>
            <w:vAlign w:val="bottom"/>
          </w:tcPr>
          <w:p>
            <w:pPr>
              <w:spacing w:after="0"/>
              <w:rPr>
                <w:sz w:val="17"/>
                <w:szCs w:val="17"/>
                <w:color w:val="auto"/>
              </w:rPr>
            </w:pPr>
          </w:p>
        </w:tc>
        <w:tc>
          <w:tcPr>
            <w:tcW w:w="166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563C1"/>
                <w:w w:val="95"/>
              </w:rPr>
              <w:t>Subordinate Officers.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5.</w:t>
            </w:r>
            <w:r>
              <w:rPr>
                <w:rFonts w:ascii="Times New Roman" w:cs="Times New Roman" w:eastAsia="Times New Roman" w:hAnsi="Times New Roman"/>
                <w:sz w:val="18"/>
                <w:szCs w:val="18"/>
                <w:u w:val="single" w:color="auto"/>
                <w:color w:val="0563C1"/>
                <w:w w:val="88"/>
              </w:rPr>
              <w:t>4.</w:t>
            </w:r>
          </w:p>
        </w:tc>
        <w:tc>
          <w:tcPr>
            <w:tcW w:w="100" w:type="dxa"/>
            <w:vAlign w:val="bottom"/>
          </w:tcPr>
          <w:p>
            <w:pPr>
              <w:spacing w:after="0"/>
              <w:rPr>
                <w:sz w:val="20"/>
                <w:szCs w:val="20"/>
                <w:color w:val="auto"/>
              </w:rPr>
            </w:pPr>
          </w:p>
        </w:tc>
        <w:tc>
          <w:tcPr>
            <w:tcW w:w="4180" w:type="dxa"/>
            <w:vAlign w:val="bottom"/>
            <w:gridSpan w:val="21"/>
          </w:tcPr>
          <w:p>
            <w:pPr>
              <w:ind w:left="140"/>
              <w:spacing w:after="0"/>
              <w:rPr>
                <w:sz w:val="20"/>
                <w:szCs w:val="20"/>
                <w:color w:val="auto"/>
              </w:rPr>
            </w:pPr>
            <w:r>
              <w:rPr>
                <w:rFonts w:ascii="Times New Roman" w:cs="Times New Roman" w:eastAsia="Times New Roman" w:hAnsi="Times New Roman"/>
                <w:sz w:val="18"/>
                <w:szCs w:val="18"/>
                <w:color w:val="0563C1"/>
              </w:rPr>
              <w:t xml:space="preserve">Removal and Resignation of Officers.  </w:t>
            </w:r>
            <w:r>
              <w:rPr>
                <w:rFonts w:ascii="Times New Roman" w:cs="Times New Roman" w:eastAsia="Times New Roman" w:hAnsi="Times New Roman"/>
                <w:sz w:val="18"/>
                <w:szCs w:val="18"/>
                <w:color w:val="000000"/>
              </w:rPr>
              <w:t>16</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5.</w:t>
            </w:r>
            <w:r>
              <w:rPr>
                <w:rFonts w:ascii="Times New Roman" w:cs="Times New Roman" w:eastAsia="Times New Roman" w:hAnsi="Times New Roman"/>
                <w:sz w:val="18"/>
                <w:szCs w:val="18"/>
                <w:u w:val="single" w:color="auto"/>
                <w:color w:val="0563C1"/>
                <w:w w:val="88"/>
              </w:rPr>
              <w:t>5.</w:t>
            </w:r>
          </w:p>
        </w:tc>
        <w:tc>
          <w:tcPr>
            <w:tcW w:w="100" w:type="dxa"/>
            <w:vAlign w:val="bottom"/>
          </w:tcPr>
          <w:p>
            <w:pPr>
              <w:spacing w:after="0"/>
              <w:rPr>
                <w:sz w:val="20"/>
                <w:szCs w:val="20"/>
                <w:color w:val="auto"/>
              </w:rPr>
            </w:pPr>
          </w:p>
        </w:tc>
        <w:tc>
          <w:tcPr>
            <w:tcW w:w="166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563C1"/>
                <w:w w:val="95"/>
              </w:rPr>
              <w:t>Vacancies in Offices.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5.</w:t>
            </w:r>
            <w:r>
              <w:rPr>
                <w:rFonts w:ascii="Times New Roman" w:cs="Times New Roman" w:eastAsia="Times New Roman" w:hAnsi="Times New Roman"/>
                <w:sz w:val="18"/>
                <w:szCs w:val="18"/>
                <w:u w:val="single" w:color="auto"/>
                <w:color w:val="0563C1"/>
                <w:w w:val="88"/>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4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 xml:space="preserve">Representation of Shares of Other Corporations.  </w:t>
            </w:r>
            <w:r>
              <w:rPr>
                <w:rFonts w:ascii="Times New Roman" w:cs="Times New Roman" w:eastAsia="Times New Roman" w:hAnsi="Times New Roman"/>
                <w:sz w:val="18"/>
                <w:szCs w:val="18"/>
                <w:color w:val="000000"/>
              </w:rPr>
              <w:t>16</w:t>
            </w:r>
          </w:p>
        </w:tc>
      </w:tr>
      <w:tr>
        <w:trPr>
          <w:trHeight w:val="236"/>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5.</w:t>
            </w:r>
            <w:r>
              <w:rPr>
                <w:rFonts w:ascii="Times New Roman" w:cs="Times New Roman" w:eastAsia="Times New Roman" w:hAnsi="Times New Roman"/>
                <w:sz w:val="18"/>
                <w:szCs w:val="18"/>
                <w:u w:val="single" w:color="auto"/>
                <w:color w:val="0563C1"/>
                <w:w w:val="88"/>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Borders>
              <w:top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rPr>
              <w:t>Authority and Duties of Officers.</w:t>
            </w:r>
          </w:p>
        </w:tc>
        <w:tc>
          <w:tcPr>
            <w:tcW w:w="920" w:type="dxa"/>
            <w:vAlign w:val="bottom"/>
            <w:tcBorders>
              <w:top w:val="single" w:sz="8" w:color="0563C1"/>
            </w:tcBorders>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5.</w:t>
            </w:r>
            <w:r>
              <w:rPr>
                <w:rFonts w:ascii="Times New Roman" w:cs="Times New Roman" w:eastAsia="Times New Roman" w:hAnsi="Times New Roman"/>
                <w:sz w:val="18"/>
                <w:szCs w:val="18"/>
                <w:u w:val="single" w:color="auto"/>
                <w:color w:val="0563C1"/>
                <w:w w:val="88"/>
              </w:rPr>
              <w:t>8.</w:t>
            </w:r>
          </w:p>
        </w:tc>
        <w:tc>
          <w:tcPr>
            <w:tcW w:w="100" w:type="dxa"/>
            <w:vAlign w:val="bottom"/>
          </w:tcPr>
          <w:p>
            <w:pPr>
              <w:spacing w:after="0"/>
              <w:rPr>
                <w:sz w:val="20"/>
                <w:szCs w:val="20"/>
                <w:color w:val="auto"/>
              </w:rPr>
            </w:pPr>
          </w:p>
        </w:tc>
        <w:tc>
          <w:tcPr>
            <w:tcW w:w="166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563C1"/>
              </w:rPr>
              <w:t xml:space="preserve">Compensation.  </w:t>
            </w:r>
            <w:r>
              <w:rPr>
                <w:rFonts w:ascii="Times New Roman" w:cs="Times New Roman" w:eastAsia="Times New Roman" w:hAnsi="Times New Roman"/>
                <w:sz w:val="18"/>
                <w:szCs w:val="18"/>
                <w:color w:val="000000"/>
              </w:rPr>
              <w:t>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600" w:type="dxa"/>
            <w:vAlign w:val="bottom"/>
            <w:gridSpan w:val="8"/>
          </w:tcPr>
          <w:p>
            <w:pPr>
              <w:spacing w:after="0"/>
              <w:rPr>
                <w:sz w:val="20"/>
                <w:szCs w:val="20"/>
                <w:color w:val="auto"/>
              </w:rPr>
            </w:pPr>
            <w:r>
              <w:rPr>
                <w:rFonts w:ascii="Times New Roman" w:cs="Times New Roman" w:eastAsia="Times New Roman" w:hAnsi="Times New Roman"/>
                <w:sz w:val="18"/>
                <w:szCs w:val="18"/>
                <w:color w:val="0563C1"/>
              </w:rPr>
              <w:t>Article VI - Records</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020" w:type="dxa"/>
            <w:vAlign w:val="bottom"/>
            <w:tcBorders>
              <w:right w:val="single" w:sz="8" w:color="0563C1"/>
            </w:tcBorders>
            <w:gridSpan w:val="3"/>
            <w:shd w:val="clear" w:color="auto" w:fill="0563C1"/>
          </w:tcPr>
          <w:p>
            <w:pPr>
              <w:spacing w:after="0" w:line="20" w:lineRule="exact"/>
              <w:rPr>
                <w:sz w:val="1"/>
                <w:szCs w:val="1"/>
                <w:color w:val="auto"/>
              </w:rPr>
            </w:pPr>
          </w:p>
        </w:tc>
        <w:tc>
          <w:tcPr>
            <w:tcW w:w="240" w:type="dxa"/>
            <w:vAlign w:val="bottom"/>
            <w:tcBorders>
              <w:right w:val="single" w:sz="8" w:color="0563C1"/>
            </w:tcBorders>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2120" w:type="dxa"/>
            <w:vAlign w:val="bottom"/>
            <w:tcBorders>
              <w:bottom w:val="single" w:sz="8" w:color="0563C1"/>
            </w:tcBorders>
            <w:gridSpan w:val="10"/>
          </w:tcPr>
          <w:p>
            <w:pPr>
              <w:spacing w:after="0"/>
              <w:rPr>
                <w:sz w:val="20"/>
                <w:szCs w:val="20"/>
                <w:color w:val="auto"/>
              </w:rPr>
            </w:pPr>
            <w:r>
              <w:rPr>
                <w:rFonts w:ascii="Times New Roman" w:cs="Times New Roman" w:eastAsia="Times New Roman" w:hAnsi="Times New Roman"/>
                <w:sz w:val="18"/>
                <w:szCs w:val="18"/>
                <w:color w:val="0563C1"/>
                <w:w w:val="99"/>
              </w:rPr>
              <w:t>Article VII - General Matters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3"/>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 xml:space="preserve">Execution of Corporate Contracts and Instruments.  </w:t>
            </w:r>
            <w:r>
              <w:rPr>
                <w:rFonts w:ascii="Times New Roman" w:cs="Times New Roman" w:eastAsia="Times New Roman" w:hAnsi="Times New Roman"/>
                <w:sz w:val="18"/>
                <w:szCs w:val="18"/>
                <w:color w:val="000000"/>
              </w:rPr>
              <w:t>17</w:t>
            </w: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top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7"/>
              </w:rPr>
              <w:t>Stock Certificates.</w:t>
            </w:r>
          </w:p>
        </w:tc>
        <w:tc>
          <w:tcPr>
            <w:tcW w:w="540" w:type="dxa"/>
            <w:vAlign w:val="bottom"/>
            <w:tcBorders>
              <w:top w:val="single" w:sz="8" w:color="0563C1"/>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0563C1"/>
            </w:tcBorders>
          </w:tcPr>
          <w:p>
            <w:pPr>
              <w:spacing w:after="0"/>
              <w:rPr>
                <w:sz w:val="20"/>
                <w:szCs w:val="20"/>
                <w:color w:val="auto"/>
              </w:rPr>
            </w:pPr>
          </w:p>
        </w:tc>
        <w:tc>
          <w:tcPr>
            <w:tcW w:w="4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300" w:type="dxa"/>
            <w:vAlign w:val="bottom"/>
            <w:tcBorders>
              <w:top w:val="single" w:sz="8" w:color="0563C1"/>
            </w:tcBorders>
          </w:tcPr>
          <w:p>
            <w:pPr>
              <w:spacing w:after="0"/>
              <w:rPr>
                <w:sz w:val="20"/>
                <w:szCs w:val="20"/>
                <w:color w:val="auto"/>
              </w:rPr>
            </w:pPr>
          </w:p>
        </w:tc>
        <w:tc>
          <w:tcPr>
            <w:tcW w:w="160" w:type="dxa"/>
            <w:vAlign w:val="bottom"/>
            <w:tcBorders>
              <w:top w:val="single" w:sz="8" w:color="0563C1"/>
            </w:tcBorders>
          </w:tcPr>
          <w:p>
            <w:pPr>
              <w:spacing w:after="0"/>
              <w:rPr>
                <w:sz w:val="20"/>
                <w:szCs w:val="20"/>
                <w:color w:val="auto"/>
              </w:rPr>
            </w:pPr>
          </w:p>
        </w:tc>
        <w:tc>
          <w:tcPr>
            <w:tcW w:w="180" w:type="dxa"/>
            <w:vAlign w:val="bottom"/>
            <w:tcBorders>
              <w:top w:val="single" w:sz="8" w:color="0563C1"/>
            </w:tcBorders>
          </w:tcPr>
          <w:p>
            <w:pPr>
              <w:spacing w:after="0"/>
              <w:rPr>
                <w:sz w:val="20"/>
                <w:szCs w:val="20"/>
                <w:color w:val="auto"/>
              </w:rPr>
            </w:pPr>
          </w:p>
        </w:tc>
        <w:tc>
          <w:tcPr>
            <w:tcW w:w="740" w:type="dxa"/>
            <w:vAlign w:val="bottom"/>
            <w:tcBorders>
              <w:top w:val="single" w:sz="8" w:color="0563C1"/>
            </w:tcBorders>
          </w:tcPr>
          <w:p>
            <w:pPr>
              <w:spacing w:after="0"/>
              <w:rPr>
                <w:sz w:val="20"/>
                <w:szCs w:val="20"/>
                <w:color w:val="auto"/>
              </w:rPr>
            </w:pPr>
          </w:p>
        </w:tc>
        <w:tc>
          <w:tcPr>
            <w:tcW w:w="200" w:type="dxa"/>
            <w:vAlign w:val="bottom"/>
            <w:tcBorders>
              <w:top w:val="single" w:sz="8" w:color="0563C1"/>
            </w:tcBorders>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44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3.</w:t>
            </w:r>
          </w:p>
        </w:tc>
        <w:tc>
          <w:tcPr>
            <w:tcW w:w="100" w:type="dxa"/>
            <w:vAlign w:val="bottom"/>
          </w:tcPr>
          <w:p>
            <w:pPr>
              <w:spacing w:after="0"/>
              <w:rPr>
                <w:sz w:val="21"/>
                <w:szCs w:val="21"/>
                <w:color w:val="auto"/>
              </w:rPr>
            </w:pPr>
          </w:p>
        </w:tc>
        <w:tc>
          <w:tcPr>
            <w:tcW w:w="2700" w:type="dxa"/>
            <w:vAlign w:val="bottom"/>
            <w:gridSpan w:val="17"/>
          </w:tcPr>
          <w:p>
            <w:pPr>
              <w:ind w:left="140"/>
              <w:spacing w:after="0"/>
              <w:rPr>
                <w:sz w:val="20"/>
                <w:szCs w:val="20"/>
                <w:color w:val="auto"/>
              </w:rPr>
            </w:pPr>
            <w:r>
              <w:rPr>
                <w:rFonts w:ascii="Times New Roman" w:cs="Times New Roman" w:eastAsia="Times New Roman" w:hAnsi="Times New Roman"/>
                <w:sz w:val="18"/>
                <w:szCs w:val="18"/>
                <w:color w:val="0563C1"/>
                <w:w w:val="99"/>
              </w:rPr>
              <w:t>Special Designation of Certificates.</w:t>
            </w:r>
          </w:p>
        </w:tc>
        <w:tc>
          <w:tcPr>
            <w:tcW w:w="9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44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4.</w:t>
            </w:r>
          </w:p>
        </w:tc>
        <w:tc>
          <w:tcPr>
            <w:tcW w:w="100" w:type="dxa"/>
            <w:vAlign w:val="bottom"/>
          </w:tcPr>
          <w:p>
            <w:pPr>
              <w:spacing w:after="0"/>
              <w:rPr>
                <w:sz w:val="20"/>
                <w:szCs w:val="20"/>
                <w:color w:val="auto"/>
              </w:rPr>
            </w:pPr>
          </w:p>
        </w:tc>
        <w:tc>
          <w:tcPr>
            <w:tcW w:w="148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0563C1"/>
              </w:rPr>
              <w:t>Lost Certificates.</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44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5.</w:t>
            </w:r>
          </w:p>
        </w:tc>
        <w:tc>
          <w:tcPr>
            <w:tcW w:w="100" w:type="dxa"/>
            <w:vAlign w:val="bottom"/>
          </w:tcPr>
          <w:p>
            <w:pPr>
              <w:spacing w:after="0"/>
              <w:rPr>
                <w:sz w:val="20"/>
                <w:szCs w:val="20"/>
                <w:color w:val="auto"/>
              </w:rPr>
            </w:pPr>
          </w:p>
        </w:tc>
        <w:tc>
          <w:tcPr>
            <w:tcW w:w="216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0563C1"/>
              </w:rPr>
              <w:t>Shares Without Certificates</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540" w:type="dxa"/>
            <w:vAlign w:val="bottom"/>
            <w:tcBorders>
              <w:left w:val="single" w:sz="8" w:color="0563C1"/>
            </w:tcBorders>
            <w:gridSpan w:val="4"/>
            <w:shd w:val="clear" w:color="auto" w:fill="0563C1"/>
          </w:tcPr>
          <w:p>
            <w:pPr>
              <w:spacing w:after="0" w:line="20" w:lineRule="exact"/>
              <w:rPr>
                <w:sz w:val="1"/>
                <w:szCs w:val="1"/>
                <w:color w:val="auto"/>
              </w:rPr>
            </w:pPr>
          </w:p>
        </w:tc>
        <w:tc>
          <w:tcPr>
            <w:tcW w:w="54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6.</w:t>
            </w:r>
          </w:p>
        </w:tc>
        <w:tc>
          <w:tcPr>
            <w:tcW w:w="100" w:type="dxa"/>
            <w:vAlign w:val="bottom"/>
          </w:tcPr>
          <w:p>
            <w:pPr>
              <w:spacing w:after="0"/>
              <w:rPr>
                <w:sz w:val="20"/>
                <w:szCs w:val="20"/>
                <w:color w:val="auto"/>
              </w:rPr>
            </w:pPr>
          </w:p>
        </w:tc>
        <w:tc>
          <w:tcPr>
            <w:tcW w:w="216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0563C1"/>
              </w:rPr>
              <w:t>Construction; Definitions.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7.</w:t>
            </w:r>
          </w:p>
        </w:tc>
        <w:tc>
          <w:tcPr>
            <w:tcW w:w="100" w:type="dxa"/>
            <w:vAlign w:val="bottom"/>
          </w:tcPr>
          <w:p>
            <w:pPr>
              <w:spacing w:after="0"/>
              <w:rPr>
                <w:sz w:val="20"/>
                <w:szCs w:val="20"/>
                <w:color w:val="auto"/>
              </w:rPr>
            </w:pPr>
          </w:p>
        </w:tc>
        <w:tc>
          <w:tcPr>
            <w:tcW w:w="11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0563C1"/>
              </w:rPr>
              <w:t>Dividends.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8.</w:t>
            </w:r>
          </w:p>
        </w:tc>
        <w:tc>
          <w:tcPr>
            <w:tcW w:w="100" w:type="dxa"/>
            <w:vAlign w:val="bottom"/>
          </w:tcPr>
          <w:p>
            <w:pPr>
              <w:spacing w:after="0"/>
              <w:rPr>
                <w:sz w:val="20"/>
                <w:szCs w:val="20"/>
                <w:color w:val="auto"/>
              </w:rPr>
            </w:pPr>
          </w:p>
        </w:tc>
        <w:tc>
          <w:tcPr>
            <w:tcW w:w="11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0563C1"/>
              </w:rPr>
              <w:t>Fiscal Year.</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9.</w:t>
            </w:r>
          </w:p>
        </w:tc>
        <w:tc>
          <w:tcPr>
            <w:tcW w:w="100" w:type="dxa"/>
            <w:vAlign w:val="bottom"/>
          </w:tcPr>
          <w:p>
            <w:pPr>
              <w:spacing w:after="0"/>
              <w:rPr>
                <w:sz w:val="21"/>
                <w:szCs w:val="21"/>
                <w:color w:val="auto"/>
              </w:rPr>
            </w:pPr>
          </w:p>
        </w:tc>
        <w:tc>
          <w:tcPr>
            <w:tcW w:w="5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0563C1"/>
              </w:rPr>
              <w:t>Seal.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1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8"/>
                <w:szCs w:val="18"/>
                <w:color w:val="0563C1"/>
                <w:w w:val="91"/>
              </w:rPr>
              <w:t>Transfer of Stock.</w:t>
            </w:r>
          </w:p>
        </w:tc>
        <w:tc>
          <w:tcPr>
            <w:tcW w:w="18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tcBorders>
              <w:right w:val="single" w:sz="8" w:color="0563C1"/>
            </w:tcBorders>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8"/>
            <w:shd w:val="clear" w:color="auto" w:fill="0563C1"/>
          </w:tcPr>
          <w:p>
            <w:pPr>
              <w:spacing w:after="0" w:line="20" w:lineRule="exact"/>
              <w:rPr>
                <w:sz w:val="1"/>
                <w:szCs w:val="1"/>
                <w:color w:val="auto"/>
              </w:rPr>
            </w:pPr>
          </w:p>
        </w:tc>
        <w:tc>
          <w:tcPr>
            <w:tcW w:w="540" w:type="dxa"/>
            <w:vAlign w:val="bottom"/>
            <w:tcBorders>
              <w:left w:val="single" w:sz="8" w:color="0563C1"/>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1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15"/>
          </w:tcPr>
          <w:p>
            <w:pPr>
              <w:spacing w:after="0"/>
              <w:rPr>
                <w:sz w:val="20"/>
                <w:szCs w:val="20"/>
                <w:color w:val="auto"/>
              </w:rPr>
            </w:pPr>
            <w:r>
              <w:rPr>
                <w:rFonts w:ascii="Times New Roman" w:cs="Times New Roman" w:eastAsia="Times New Roman" w:hAnsi="Times New Roman"/>
                <w:sz w:val="18"/>
                <w:szCs w:val="18"/>
                <w:color w:val="0563C1"/>
              </w:rPr>
              <w:t xml:space="preserve">Stock Transfer Agreements.  </w:t>
            </w:r>
            <w:r>
              <w:rPr>
                <w:rFonts w:ascii="Times New Roman" w:cs="Times New Roman" w:eastAsia="Times New Roman" w:hAnsi="Times New Roman"/>
                <w:sz w:val="18"/>
                <w:szCs w:val="18"/>
                <w:color w:val="000000"/>
              </w:rPr>
              <w:t>18</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563C1"/>
            </w:tcBorders>
          </w:tcPr>
          <w:p>
            <w:pPr>
              <w:spacing w:after="0" w:line="20" w:lineRule="exact"/>
              <w:rPr>
                <w:sz w:val="1"/>
                <w:szCs w:val="1"/>
                <w:color w:val="auto"/>
              </w:rPr>
            </w:pPr>
          </w:p>
        </w:tc>
        <w:tc>
          <w:tcPr>
            <w:tcW w:w="1240" w:type="dxa"/>
            <w:vAlign w:val="bottom"/>
            <w:gridSpan w:val="8"/>
            <w:shd w:val="clear" w:color="auto" w:fill="0563C1"/>
          </w:tcPr>
          <w:p>
            <w:pPr>
              <w:spacing w:after="0" w:line="20" w:lineRule="exact"/>
              <w:rPr>
                <w:sz w:val="1"/>
                <w:szCs w:val="1"/>
                <w:color w:val="auto"/>
              </w:rPr>
            </w:pPr>
          </w:p>
        </w:tc>
        <w:tc>
          <w:tcPr>
            <w:tcW w:w="54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1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12"/>
          </w:tcPr>
          <w:p>
            <w:pPr>
              <w:spacing w:after="0"/>
              <w:rPr>
                <w:sz w:val="20"/>
                <w:szCs w:val="20"/>
                <w:color w:val="auto"/>
              </w:rPr>
            </w:pPr>
            <w:r>
              <w:rPr>
                <w:rFonts w:ascii="Times New Roman" w:cs="Times New Roman" w:eastAsia="Times New Roman" w:hAnsi="Times New Roman"/>
                <w:sz w:val="18"/>
                <w:szCs w:val="18"/>
                <w:color w:val="0563C1"/>
              </w:rPr>
              <w:t>Registered Stockholders.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tcBorders>
              <w:right w:val="single" w:sz="8" w:color="0563C1"/>
            </w:tcBorders>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8"/>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1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0563C1"/>
                <w:w w:val="88"/>
              </w:rPr>
              <w:t>7.</w:t>
            </w:r>
            <w:r>
              <w:rPr>
                <w:rFonts w:ascii="Times New Roman" w:cs="Times New Roman" w:eastAsia="Times New Roman" w:hAnsi="Times New Roman"/>
                <w:sz w:val="18"/>
                <w:szCs w:val="18"/>
                <w:u w:val="single" w:color="auto"/>
                <w:color w:val="0563C1"/>
                <w:w w:val="88"/>
              </w:rPr>
              <w:t>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8"/>
                <w:szCs w:val="18"/>
                <w:color w:val="0563C1"/>
                <w:w w:val="92"/>
              </w:rPr>
              <w:t>Waiver of Notice.</w:t>
            </w:r>
          </w:p>
        </w:tc>
        <w:tc>
          <w:tcPr>
            <w:tcW w:w="18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u w:val="single" w:color="auto"/>
          <w:color w:val="0563C1"/>
        </w:rPr>
        <w:t>Article VIII - Notice</w:t>
      </w:r>
      <w:r>
        <w:rPr>
          <w:sz w:val="20"/>
          <w:szCs w:val="20"/>
          <w:color w:val="auto"/>
        </w:rPr>
        <w:tab/>
      </w:r>
      <w:r>
        <w:rPr>
          <w:rFonts w:ascii="Times New Roman" w:cs="Times New Roman" w:eastAsia="Times New Roman" w:hAnsi="Times New Roman"/>
          <w:sz w:val="18"/>
          <w:szCs w:val="18"/>
          <w:color w:val="auto"/>
        </w:rPr>
        <w:t>19</w:t>
      </w:r>
    </w:p>
    <w:p>
      <w:pPr>
        <w:spacing w:after="0" w:line="266" w:lineRule="exact"/>
        <w:rPr>
          <w:sz w:val="20"/>
          <w:szCs w:val="20"/>
          <w:color w:val="auto"/>
        </w:rPr>
      </w:pPr>
    </w:p>
    <w:p>
      <w:pPr>
        <w:ind w:left="660"/>
        <w:spacing w:after="0"/>
        <w:tabs>
          <w:tab w:leader="none" w:pos="1140" w:val="left"/>
          <w:tab w:leader="none" w:pos="5320" w:val="left"/>
        </w:tabs>
        <w:rPr>
          <w:sz w:val="20"/>
          <w:szCs w:val="20"/>
          <w:color w:val="auto"/>
        </w:rPr>
      </w:pPr>
      <w:r>
        <w:rPr>
          <w:rFonts w:ascii="Times New Roman" w:cs="Times New Roman" w:eastAsia="Times New Roman" w:hAnsi="Times New Roman"/>
          <w:sz w:val="18"/>
          <w:szCs w:val="18"/>
          <w:u w:val="single" w:color="auto"/>
          <w:color w:val="0563C1"/>
        </w:rPr>
        <w:t>8.1.</w:t>
      </w:r>
      <w:r>
        <w:rPr>
          <w:sz w:val="20"/>
          <w:szCs w:val="20"/>
          <w:color w:val="auto"/>
        </w:rPr>
        <w:tab/>
      </w:r>
      <w:r>
        <w:rPr>
          <w:rFonts w:ascii="Times New Roman" w:cs="Times New Roman" w:eastAsia="Times New Roman" w:hAnsi="Times New Roman"/>
          <w:sz w:val="18"/>
          <w:szCs w:val="18"/>
          <w:u w:val="single" w:color="auto"/>
          <w:color w:val="0563C1"/>
        </w:rPr>
        <w:t>Delivery of Notice; Notice by Electronic Transmission.</w:t>
      </w:r>
      <w:r>
        <w:rPr>
          <w:sz w:val="20"/>
          <w:szCs w:val="20"/>
          <w:color w:val="auto"/>
        </w:rPr>
        <w:tab/>
      </w:r>
      <w:r>
        <w:rPr>
          <w:rFonts w:ascii="Times New Roman" w:cs="Times New Roman" w:eastAsia="Times New Roman" w:hAnsi="Times New Roman"/>
          <w:sz w:val="18"/>
          <w:szCs w:val="18"/>
          <w:color w:val="auto"/>
        </w:rPr>
        <w:t>19</w:t>
      </w:r>
    </w:p>
    <w:p>
      <w:pPr>
        <w:spacing w:after="0" w:line="225"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8"/>
          <w:szCs w:val="18"/>
          <w:u w:val="single" w:color="auto"/>
          <w:color w:val="0563C1"/>
        </w:rPr>
        <w:t>Article IX - Indemnification</w:t>
      </w:r>
      <w:r>
        <w:rPr>
          <w:sz w:val="20"/>
          <w:szCs w:val="20"/>
          <w:color w:val="auto"/>
        </w:rPr>
        <w:tab/>
      </w:r>
      <w:r>
        <w:rPr>
          <w:rFonts w:ascii="Times New Roman" w:cs="Times New Roman" w:eastAsia="Times New Roman" w:hAnsi="Times New Roman"/>
          <w:sz w:val="18"/>
          <w:szCs w:val="18"/>
          <w:color w:val="auto"/>
        </w:rPr>
        <w:t>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563C1"/>
              </w:rPr>
              <w:t>9.</w:t>
            </w:r>
            <w:r>
              <w:rPr>
                <w:rFonts w:ascii="Times New Roman" w:cs="Times New Roman" w:eastAsia="Times New Roman" w:hAnsi="Times New Roman"/>
                <w:sz w:val="18"/>
                <w:szCs w:val="18"/>
                <w:u w:val="single" w:color="auto"/>
                <w:color w:val="0563C1"/>
              </w:rPr>
              <w:t>1.</w:t>
            </w:r>
          </w:p>
        </w:tc>
        <w:tc>
          <w:tcPr>
            <w:tcW w:w="3640" w:type="dxa"/>
            <w:vAlign w:val="bottom"/>
            <w:gridSpan w:val="15"/>
          </w:tcPr>
          <w:p>
            <w:pPr>
              <w:ind w:left="240"/>
              <w:spacing w:after="0"/>
              <w:rPr>
                <w:sz w:val="20"/>
                <w:szCs w:val="20"/>
                <w:color w:val="auto"/>
              </w:rPr>
            </w:pPr>
            <w:r>
              <w:rPr>
                <w:rFonts w:ascii="Times New Roman" w:cs="Times New Roman" w:eastAsia="Times New Roman" w:hAnsi="Times New Roman"/>
                <w:sz w:val="18"/>
                <w:szCs w:val="18"/>
                <w:color w:val="0563C1"/>
              </w:rPr>
              <w:t xml:space="preserve">Indemnification of Directors and Officers.  </w:t>
            </w:r>
            <w:r>
              <w:rPr>
                <w:rFonts w:ascii="Times New Roman" w:cs="Times New Roman" w:eastAsia="Times New Roman" w:hAnsi="Times New Roman"/>
                <w:sz w:val="18"/>
                <w:szCs w:val="18"/>
                <w:color w:val="000000"/>
              </w:rPr>
              <w:t>20</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563C1"/>
              </w:rPr>
              <w:t>9.</w:t>
            </w:r>
            <w:r>
              <w:rPr>
                <w:rFonts w:ascii="Times New Roman" w:cs="Times New Roman" w:eastAsia="Times New Roman" w:hAnsi="Times New Roman"/>
                <w:sz w:val="18"/>
                <w:szCs w:val="18"/>
                <w:u w:val="single" w:color="auto"/>
                <w:color w:val="0563C1"/>
              </w:rPr>
              <w:t>2.</w:t>
            </w:r>
          </w:p>
        </w:tc>
        <w:tc>
          <w:tcPr>
            <w:tcW w:w="224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0563C1"/>
              </w:rPr>
              <w:t>Indemnification of Others.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563C1"/>
              </w:rPr>
              <w:t>9.</w:t>
            </w:r>
            <w:r>
              <w:rPr>
                <w:rFonts w:ascii="Times New Roman" w:cs="Times New Roman" w:eastAsia="Times New Roman" w:hAnsi="Times New Roman"/>
                <w:sz w:val="18"/>
                <w:szCs w:val="18"/>
                <w:u w:val="single" w:color="auto"/>
                <w:color w:val="0563C1"/>
              </w:rPr>
              <w:t>3.</w:t>
            </w:r>
          </w:p>
        </w:tc>
        <w:tc>
          <w:tcPr>
            <w:tcW w:w="240" w:type="dxa"/>
            <w:vAlign w:val="bottom"/>
          </w:tcPr>
          <w:p>
            <w:pPr>
              <w:spacing w:after="0"/>
              <w:rPr>
                <w:sz w:val="20"/>
                <w:szCs w:val="20"/>
                <w:color w:val="auto"/>
              </w:rPr>
            </w:pPr>
          </w:p>
        </w:tc>
        <w:tc>
          <w:tcPr>
            <w:tcW w:w="2000" w:type="dxa"/>
            <w:vAlign w:val="bottom"/>
            <w:gridSpan w:val="10"/>
          </w:tcPr>
          <w:p>
            <w:pPr>
              <w:spacing w:after="0"/>
              <w:rPr>
                <w:sz w:val="20"/>
                <w:szCs w:val="20"/>
                <w:color w:val="auto"/>
              </w:rPr>
            </w:pPr>
            <w:r>
              <w:rPr>
                <w:rFonts w:ascii="Times New Roman" w:cs="Times New Roman" w:eastAsia="Times New Roman" w:hAnsi="Times New Roman"/>
                <w:sz w:val="18"/>
                <w:szCs w:val="18"/>
                <w:color w:val="0563C1"/>
              </w:rPr>
              <w:t>Prepayment of Expenses.</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20</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563C1"/>
              </w:rPr>
              <w:t>9.</w:t>
            </w:r>
            <w:r>
              <w:rPr>
                <w:rFonts w:ascii="Times New Roman" w:cs="Times New Roman" w:eastAsia="Times New Roman" w:hAnsi="Times New Roman"/>
                <w:sz w:val="18"/>
                <w:szCs w:val="18"/>
                <w:u w:val="single" w:color="auto"/>
                <w:color w:val="0563C1"/>
              </w:rPr>
              <w:t>4.</w:t>
            </w:r>
          </w:p>
        </w:tc>
        <w:tc>
          <w:tcPr>
            <w:tcW w:w="240" w:type="dxa"/>
            <w:vAlign w:val="bottom"/>
          </w:tcPr>
          <w:p>
            <w:pPr>
              <w:spacing w:after="0"/>
              <w:rPr>
                <w:sz w:val="20"/>
                <w:szCs w:val="20"/>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0563C1"/>
              </w:rPr>
              <w:t>Determination; Claim.</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563C1"/>
              </w:rPr>
              <w:t>9.</w:t>
            </w:r>
            <w:r>
              <w:rPr>
                <w:rFonts w:ascii="Times New Roman" w:cs="Times New Roman" w:eastAsia="Times New Roman" w:hAnsi="Times New Roman"/>
                <w:sz w:val="18"/>
                <w:szCs w:val="18"/>
                <w:u w:val="single" w:color="auto"/>
                <w:color w:val="0563C1"/>
              </w:rPr>
              <w:t>5.</w:t>
            </w:r>
          </w:p>
        </w:tc>
        <w:tc>
          <w:tcPr>
            <w:tcW w:w="224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0563C1"/>
              </w:rPr>
              <w:t>Non-Exclusivity of Rights.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563C1"/>
              </w:rPr>
              <w:t>9.</w:t>
            </w:r>
            <w:r>
              <w:rPr>
                <w:rFonts w:ascii="Times New Roman" w:cs="Times New Roman" w:eastAsia="Times New Roman" w:hAnsi="Times New Roman"/>
                <w:sz w:val="18"/>
                <w:szCs w:val="18"/>
                <w:u w:val="single" w:color="auto"/>
                <w:color w:val="0563C1"/>
              </w:rPr>
              <w:t>6.</w:t>
            </w:r>
          </w:p>
        </w:tc>
        <w:tc>
          <w:tcPr>
            <w:tcW w:w="10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563C1"/>
                <w:w w:val="99"/>
              </w:rPr>
              <w:t>Insurance.</w:t>
            </w:r>
          </w:p>
        </w:tc>
        <w:tc>
          <w:tcPr>
            <w:tcW w:w="8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563C1"/>
              </w:rPr>
              <w:t>9.</w:t>
            </w:r>
            <w:r>
              <w:rPr>
                <w:rFonts w:ascii="Times New Roman" w:cs="Times New Roman" w:eastAsia="Times New Roman" w:hAnsi="Times New Roman"/>
                <w:sz w:val="18"/>
                <w:szCs w:val="18"/>
                <w:u w:val="single" w:color="auto"/>
                <w:color w:val="0563C1"/>
              </w:rPr>
              <w:t>7.</w:t>
            </w:r>
          </w:p>
        </w:tc>
        <w:tc>
          <w:tcPr>
            <w:tcW w:w="1960" w:type="dxa"/>
            <w:vAlign w:val="bottom"/>
            <w:gridSpan w:val="8"/>
          </w:tcPr>
          <w:p>
            <w:pPr>
              <w:ind w:left="240"/>
              <w:spacing w:after="0"/>
              <w:rPr>
                <w:sz w:val="20"/>
                <w:szCs w:val="20"/>
                <w:color w:val="auto"/>
              </w:rPr>
            </w:pPr>
            <w:r>
              <w:rPr>
                <w:rFonts w:ascii="Times New Roman" w:cs="Times New Roman" w:eastAsia="Times New Roman" w:hAnsi="Times New Roman"/>
                <w:sz w:val="18"/>
                <w:szCs w:val="18"/>
                <w:color w:val="0563C1"/>
              </w:rPr>
              <w:t>Other Indemnification.</w:t>
            </w:r>
          </w:p>
        </w:tc>
        <w:tc>
          <w:tcPr>
            <w:tcW w:w="6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740" w:type="dxa"/>
            <w:vAlign w:val="bottom"/>
            <w:gridSpan w:val="2"/>
            <w:shd w:val="clear" w:color="auto" w:fill="0563C1"/>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6"/>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563C1"/>
              </w:rPr>
              <w:t>9.</w:t>
            </w:r>
            <w:r>
              <w:rPr>
                <w:rFonts w:ascii="Times New Roman" w:cs="Times New Roman" w:eastAsia="Times New Roman" w:hAnsi="Times New Roman"/>
                <w:sz w:val="18"/>
                <w:szCs w:val="18"/>
                <w:u w:val="single" w:color="auto"/>
                <w:color w:val="0563C1"/>
              </w:rPr>
              <w:t>8.</w:t>
            </w:r>
          </w:p>
        </w:tc>
        <w:tc>
          <w:tcPr>
            <w:tcW w:w="3640" w:type="dxa"/>
            <w:vAlign w:val="bottom"/>
            <w:gridSpan w:val="15"/>
          </w:tcPr>
          <w:p>
            <w:pPr>
              <w:ind w:left="240"/>
              <w:spacing w:after="0"/>
              <w:rPr>
                <w:sz w:val="20"/>
                <w:szCs w:val="20"/>
                <w:color w:val="auto"/>
              </w:rPr>
            </w:pPr>
            <w:r>
              <w:rPr>
                <w:rFonts w:ascii="Times New Roman" w:cs="Times New Roman" w:eastAsia="Times New Roman" w:hAnsi="Times New Roman"/>
                <w:sz w:val="18"/>
                <w:szCs w:val="18"/>
                <w:color w:val="0563C1"/>
              </w:rPr>
              <w:t xml:space="preserve">Continuation of Indemnification.  </w:t>
            </w:r>
            <w:r>
              <w:rPr>
                <w:rFonts w:ascii="Times New Roman" w:cs="Times New Roman" w:eastAsia="Times New Roman" w:hAnsi="Times New Roman"/>
                <w:sz w:val="18"/>
                <w:szCs w:val="18"/>
                <w:color w:val="000000"/>
              </w:rPr>
              <w:t>21</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1460" w:type="dxa"/>
            <w:vAlign w:val="bottom"/>
            <w:gridSpan w:val="7"/>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7"/>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563C1"/>
              </w:rPr>
              <w:t>9.</w:t>
            </w:r>
            <w:r>
              <w:rPr>
                <w:rFonts w:ascii="Times New Roman" w:cs="Times New Roman" w:eastAsia="Times New Roman" w:hAnsi="Times New Roman"/>
                <w:sz w:val="18"/>
                <w:szCs w:val="18"/>
                <w:u w:val="single" w:color="auto"/>
                <w:color w:val="0563C1"/>
              </w:rPr>
              <w:t>9.</w:t>
            </w:r>
          </w:p>
        </w:tc>
        <w:tc>
          <w:tcPr>
            <w:tcW w:w="3640" w:type="dxa"/>
            <w:vAlign w:val="bottom"/>
            <w:gridSpan w:val="15"/>
          </w:tcPr>
          <w:p>
            <w:pPr>
              <w:ind w:left="240"/>
              <w:spacing w:after="0"/>
              <w:rPr>
                <w:sz w:val="20"/>
                <w:szCs w:val="20"/>
                <w:color w:val="auto"/>
              </w:rPr>
            </w:pPr>
            <w:r>
              <w:rPr>
                <w:rFonts w:ascii="Times New Roman" w:cs="Times New Roman" w:eastAsia="Times New Roman" w:hAnsi="Times New Roman"/>
                <w:sz w:val="18"/>
                <w:szCs w:val="18"/>
                <w:color w:val="0563C1"/>
              </w:rPr>
              <w:t xml:space="preserve">Amendment or Repeal; Interpretation.  </w:t>
            </w:r>
            <w:r>
              <w:rPr>
                <w:rFonts w:ascii="Times New Roman" w:cs="Times New Roman" w:eastAsia="Times New Roman" w:hAnsi="Times New Roman"/>
                <w:sz w:val="18"/>
                <w:szCs w:val="18"/>
                <w:color w:val="000000"/>
              </w:rPr>
              <w:t>21</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80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Article X - Amendments</w:t>
            </w:r>
          </w:p>
        </w:tc>
        <w:tc>
          <w:tcPr>
            <w:tcW w:w="120" w:type="dxa"/>
            <w:vAlign w:val="bottom"/>
          </w:tcPr>
          <w:p>
            <w:pPr>
              <w:spacing w:after="0"/>
              <w:rPr>
                <w:sz w:val="24"/>
                <w:szCs w:val="24"/>
                <w:color w:val="auto"/>
              </w:rPr>
            </w:pPr>
          </w:p>
        </w:tc>
        <w:tc>
          <w:tcPr>
            <w:tcW w:w="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0563C1"/>
              </w:rPr>
              <w:t xml:space="preserve">Article XI - Forum Selection  </w:t>
            </w:r>
            <w:r>
              <w:rPr>
                <w:rFonts w:ascii="Times New Roman" w:cs="Times New Roman" w:eastAsia="Times New Roman" w:hAnsi="Times New Roman"/>
                <w:sz w:val="18"/>
                <w:szCs w:val="18"/>
                <w:color w:val="000000"/>
              </w:rPr>
              <w:t>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760" w:type="dxa"/>
            <w:vAlign w:val="bottom"/>
            <w:gridSpan w:val="4"/>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0563C1"/>
              </w:rPr>
              <w:t>Article XII - Definitions</w:t>
            </w:r>
          </w:p>
        </w:tc>
        <w:tc>
          <w:tcPr>
            <w:tcW w:w="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9"/>
              </w:rPr>
              <w:t>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66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139"/>
          </w:cols>
          <w:pgMar w:left="320" w:top="1440" w:right="1440"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9019"/>
          </w:cols>
          <w:pgMar w:left="1440" w:top="1440"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Corporate Offices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Cipher Mining,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144" w:lineRule="exact"/>
        <w:rPr>
          <w:sz w:val="20"/>
          <w:szCs w:val="20"/>
          <w:color w:val="auto"/>
        </w:rPr>
      </w:pPr>
    </w:p>
    <w:p>
      <w:pPr>
        <w:ind w:left="3960"/>
        <w:spacing w:after="0"/>
        <w:tabs>
          <w:tab w:leader="none" w:pos="5220" w:val="left"/>
        </w:tabs>
        <w:rPr>
          <w:sz w:val="20"/>
          <w:szCs w:val="20"/>
          <w:color w:val="auto"/>
        </w:rPr>
      </w:pPr>
      <w:r>
        <w:rPr>
          <w:rFonts w:ascii="Times New Roman" w:cs="Times New Roman" w:eastAsia="Times New Roman" w:hAnsi="Times New Roman"/>
          <w:sz w:val="18"/>
          <w:szCs w:val="18"/>
          <w:b w:val="1"/>
          <w:bCs w:val="1"/>
          <w:color w:val="auto"/>
        </w:rPr>
        <w:t>Article II</w:t>
      </w:r>
      <w:r>
        <w:rPr>
          <w:sz w:val="20"/>
          <w:szCs w:val="20"/>
          <w:color w:val="auto"/>
        </w:rPr>
        <w:tab/>
      </w:r>
      <w:r>
        <w:rPr>
          <w:rFonts w:ascii="Times New Roman" w:cs="Times New Roman" w:eastAsia="Times New Roman" w:hAnsi="Times New Roman"/>
          <w:sz w:val="18"/>
          <w:szCs w:val="18"/>
          <w:b w:val="1"/>
          <w:bCs w:val="1"/>
          <w:color w:val="auto"/>
        </w:rPr>
        <w:t>- Meetings of Stockholders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shall designate the date and time of the annual meeting. At the annual meeting, directors shall be elected and other proper business properly brought before the meeting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these bylaws may be transacted. The Board may postpone, reschedule or cancel any previously scheduled annual meeting of stockholders.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meetings of the stockholders may be called only by such persons and only in such manner as set forth in the Certificate of Incorporation.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Notice of Business to be Brought before a Meeting</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left="660" w:hanging="652"/>
        <w:spacing w:after="0" w:line="214"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the Board or the Chairman of the Board or (iii) otherwise properly brought before the meeting by a stockholder present in person who (A) (1) was a record owner of shares of the Corporation at the time of giving the notice provided for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through the time of the meeting, (2) is entitled to vote at the meeting and (3) has complied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all applicable respects or (B) properly made such proposal in accordance with Rule 14a-8 under the Securities Exchange Act of 1934, as amended, and the rules and regulations promulgated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foregoing clause (iii) shall be the exclusive means for a stockholder to propose business to be brought before an annual meeting of the</w:t>
      </w:r>
    </w:p>
    <w:p>
      <w:pPr>
        <w:sectPr>
          <w:pgSz w:w="11900" w:h="16838" w:orient="portrait"/>
          <w:cols w:equalWidth="0" w:num="1">
            <w:col w:w="11240"/>
          </w:cols>
          <w:pgMar w:left="320" w:top="1413" w:right="339" w:bottom="1440" w:gutter="0" w:footer="0" w:header="0"/>
        </w:sectPr>
      </w:pPr>
    </w:p>
    <w:bookmarkStart w:id="68" w:name="page69"/>
    <w:bookmarkEnd w:id="68"/>
    <w:p>
      <w:pPr>
        <w:jc w:val="both"/>
        <w:ind w:left="660"/>
        <w:spacing w:after="0" w:line="222" w:lineRule="auto"/>
        <w:rPr>
          <w:sz w:val="20"/>
          <w:szCs w:val="20"/>
          <w:color w:val="auto"/>
        </w:rPr>
      </w:pPr>
      <w:r>
        <w:rPr>
          <w:rFonts w:ascii="Times New Roman" w:cs="Times New Roman" w:eastAsia="Times New Roman" w:hAnsi="Times New Roman"/>
          <w:sz w:val="18"/>
          <w:szCs w:val="18"/>
          <w:color w:val="auto"/>
        </w:rPr>
        <w:t xml:space="preserve">stockholders. The only matters that may be brought before a special meeting are the matters specified in the notice of meeting given by or at the direction of the person calling the meeting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and stockholders shall not be permitted to propose business to be brought</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 xml:space="preserve">before a special meeting of the stockholders.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present in person</w:t>
      </w:r>
      <w:r>
        <w:rPr>
          <w:rFonts w:ascii="Times New Roman" w:cs="Times New Roman" w:eastAsia="Times New Roman" w:hAnsi="Times New Roman"/>
          <w:sz w:val="18"/>
          <w:szCs w:val="18"/>
          <w:color w:val="auto"/>
        </w:rPr>
        <w:t>” shall mean that the stockholder proposing that the business be brought before the annual meeting of the Corporation, or a qualified representative of such proposing stockholder, appear at such annual meeting. A “</w:t>
      </w:r>
      <w:r>
        <w:rPr>
          <w:rFonts w:ascii="Times New Roman" w:cs="Times New Roman" w:eastAsia="Times New Roman" w:hAnsi="Times New Roman"/>
          <w:sz w:val="18"/>
          <w:szCs w:val="18"/>
          <w:u w:val="single" w:color="auto"/>
          <w:color w:val="auto"/>
        </w:rPr>
        <w:t>qualified representative</w:t>
      </w:r>
      <w:r>
        <w:rPr>
          <w:rFonts w:ascii="Times New Roman" w:cs="Times New Roman" w:eastAsia="Times New Roman" w:hAnsi="Times New Roman"/>
          <w:sz w:val="18"/>
          <w:szCs w:val="18"/>
          <w:color w:val="auto"/>
        </w:rPr>
        <w:t>” of such proposing stockholder shall be a duly authorized officer, manager or partner of such</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w:t>
      </w:r>
    </w:p>
    <w:p>
      <w:pPr>
        <w:spacing w:after="0" w:line="2"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18"/>
          <w:szCs w:val="18"/>
          <w:color w:val="auto"/>
        </w:rPr>
        <w:t xml:space="preserve">election to the Board must comply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be applicable to nominations except as expressly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both"/>
        <w:ind w:left="660" w:hanging="652"/>
        <w:spacing w:after="0" w:line="213"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no annual meeting was held in the preceding year, to be timely, a stockholder’s notice must be so delivered, or mailed and received, not earlier than the close of business on the one hundred and twentieth (120th) day prior to such annual meeting and not later than the close of business on the later of the ninetieth (90th) day prior to such annual meeting or, if later, the tenth (10th) day following the day on which public disclosure of the date of such annual meeting was first made by the Corporation;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to be timely, a stockholder’s notice must be so delivered, or mailed and received, not later than the ninetieth (90th) day prior to such annual meeting or, if later, the tenth (10th)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for the giving of Timely Notice as described above.</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stockholder’s notice to the Secretary of the Corporation shall set forth:</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17"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and the date or dates on which such shares were acquired,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w:t>
      </w:r>
    </w:p>
    <w:p>
      <w:pPr>
        <w:spacing w:after="0" w:line="211"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942"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xml:space="preserve">”) and that is, directly or indirectly, held or maintained by such Proposing Person with respect to any shares of any class or series of shares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Proposing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69" w:name="page70"/>
    <w:bookmarkEnd w:id="69"/>
    <w:p>
      <w:pPr>
        <w:jc w:val="both"/>
        <w:ind w:left="644" w:right="20"/>
        <w:spacing w:after="0" w:line="261" w:lineRule="auto"/>
        <w:rPr>
          <w:sz w:val="20"/>
          <w:szCs w:val="20"/>
          <w:color w:val="auto"/>
        </w:rPr>
      </w:pPr>
      <w:r>
        <w:rPr>
          <w:rFonts w:ascii="Times New Roman" w:cs="Times New Roman" w:eastAsia="Times New Roman" w:hAnsi="Times New Roman"/>
          <w:sz w:val="18"/>
          <w:szCs w:val="18"/>
          <w:color w:val="auto"/>
        </w:rPr>
        <w:t>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w:t>
      </w:r>
    </w:p>
    <w:p>
      <w:pPr>
        <w:spacing w:after="0" w:line="180" w:lineRule="exact"/>
        <w:rPr>
          <w:sz w:val="20"/>
          <w:szCs w:val="20"/>
          <w:color w:val="auto"/>
        </w:rPr>
      </w:pPr>
    </w:p>
    <w:p>
      <w:pPr>
        <w:ind w:left="644" w:firstLine="4"/>
        <w:spacing w:after="0" w:line="282" w:lineRule="auto"/>
        <w:tabs>
          <w:tab w:leader="none" w:pos="128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rights to dividends on the shares of any class or series of shares of the Corporation owned beneficially by such Proposing Person that are separated or separable from the underlying shares of the Corporation;</w:t>
      </w:r>
    </w:p>
    <w:p>
      <w:pPr>
        <w:spacing w:after="0" w:line="161"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12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material pending or threatened legal proceeding or investigation in which such Proposing Person is a party or material participant involving the Corporation or, to the knowledge of such Proposing Person, any of its current or former officers or directors, or any affiliate of the Corporation;</w:t>
      </w:r>
    </w:p>
    <w:p>
      <w:pPr>
        <w:spacing w:after="0" w:line="175" w:lineRule="exact"/>
        <w:rPr>
          <w:rFonts w:ascii="Times New Roman" w:cs="Times New Roman" w:eastAsia="Times New Roman" w:hAnsi="Times New Roman"/>
          <w:sz w:val="18"/>
          <w:szCs w:val="18"/>
          <w:color w:val="auto"/>
        </w:rPr>
      </w:pPr>
    </w:p>
    <w:p>
      <w:pPr>
        <w:ind w:left="644" w:right="20" w:firstLine="4"/>
        <w:spacing w:after="0" w:line="282" w:lineRule="auto"/>
        <w:tabs>
          <w:tab w:leader="none" w:pos="128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any other material relationship between such Proposing Person, on the one hand, and the Corporation or any affiliate of the Corporation, on the other hand;</w:t>
      </w:r>
    </w:p>
    <w:p>
      <w:pPr>
        <w:spacing w:after="0" w:line="161"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12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any direct or indirect material interest (other than solely as a result of security ownership) in any material contract or agreement of such Proposing Person with the Corporation or any affiliate of the Corporation (including, in any such case, any employment agreement, collective bargaining agreement or consulting agreement);</w:t>
      </w:r>
    </w:p>
    <w:p>
      <w:pPr>
        <w:spacing w:after="0" w:line="175"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128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a representation that such Proposing Person intends or is part of a group that intends to deliver a proxy statement or form of proxy to holders of at least the percentage of the Corporation’s outstanding capital stock required to approve or adopt the proposal or otherwise solicit proxies from stockholders in support of such proposal; and</w:t>
      </w:r>
    </w:p>
    <w:p>
      <w:pPr>
        <w:spacing w:after="0" w:line="175" w:lineRule="exact"/>
        <w:rPr>
          <w:rFonts w:ascii="Times New Roman" w:cs="Times New Roman" w:eastAsia="Times New Roman" w:hAnsi="Times New Roman"/>
          <w:sz w:val="18"/>
          <w:szCs w:val="18"/>
          <w:color w:val="auto"/>
        </w:rPr>
      </w:pPr>
    </w:p>
    <w:p>
      <w:pPr>
        <w:jc w:val="both"/>
        <w:ind w:left="644" w:firstLine="4"/>
        <w:spacing w:after="0" w:line="261"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jc w:val="both"/>
        <w:ind w:left="644" w:firstLine="4"/>
        <w:spacing w:after="0" w:line="267" w:lineRule="auto"/>
        <w:tabs>
          <w:tab w:leader="none" w:pos="128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Disclosable Interests shall not include any such disclosures with respect to the ordinary course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w:t>
      </w:r>
    </w:p>
    <w:p>
      <w:pPr>
        <w:spacing w:after="0" w:line="198" w:lineRule="exact"/>
        <w:rPr>
          <w:rFonts w:ascii="Times New Roman" w:cs="Times New Roman" w:eastAsia="Times New Roman" w:hAnsi="Times New Roman"/>
          <w:sz w:val="18"/>
          <w:szCs w:val="18"/>
          <w:color w:val="auto"/>
        </w:rPr>
      </w:pPr>
    </w:p>
    <w:p>
      <w:pPr>
        <w:ind w:left="644" w:right="20" w:firstLine="4"/>
        <w:spacing w:after="0" w:line="282" w:lineRule="auto"/>
        <w:tabs>
          <w:tab w:leader="none" w:pos="12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brief description of the business desired to be brought before the annual meeting, the reasons for conducting such business at the annual meeting and any material interest in such business of each Proposing Person;</w:t>
      </w:r>
    </w:p>
    <w:p>
      <w:pPr>
        <w:spacing w:after="0" w:line="161" w:lineRule="exact"/>
        <w:rPr>
          <w:rFonts w:ascii="Times New Roman" w:cs="Times New Roman" w:eastAsia="Times New Roman" w:hAnsi="Times New Roman"/>
          <w:sz w:val="18"/>
          <w:szCs w:val="18"/>
          <w:color w:val="auto"/>
        </w:rPr>
      </w:pPr>
    </w:p>
    <w:p>
      <w:pPr>
        <w:ind w:left="644" w:firstLine="4"/>
        <w:spacing w:after="0" w:line="282" w:lineRule="auto"/>
        <w:tabs>
          <w:tab w:leader="none" w:pos="128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text of the proposal or business (including the text of any resolutions proposed for consideration and in the event that such business includes a proposal to amend the bylaws, the language of the proposed amendment); and</w:t>
      </w:r>
    </w:p>
    <w:p>
      <w:pPr>
        <w:spacing w:after="0" w:line="161"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12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 reasonably detailed description of all agreements, arrangements and understandings (x) between or among any of the Proposing Persons or (y) to the knowledge of such Proposing Person, between or among any Proposing Person and any other record or beneficial holder(s)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4"/>
          </w:cols>
          <w:pgMar w:left="976" w:top="1417" w:right="339" w:bottom="1440" w:gutter="0" w:footer="0" w:header="0"/>
        </w:sectPr>
      </w:pPr>
    </w:p>
    <w:bookmarkStart w:id="70" w:name="page71"/>
    <w:bookmarkEnd w:id="70"/>
    <w:p>
      <w:pPr>
        <w:ind w:left="1300"/>
        <w:spacing w:after="0" w:line="282" w:lineRule="auto"/>
        <w:rPr>
          <w:sz w:val="20"/>
          <w:szCs w:val="20"/>
          <w:color w:val="auto"/>
        </w:rPr>
      </w:pPr>
      <w:r>
        <w:rPr>
          <w:rFonts w:ascii="Times New Roman" w:cs="Times New Roman" w:eastAsia="Times New Roman" w:hAnsi="Times New Roman"/>
          <w:sz w:val="18"/>
          <w:szCs w:val="18"/>
          <w:color w:val="auto"/>
        </w:rPr>
        <w:t>person(s) who have a right to acquire beneficial ownership at any time in the future of the shares of any class or series of the Corporation or any other person or entity (including their names) in connection with the proposal of such business by such stockholder; and</w:t>
      </w:r>
    </w:p>
    <w:p>
      <w:pPr>
        <w:spacing w:after="0" w:line="162" w:lineRule="exact"/>
        <w:rPr>
          <w:sz w:val="20"/>
          <w:szCs w:val="20"/>
          <w:color w:val="auto"/>
        </w:rPr>
      </w:pPr>
    </w:p>
    <w:p>
      <w:pPr>
        <w:jc w:val="both"/>
        <w:ind w:left="1300" w:firstLine="4"/>
        <w:spacing w:after="0" w:line="266" w:lineRule="auto"/>
        <w:tabs>
          <w:tab w:leader="none" w:pos="19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w:t>
      </w:r>
    </w:p>
    <w:p>
      <w:pPr>
        <w:spacing w:after="0" w:line="173" w:lineRule="exact"/>
        <w:rPr>
          <w:rFonts w:ascii="Times New Roman" w:cs="Times New Roman" w:eastAsia="Times New Roman" w:hAnsi="Times New Roman"/>
          <w:sz w:val="18"/>
          <w:szCs w:val="18"/>
          <w:color w:val="auto"/>
        </w:rPr>
      </w:pPr>
    </w:p>
    <w:p>
      <w:pPr>
        <w:jc w:val="both"/>
        <w:ind w:left="1300" w:firstLine="4"/>
        <w:spacing w:after="0" w:line="267" w:lineRule="auto"/>
        <w:tabs>
          <w:tab w:leader="none" w:pos="19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disclosures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2.4(c)(iii)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include any disclosures with respect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dealer, commercial bank, trust company or other nominee who is a Proposing Person solely as a result of being the stockholder directed to prepare and submit the notice required by these bylaws on behalf of a beneficial owner.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66" w:lineRule="exact"/>
        <w:rPr>
          <w:sz w:val="20"/>
          <w:szCs w:val="20"/>
          <w:color w:val="auto"/>
        </w:rPr>
      </w:pPr>
    </w:p>
    <w:p>
      <w:pPr>
        <w:jc w:val="both"/>
        <w:ind w:left="660" w:hanging="652"/>
        <w:spacing w:after="0" w:line="213"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true and correct in all material respects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63" w:lineRule="exact"/>
        <w:rPr>
          <w:rFonts w:ascii="Times New Roman" w:cs="Times New Roman" w:eastAsia="Times New Roman" w:hAnsi="Times New Roman"/>
          <w:sz w:val="18"/>
          <w:szCs w:val="18"/>
          <w:color w:val="auto"/>
        </w:rPr>
      </w:pPr>
    </w:p>
    <w:p>
      <w:pPr>
        <w:jc w:val="both"/>
        <w:ind w:left="660" w:hanging="652"/>
        <w:spacing w:after="0" w:line="214"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information submitted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by a Proposing Person shall be inaccurate in any material respect (as determined by the Board or a committee thereof), such information may deemed not to have been provided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Such Proposing Person shall notify the Secretary of the Corporation in writing at the principal executive offices of the Corporation of any material inaccuracy or change in any information submitted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within two (2) business days after becoming aware of such material inaccuracy or change, and any such notification shall clearly identify the inaccuracy or change, it being understood that no such notification may cure any deficiencies or inaccuracies with respect to any prior submission by such Proposing Person. Upon written request of the Secretary of the Corporation on behalf of the Board (or a duly authorized committee thereof), any such Proposing Person shall provide, within seven (7) business days after delivery of such request (or such other period as may reasonably be specified in such request), (i) written verification, reasonably satisfactory to the Board, any committee thereof or any authorized officer of the Corporation, to demonstrate the accuracy of any information submitted by such Proposing Person and (ii) a written affirmation of any information submitted by such Proposing Person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of an earlier date. If a Proposing Person fails to provide such written verification or affirmation within such period, the information as to which written verification or affirmation was requested may be deemed not to have been provided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31" w:lineRule="auto"/>
        <w:tabs>
          <w:tab w:leader="none" w:pos="6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business shall be conducted at an annual meeting that is not properly brought before the meeting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presiding officer of the meeting shall, if the facts warrant, determine that the business was not properly brought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71" w:name="page72"/>
    <w:bookmarkEnd w:id="71"/>
    <w:p>
      <w:pPr>
        <w:ind w:left="660" w:right="20"/>
        <w:spacing w:after="0" w:line="237" w:lineRule="auto"/>
        <w:rPr>
          <w:sz w:val="20"/>
          <w:szCs w:val="20"/>
          <w:color w:val="auto"/>
        </w:rPr>
      </w:pPr>
      <w:r>
        <w:rPr>
          <w:rFonts w:ascii="Times New Roman" w:cs="Times New Roman" w:eastAsia="Times New Roman" w:hAnsi="Times New Roman"/>
          <w:sz w:val="18"/>
          <w:szCs w:val="18"/>
          <w:color w:val="auto"/>
        </w:rPr>
        <w:t xml:space="preserve">before the meeting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if he or she should so determine, he or she shall so declare to the meeting and any such business not properly brought before the meeting shall not be transacted.</w:t>
      </w:r>
    </w:p>
    <w:p>
      <w:pPr>
        <w:spacing w:after="0" w:line="172" w:lineRule="exact"/>
        <w:rPr>
          <w:sz w:val="20"/>
          <w:szCs w:val="20"/>
          <w:color w:val="auto"/>
        </w:rPr>
      </w:pPr>
    </w:p>
    <w:p>
      <w:pPr>
        <w:jc w:val="both"/>
        <w:ind w:left="660" w:hanging="652"/>
        <w:spacing w:after="0" w:line="217"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deemed to affect the rights of stockholders to request inclusion of proposals in the Corporation’s proxy statement pursuant to Rule 14a-8 under the Exchange Act.</w:t>
      </w:r>
    </w:p>
    <w:p>
      <w:pPr>
        <w:spacing w:after="0" w:line="173" w:lineRule="exact"/>
        <w:rPr>
          <w:rFonts w:ascii="Times New Roman" w:cs="Times New Roman" w:eastAsia="Times New Roman" w:hAnsi="Times New Roman"/>
          <w:sz w:val="18"/>
          <w:szCs w:val="18"/>
          <w:color w:val="auto"/>
        </w:rPr>
      </w:pPr>
    </w:p>
    <w:p>
      <w:pPr>
        <w:ind w:left="660" w:right="20" w:hanging="652"/>
        <w:spacing w:after="0" w:line="237"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Notice of Nominations for Election to the Board</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left="660" w:hanging="652"/>
        <w:spacing w:after="0" w:line="213"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(A) who was a record owner of shares of the Corporation at the time of giving the notice provided for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through the time of the meeting, (B) is entitled to vote at the meeting, and (C) has complied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to such notice and nomination.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present in person</w:t>
      </w:r>
      <w:r>
        <w:rPr>
          <w:rFonts w:ascii="Times New Roman" w:cs="Times New Roman" w:eastAsia="Times New Roman" w:hAnsi="Times New Roman"/>
          <w:sz w:val="18"/>
          <w:szCs w:val="18"/>
          <w:color w:val="auto"/>
        </w:rPr>
        <w:t>” shall mean that the stockholder proposing that the business be brought before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at an annual meeting or special meeting.</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15"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Without qualification, for a stockholder to make any nomination of a person or persons for election to the Board at an annual meeting, the stockholder must (1) provide Timely Notice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thereof in writing and in proper form to the Secretary of the Corporation,</w:t>
      </w:r>
    </w:p>
    <w:p>
      <w:pPr>
        <w:ind w:left="66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 the information, agreements and questionnaires with respect to such stockholder and its candidate for nomination as required to be set</w:t>
      </w:r>
    </w:p>
    <w:p>
      <w:pPr>
        <w:ind w:left="660"/>
        <w:spacing w:after="0"/>
        <w:rPr>
          <w:sz w:val="20"/>
          <w:szCs w:val="20"/>
          <w:color w:val="auto"/>
        </w:rPr>
      </w:pPr>
      <w:r>
        <w:rPr>
          <w:rFonts w:ascii="Times New Roman" w:cs="Times New Roman" w:eastAsia="Times New Roman" w:hAnsi="Times New Roman"/>
          <w:sz w:val="18"/>
          <w:szCs w:val="18"/>
          <w:color w:val="auto"/>
        </w:rPr>
        <w:t xml:space="preserve">forth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(3)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i w:val="1"/>
          <w:iCs w:val="1"/>
          <w:color w:val="auto"/>
        </w:rPr>
        <w:t>.</w:t>
      </w:r>
    </w:p>
    <w:p>
      <w:pPr>
        <w:spacing w:after="0" w:line="165" w:lineRule="exact"/>
        <w:rPr>
          <w:sz w:val="20"/>
          <w:szCs w:val="20"/>
          <w:color w:val="auto"/>
        </w:rPr>
      </w:pPr>
    </w:p>
    <w:p>
      <w:pPr>
        <w:jc w:val="both"/>
        <w:ind w:left="1300" w:hanging="644"/>
        <w:spacing w:after="0" w:line="214" w:lineRule="auto"/>
        <w:tabs>
          <w:tab w:leader="none" w:pos="12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(iii)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of the date of such special meeting was first made.</w:t>
      </w:r>
    </w:p>
    <w:p>
      <w:pPr>
        <w:spacing w:after="0" w:line="174" w:lineRule="exact"/>
        <w:rPr>
          <w:rFonts w:ascii="Times New Roman" w:cs="Times New Roman" w:eastAsia="Times New Roman" w:hAnsi="Times New Roman"/>
          <w:sz w:val="18"/>
          <w:szCs w:val="18"/>
          <w:color w:val="auto"/>
        </w:rPr>
      </w:pPr>
    </w:p>
    <w:p>
      <w:pPr>
        <w:ind w:left="1300" w:hanging="644"/>
        <w:spacing w:after="0" w:line="237" w:lineRule="auto"/>
        <w:tabs>
          <w:tab w:leader="none" w:pos="12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18"/>
          <w:szCs w:val="18"/>
          <w:color w:val="auto"/>
        </w:rPr>
        <w:t>the meeting, such notice as to any additional nominees shall be due on the later of (i) the conclusion of the time period for Timely Notice,</w:t>
      </w:r>
    </w:p>
    <w:p>
      <w:pPr>
        <w:ind w:left="1300" w:right="20" w:firstLine="4"/>
        <w:spacing w:after="0" w:line="233" w:lineRule="auto"/>
        <w:tabs>
          <w:tab w:leader="none" w:pos="1572"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set forth in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 xml:space="preserve"> or (iii) the tenth day following the date of public disclosure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of such increase.</w:t>
      </w:r>
    </w:p>
    <w:p>
      <w:pPr>
        <w:spacing w:after="0" w:line="15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stockholder’s notice to the Secretary of the Corporation shall set forth:</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(as defined below), the Stockholder Information (as defined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 xml:space="preserve">, except that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term “Nominating Person” shall be substituted for the term “Proposing Person” in all places it appears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24"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any Disclosable Interests (as defined in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except that 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term “Nominating Person” shall be substituted for the term “Proposing Person” in all places it appears in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and the disclosure with respect to the business to be brought before the meeting in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shall be made with respect to the election of directors at the meeting);</w:t>
      </w:r>
    </w:p>
    <w:p>
      <w:pPr>
        <w:spacing w:after="0" w:line="172" w:lineRule="exact"/>
        <w:rPr>
          <w:rFonts w:ascii="Times New Roman" w:cs="Times New Roman" w:eastAsia="Times New Roman" w:hAnsi="Times New Roman"/>
          <w:sz w:val="18"/>
          <w:szCs w:val="18"/>
          <w:color w:val="auto"/>
        </w:rPr>
      </w:pPr>
    </w:p>
    <w:p>
      <w:pPr>
        <w:jc w:val="both"/>
        <w:ind w:left="1300" w:hanging="644"/>
        <w:spacing w:after="0" w:line="22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 representation from such Nominating Person as to whether such Nominating Person intends or is part of a group that intends to solicit proxies in support of the election of any proposed nominee in accordance with Rule 14a-19 under the Exchange Act; and</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w:t>
      </w:r>
    </w:p>
    <w:p>
      <w:pPr>
        <w:spacing w:after="0" w:line="198"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942"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all information with respect to such candidate for nomination that would be required to be set forth in a stockholder’s notice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if such candidate for nomination were a Nominating Person;</w:t>
      </w:r>
    </w:p>
    <w:p>
      <w:pPr>
        <w:spacing w:after="0" w:line="162" w:lineRule="exact"/>
        <w:rPr>
          <w:sz w:val="20"/>
          <w:szCs w:val="20"/>
          <w:color w:val="auto"/>
        </w:rPr>
      </w:pPr>
    </w:p>
    <w:p>
      <w:pPr>
        <w:jc w:val="both"/>
        <w:ind w:left="1300" w:firstLine="4"/>
        <w:spacing w:after="0" w:line="261" w:lineRule="auto"/>
        <w:tabs>
          <w:tab w:leader="none" w:pos="19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w:t>
      </w:r>
    </w:p>
    <w:p>
      <w:pPr>
        <w:spacing w:after="0" w:line="179" w:lineRule="exact"/>
        <w:rPr>
          <w:rFonts w:ascii="Times New Roman" w:cs="Times New Roman" w:eastAsia="Times New Roman" w:hAnsi="Times New Roman"/>
          <w:sz w:val="18"/>
          <w:szCs w:val="18"/>
          <w:color w:val="auto"/>
        </w:rPr>
      </w:pPr>
    </w:p>
    <w:p>
      <w:pPr>
        <w:jc w:val="both"/>
        <w:ind w:left="1300" w:firstLine="4"/>
        <w:spacing w:after="0" w:line="258" w:lineRule="auto"/>
        <w:tabs>
          <w:tab w:leader="none" w:pos="19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 description of any direct or indirect material interest (other than solely as a result of security ownership)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w:t>
      </w:r>
    </w:p>
    <w:p>
      <w:pPr>
        <w:spacing w:after="0" w:line="183" w:lineRule="exact"/>
        <w:rPr>
          <w:rFonts w:ascii="Times New Roman" w:cs="Times New Roman" w:eastAsia="Times New Roman" w:hAnsi="Times New Roman"/>
          <w:sz w:val="18"/>
          <w:szCs w:val="18"/>
          <w:color w:val="auto"/>
        </w:rPr>
      </w:pPr>
    </w:p>
    <w:p>
      <w:pPr>
        <w:ind w:left="1300" w:firstLine="4"/>
        <w:spacing w:after="0" w:line="282" w:lineRule="auto"/>
        <w:tabs>
          <w:tab w:leader="none" w:pos="19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 description of any business or personal interests that would reasonably be expected to place such candidate for nomination in a potential conflict of interest with the Corporation or any of its subsidiaries; and</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a completed and signed questionnaire, representation and agreement as provided in </w:t>
      </w:r>
      <w:r>
        <w:rPr>
          <w:rFonts w:ascii="Times New Roman" w:cs="Times New Roman" w:eastAsia="Times New Roman" w:hAnsi="Times New Roman"/>
          <w:sz w:val="18"/>
          <w:szCs w:val="18"/>
          <w:u w:val="single" w:color="auto"/>
          <w:color w:val="auto"/>
        </w:rPr>
        <w:t>Section 2.5(g)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spacing w:after="0" w:line="162" w:lineRule="exact"/>
        <w:rPr>
          <w:sz w:val="20"/>
          <w:szCs w:val="20"/>
          <w:color w:val="auto"/>
        </w:rPr>
      </w:pPr>
    </w:p>
    <w:p>
      <w:pPr>
        <w:jc w:val="both"/>
        <w:ind w:left="660" w:hanging="652"/>
        <w:spacing w:after="0" w:line="231"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true and correct in all material respects as of the record date for stockholders entitled to vote at the meeting and as of the date that is ten (10) business days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2" w:right="339" w:bottom="1440" w:gutter="0" w:footer="0" w:header="0"/>
        </w:sectPr>
      </w:pPr>
    </w:p>
    <w:bookmarkStart w:id="73" w:name="page74"/>
    <w:bookmarkEnd w:id="73"/>
    <w:p>
      <w:pPr>
        <w:jc w:val="both"/>
        <w:ind w:left="660"/>
        <w:spacing w:after="0" w:line="222" w:lineRule="auto"/>
        <w:rPr>
          <w:sz w:val="20"/>
          <w:szCs w:val="20"/>
          <w:color w:val="auto"/>
        </w:rPr>
      </w:pPr>
      <w:r>
        <w:rPr>
          <w:rFonts w:ascii="Times New Roman" w:cs="Times New Roman" w:eastAsia="Times New Roman" w:hAnsi="Times New Roman"/>
          <w:sz w:val="18"/>
          <w:szCs w:val="18"/>
          <w:color w:val="auto"/>
        </w:rPr>
        <w:t>meeting or any adjournment or postponement thereof, and such update and supplement shall be delivered to, or mailed and received by, the Secretary of the Corporation at the principal executive offices of the Corporation not later than five (5) business days after the record date for</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permit a stockholder who has previously submitted notice hereunder to amend or update any nomination or to submit any new nomination.</w:t>
      </w:r>
    </w:p>
    <w:p>
      <w:pPr>
        <w:spacing w:after="0" w:line="165" w:lineRule="exact"/>
        <w:rPr>
          <w:sz w:val="20"/>
          <w:szCs w:val="20"/>
          <w:color w:val="auto"/>
        </w:rPr>
      </w:pPr>
    </w:p>
    <w:p>
      <w:pPr>
        <w:jc w:val="both"/>
        <w:ind w:left="660" w:hanging="652"/>
        <w:spacing w:after="0" w:line="213" w:lineRule="auto"/>
        <w:tabs>
          <w:tab w:leader="none" w:pos="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information submitted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by a Nominating Person shall be inaccurate in any material respect (as determined by the Board or a committee thereof), such information may deemed not to have been provided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Such Nominating Person shall notify the Secretary of the Corporation in writing at the principal executive offices of the Corporation of any material inaccuracy or change in any information submitted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within two (2) business days after becoming aware of such material inaccuracy or change, and any such notification shall clearly identify the inaccuracy or change, it being understood that no such notification may cure any deficiencies or inaccuracies with respect to any prior submission by such Nominating Person. Upon written request of the Secretary of the Corporation on behalf of the Board (or a duly authorized committee thereof), any such Nominating Person shall provide, within seven (7) business days after delivery of such request (or such other period as may reasonably be specified in such request), (i) written verification, reasonably satisfactory to the Board, any committee thereof or any authorized officer of the Corporation, to demonstrate the accuracy of any information submitted by such Nominating Person and (ii) a written affirmation of any information submitted by such Nominating Person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of an earlier date. If a Nominating Person fails to provide such written verification or affirmation within such period, the information as to which written verification or affirmation was requested may be deemed not to have been provided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jc w:val="both"/>
        <w:ind w:left="660" w:hanging="652"/>
        <w:spacing w:after="0" w:line="225" w:lineRule="auto"/>
        <w:tabs>
          <w:tab w:leader="none" w:pos="65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requirements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with respect to any nomination proposed to be made at a meeting, each Nominating Person shall comply with all applicable requirements of the Exchange Act with respect to any such nominations. Notwithstanding anything herein to the contrary, if (i) any Nominating Person provides notice pursuant to Rule 14a-19(b) under the Exchange Act with respect to any candidate for nomination and (ii) (A) such Nominating Person subsequently either (1) notifies the Corporation that such Nominating Person no longer intends to solicit proxies in support of the election or reelection of such candidate for nomination in accordance with Rule 14a-19(b) under the Exchange Act or (2) fails to comply with the requirements of Rule 14a-19(a)(2) or Rule 14a-19(a)(3) under the Exchange Act (or fails to timely provide reasonable evidence sufficient to satisfy the Corporation that such Nominating Person has met the requirements of Rule 14a-19(a)(3) under the Exchange Act in accordance with the following sentence) and (B) no other Nominating Person that has provided notice pursuant to Rule 14a-19(b) under the Exchange Act with respect to such candidate for nomination (1) to the Corporation’s knowledge based on information provided pursuant to Rule 14a-19 under the Exchange Act or these bylaws, still intends to solicit proxies in support of the election or reelection of such candidate for nomination in accordance with Rule 14a-19(b) under the Exchange Act and (2) has complied with the requirements of Rule 14a-19(a)(2) and Rule 14a-19(a)(3) under the Exchange Act and the requirements set forth in the following sentence, then the Corporation shall disregard any proxies or votes solicited for such candidate for nomination regardless of the person or entity who solicited such proxies (notwithstanding that proxies may have been received by the Corporation). Upon request by the Corporation, if any Nominating Person provides notice pursuant to Rule 14a-19(b) under the Exchange Act, such Nominating Person shall deliver to the Secretary of the Corporation, no later than five (5) business days prior to the applicable meeting date, reasonable evidence that the requirements of Rule 14a-19(a)(3) under the Exchange Act have been satisfied.</w:t>
      </w:r>
    </w:p>
    <w:p>
      <w:pPr>
        <w:spacing w:after="0" w:line="159" w:lineRule="exact"/>
        <w:rPr>
          <w:rFonts w:ascii="Times New Roman" w:cs="Times New Roman" w:eastAsia="Times New Roman" w:hAnsi="Times New Roman"/>
          <w:sz w:val="17"/>
          <w:szCs w:val="17"/>
          <w:color w:val="auto"/>
        </w:rPr>
      </w:pPr>
    </w:p>
    <w:p>
      <w:pPr>
        <w:jc w:val="both"/>
        <w:ind w:left="660" w:hanging="652"/>
        <w:spacing w:after="0" w:line="217"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eligible to be a candidate for election as a director of the Corporation at an annual or special meeting, a candidate must be nominated in the manner prescribed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the candidate for nomination, whether nominated by the Board or by a stockholder of record, must have previously delivered (in accordance with the time period prescribed for delivery in a notice to such candidate given by or on behalf of the Board), to the Secretary of the Corporation at the principal executive offices of the Corporation, (i) a completed written questionnaire in the form required by the Corporation (in a form provided by the Secretary of the Corporation within ten (10) days after receiving a written request therefor from any stockholder of record identified by name) with respect to the background, qualifications, stock ownership and independence of such proposed nominee and (ii) a written representation and agreement in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74" w:name="page75"/>
    <w:bookmarkEnd w:id="74"/>
    <w:p>
      <w:pPr>
        <w:jc w:val="both"/>
        <w:ind w:left="660"/>
        <w:spacing w:after="0" w:line="222" w:lineRule="auto"/>
        <w:rPr>
          <w:sz w:val="20"/>
          <w:szCs w:val="20"/>
          <w:color w:val="auto"/>
        </w:rPr>
      </w:pPr>
      <w:r>
        <w:rPr>
          <w:rFonts w:ascii="Times New Roman" w:cs="Times New Roman" w:eastAsia="Times New Roman" w:hAnsi="Times New Roman"/>
          <w:sz w:val="18"/>
          <w:szCs w:val="18"/>
          <w:color w:val="auto"/>
        </w:rPr>
        <w:t>required by the Corporation (in form provided by the Secretary of the Corporation within ten (10) days after receiving a written request therefor from any stockholder of record identified by name) that such candidate for nomination (A) is not and, if elected as a director during his or her term</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or (2) any Voting Commitment that could limit or interfere with such proposed nominee’s ability to comply, if</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(C) if elected as a director of the</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then in effect), (D) intends to serve a full term as a director of the Corporation, if elected and (E) will provide facts, statements and other information in all communications with the Corporation and its stockholders that are or will be true and correct in all material respects and that do not and will not omit to state any fact necessary in order to make the statements made, in light of the circumstances under which they are made,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misleading in any material respect.</w:t>
      </w:r>
    </w:p>
    <w:p>
      <w:pPr>
        <w:spacing w:after="0" w:line="165" w:lineRule="exact"/>
        <w:rPr>
          <w:sz w:val="20"/>
          <w:szCs w:val="20"/>
          <w:color w:val="auto"/>
        </w:rPr>
      </w:pPr>
    </w:p>
    <w:p>
      <w:pPr>
        <w:jc w:val="both"/>
        <w:ind w:left="660" w:hanging="652"/>
        <w:spacing w:after="0" w:line="224"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13"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candidate for nomination as a director shall further update and supplement the materials delivered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if necessary, so that the information provided or required to be provided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true and correct in all material respects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68" w:lineRule="exact"/>
        <w:rPr>
          <w:rFonts w:ascii="Times New Roman" w:cs="Times New Roman" w:eastAsia="Times New Roman" w:hAnsi="Times New Roman"/>
          <w:sz w:val="18"/>
          <w:szCs w:val="18"/>
          <w:color w:val="auto"/>
        </w:rPr>
      </w:pPr>
    </w:p>
    <w:p>
      <w:pPr>
        <w:jc w:val="both"/>
        <w:ind w:left="660" w:hanging="652"/>
        <w:spacing w:after="0" w:line="212"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information submitted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by a candidate for nomination shall be inaccurate in any material respect (as determined by the Board or a committee thereof), such information may deemed not to have been provided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Such candidate for nomination shall notify the Secretary of the Corporation in writing at the principal executive offices of the Corporation of any material inaccuracy or change in any information submitted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within two (2) business days after becoming aware of such material inaccuracy or change, and any such notification shall clearly identify the inaccuracy or change, it being understood that no such notification may cure any deficiencies or inaccuracies with respect to any prior submission by such candidate for nomination. Upon written</w:t>
      </w:r>
    </w:p>
    <w:p>
      <w:pPr>
        <w:spacing w:after="0" w:line="3" w:lineRule="exact"/>
        <w:rPr>
          <w:sz w:val="20"/>
          <w:szCs w:val="20"/>
          <w:color w:val="auto"/>
        </w:rPr>
      </w:pPr>
    </w:p>
    <w:p>
      <w:pPr>
        <w:jc w:val="both"/>
        <w:ind w:left="660"/>
        <w:spacing w:after="0" w:line="203" w:lineRule="auto"/>
        <w:rPr>
          <w:sz w:val="20"/>
          <w:szCs w:val="20"/>
          <w:color w:val="auto"/>
        </w:rPr>
      </w:pPr>
      <w:r>
        <w:rPr>
          <w:rFonts w:ascii="Times New Roman" w:cs="Times New Roman" w:eastAsia="Times New Roman" w:hAnsi="Times New Roman"/>
          <w:sz w:val="18"/>
          <w:szCs w:val="18"/>
          <w:color w:val="auto"/>
        </w:rPr>
        <w:t>request of the Secretary of the Corporation on behalf of the Board (or a duly authorized committee thereof), any such candidate for nomination shall provide, within seven (7) business days after delivery of such request (or such other period as may reasonably be specified in such request),</w:t>
      </w:r>
    </w:p>
    <w:p>
      <w:pPr>
        <w:spacing w:after="0" w:line="1" w:lineRule="exact"/>
        <w:rPr>
          <w:sz w:val="20"/>
          <w:szCs w:val="20"/>
          <w:color w:val="auto"/>
        </w:rPr>
      </w:pPr>
    </w:p>
    <w:p>
      <w:pPr>
        <w:jc w:val="both"/>
        <w:ind w:left="660" w:hanging="4"/>
        <w:spacing w:after="0" w:line="218" w:lineRule="auto"/>
        <w:tabs>
          <w:tab w:leader="none" w:pos="8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verification, reasonably satisfactory to the Board, any committee thereof or any authorized officer of the Corporation, to demonstrate the accuracy of any information submitted by such candidate for nomination and (ii) a written affirmation of any information submitted by such candidate for nomination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of an earlier date. If a candidate for nomination fails to provide such written verification or affirmation within such period, the information as to which written verification or affirmation was requested may be deemed not to have been provided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4" w:right="339" w:bottom="1440" w:gutter="0" w:footer="0" w:header="0"/>
        </w:sectPr>
      </w:pPr>
    </w:p>
    <w:bookmarkStart w:id="75" w:name="page76"/>
    <w:bookmarkEnd w:id="75"/>
    <w:p>
      <w:pPr>
        <w:jc w:val="both"/>
        <w:ind w:left="660" w:hanging="652"/>
        <w:spacing w:after="0" w:line="220"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candidate shall be eligible for nomination as a director of the Corporation unless such candidate for nomination and the Nominating Person seeking to place such candidate’s name in nomination has complied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presiding officer at the meeting shall, if the facts warrant, determine that a nomination was not properly made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57" w:lineRule="exact"/>
        <w:rPr>
          <w:rFonts w:ascii="Times New Roman" w:cs="Times New Roman" w:eastAsia="Times New Roman" w:hAnsi="Times New Roman"/>
          <w:sz w:val="18"/>
          <w:szCs w:val="18"/>
          <w:color w:val="auto"/>
        </w:rPr>
      </w:pPr>
    </w:p>
    <w:p>
      <w:pPr>
        <w:ind w:left="660" w:hanging="652"/>
        <w:spacing w:after="0" w:line="237"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candidate for nomination shall be eligible to be seated as a director of the Corporation unless nominated and elected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Notice of Stockholders’ Meetings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provided by law, the Certificate of Incorporation or these bylaws, the notice of any meeting of stockholders shall be sent or otherwise given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these bylaws until a quorum is present or represented. At any recessed or adjourned meeting at which a quorum is present or represented, any business may be transacted that might have been transacted at the meeting as originally noticed.</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Adjourned Meeting; Notice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4" w:right="339" w:bottom="1440" w:gutter="0" w:footer="0" w:header="0"/>
        </w:sectPr>
      </w:pPr>
    </w:p>
    <w:bookmarkStart w:id="76" w:name="page77"/>
    <w:bookmarkEnd w:id="76"/>
    <w:p>
      <w:pPr>
        <w:jc w:val="both"/>
        <w:spacing w:after="0" w:line="252" w:lineRule="auto"/>
        <w:rPr>
          <w:sz w:val="20"/>
          <w:szCs w:val="20"/>
          <w:color w:val="auto"/>
        </w:rPr>
      </w:pPr>
      <w:r>
        <w:rPr>
          <w:rFonts w:ascii="Times New Roman" w:cs="Times New Roman" w:eastAsia="Times New Roman" w:hAnsi="Times New Roman"/>
          <w:sz w:val="18"/>
          <w:szCs w:val="18"/>
          <w:color w:val="auto"/>
        </w:rPr>
        <w:t>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(v) limitations on the time allotted to questions or comments by participants; (vi) restrictions on the use of audio and video recording devices, cell phones and other electronic devices; (vii) rules, regulations or procedures for compliance with any state or local laws or regulations including those concerning safety, health and security; and (viii) procedures (if any) requiring attendees to provide the Corporation advance notice of their intent to attend the meeting.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these bylaws or the DGCL, each stockholder shall be entitled to one (1) vote for each share of capital stock held by such stockholder.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auto"/>
        </w:rPr>
        <w:t>Record Date for Stockholder Meetings and Other Purposes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shall prepare, at least ten (10) days before every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to vote in person or by proxy at any meeting of stockholders.</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u w:val="single" w:color="auto"/>
          <w:color w:val="auto"/>
        </w:rPr>
        <w:t>Inspectors of Election</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12" w:lineRule="exact"/>
        <w:rPr>
          <w:sz w:val="20"/>
          <w:szCs w:val="20"/>
          <w:color w:val="auto"/>
        </w:rPr>
      </w:pPr>
    </w:p>
    <w:p>
      <w:pPr>
        <w:ind w:left="660" w:hanging="652"/>
        <w:spacing w:after="0" w:line="237"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7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78" w:name="page79"/>
    <w:bookmarkEnd w:id="78"/>
    <w:p>
      <w:pPr>
        <w:ind w:left="640" w:hanging="6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 The inspectors of election may appoint such persons to assist them in performing their duties as they determine.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u w:val="single" w:color="auto"/>
          <w:color w:val="auto"/>
        </w:rPr>
        <w:t>Delivery to the Corporation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Whenever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4580"/>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Article III</w:t>
      </w:r>
      <w:r>
        <w:rPr>
          <w:sz w:val="20"/>
          <w:szCs w:val="20"/>
          <w:color w:val="auto"/>
        </w:rPr>
        <w:tab/>
      </w:r>
      <w:r>
        <w:rPr>
          <w:rFonts w:ascii="Times New Roman" w:cs="Times New Roman" w:eastAsia="Times New Roman" w:hAnsi="Times New Roman"/>
          <w:sz w:val="17"/>
          <w:szCs w:val="17"/>
          <w:b w:val="1"/>
          <w:bCs w:val="1"/>
          <w:color w:val="auto"/>
        </w:rPr>
        <w:t>- Directors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Number of Directors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Election, Qualification and Term of Office of Directors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 No person shall be eligible for election or appointment as a director unless such person has, within ten (10) days following any reasonable request therefor from the Board or any committee thereof, made himself or herself available to be interviewed by the Board (or any committee or other subset thereof) with respect to such person’s qualifications to serve as a director or any other matter reasonably related to such person’s candidacy or service as a director of the Corporation.</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Resignation and Vacancies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4" w:right="339" w:bottom="1440" w:gutter="0" w:footer="0" w:header="0"/>
        </w:sectPr>
      </w:pPr>
    </w:p>
    <w:bookmarkStart w:id="79" w:name="page80"/>
    <w:bookmarkEnd w:id="79"/>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Place of Meetings; Meetings by Telephone</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u w:val="single" w:color="auto"/>
          <w:color w:val="auto"/>
        </w:rPr>
        <w:t>Special Meetings; Notice</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the Secretary of the Corporation or a majority of the total number of directors constituting the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12"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or on such shorter notice as the person or persons calling such meeting may deem necessary or appropriate under the circumstances.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auto"/>
        </w:rPr>
        <w:t>Board Action without a Meeting</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u w:val="single" w:color="auto"/>
          <w:color w:val="auto"/>
        </w:rPr>
        <w:t>Fees and Compensation of Directors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44" w:lineRule="exact"/>
        <w:rPr>
          <w:sz w:val="20"/>
          <w:szCs w:val="20"/>
          <w:color w:val="auto"/>
        </w:rPr>
      </w:pPr>
    </w:p>
    <w:p>
      <w:pPr>
        <w:ind w:left="446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Article IV</w:t>
      </w:r>
      <w:r>
        <w:rPr>
          <w:sz w:val="20"/>
          <w:szCs w:val="20"/>
          <w:color w:val="auto"/>
        </w:rPr>
        <w:tab/>
      </w:r>
      <w:r>
        <w:rPr>
          <w:rFonts w:ascii="Times New Roman" w:cs="Times New Roman" w:eastAsia="Times New Roman" w:hAnsi="Times New Roman"/>
          <w:sz w:val="17"/>
          <w:szCs w:val="17"/>
          <w:b w:val="1"/>
          <w:bCs w:val="1"/>
          <w:color w:val="auto"/>
        </w:rPr>
        <w:t>- Committees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Committees of Directors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Committee Minutes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Meetings and Actions of Committees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1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(place of meetings; meetings by telephone);</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(regular meetings);</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(special meetings; notice);</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(board action without a meeting); and</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(waiver of notice),</w:t>
      </w:r>
    </w:p>
    <w:p>
      <w:pPr>
        <w:spacing w:after="0" w:line="21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81" w:name="page82"/>
    <w:bookmarkEnd w:id="81"/>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198" w:lineRule="exact"/>
        <w:rPr>
          <w:rFonts w:ascii="Times New Roman" w:cs="Times New Roman" w:eastAsia="Times New Roman" w:hAnsi="Times New Roman"/>
          <w:sz w:val="18"/>
          <w:szCs w:val="18"/>
          <w:color w:val="auto"/>
        </w:rPr>
      </w:pPr>
    </w:p>
    <w:p>
      <w:pPr>
        <w:ind w:left="660" w:hanging="652"/>
        <w:spacing w:after="0" w:line="23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adopt rules for the governance of any committee to override the provisions that would otherwise apply to the committee pursuant to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rules do not violate the provisions of the Certificate of Incorporation or applicable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Subcommittees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158" w:lineRule="exact"/>
        <w:rPr>
          <w:sz w:val="20"/>
          <w:szCs w:val="20"/>
          <w:color w:val="auto"/>
        </w:rPr>
      </w:pPr>
    </w:p>
    <w:p>
      <w:pPr>
        <w:ind w:left="4620"/>
        <w:spacing w:after="0"/>
        <w:tabs>
          <w:tab w:leader="none" w:pos="5880" w:val="left"/>
        </w:tabs>
        <w:rPr>
          <w:sz w:val="20"/>
          <w:szCs w:val="20"/>
          <w:color w:val="auto"/>
        </w:rPr>
      </w:pPr>
      <w:r>
        <w:rPr>
          <w:rFonts w:ascii="Times New Roman" w:cs="Times New Roman" w:eastAsia="Times New Roman" w:hAnsi="Times New Roman"/>
          <w:sz w:val="18"/>
          <w:szCs w:val="18"/>
          <w:b w:val="1"/>
          <w:bCs w:val="1"/>
          <w:color w:val="auto"/>
        </w:rPr>
        <w:t>Article V</w:t>
      </w:r>
      <w:r>
        <w:rPr>
          <w:sz w:val="20"/>
          <w:szCs w:val="20"/>
          <w:color w:val="auto"/>
        </w:rPr>
        <w:tab/>
      </w:r>
      <w:r>
        <w:rPr>
          <w:rFonts w:ascii="Times New Roman" w:cs="Times New Roman" w:eastAsia="Times New Roman" w:hAnsi="Times New Roman"/>
          <w:sz w:val="17"/>
          <w:szCs w:val="17"/>
          <w:b w:val="1"/>
          <w:bCs w:val="1"/>
          <w:color w:val="auto"/>
        </w:rPr>
        <w:t>- Officers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Officers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 Chief Financial Officer, a Chief Operating Officer and a Chief Legal Officer. The Corporation may also have, at the discretion of the Board, a Chairperson of the Board, a Vice Chairperson of the Board, a Secretary,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Appointment of Officers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Board shall appoint the officers of the Corporation, except such officers as may be appointed in accordance with the provisions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these bylaws.</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Subordinate Officers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u w:val="single" w:color="auto"/>
          <w:color w:val="auto"/>
        </w:rPr>
        <w:t>Removal and Resignation of Officers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Vacancies in Offices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vacancy occurring in any office of the Corporation shall be filled by the Board or as provided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04" w:right="339" w:bottom="1440" w:gutter="0" w:footer="0" w:header="0"/>
        </w:sectPr>
      </w:pPr>
    </w:p>
    <w:bookmarkStart w:id="82" w:name="page83"/>
    <w:bookmarkEnd w:id="82"/>
    <w:p>
      <w:pPr>
        <w:spacing w:after="0"/>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u w:val="single" w:color="auto"/>
          <w:color w:val="auto"/>
        </w:rPr>
        <w:t>Authority and Duties of Officers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44" w:lineRule="exact"/>
        <w:rPr>
          <w:sz w:val="20"/>
          <w:szCs w:val="20"/>
          <w:color w:val="auto"/>
        </w:rPr>
      </w:pPr>
    </w:p>
    <w:p>
      <w:pPr>
        <w:ind w:left="4620"/>
        <w:spacing w:after="0"/>
        <w:tabs>
          <w:tab w:leader="none" w:pos="5880" w:val="left"/>
        </w:tabs>
        <w:rPr>
          <w:sz w:val="20"/>
          <w:szCs w:val="20"/>
          <w:color w:val="auto"/>
        </w:rPr>
      </w:pPr>
      <w:r>
        <w:rPr>
          <w:rFonts w:ascii="Times New Roman" w:cs="Times New Roman" w:eastAsia="Times New Roman" w:hAnsi="Times New Roman"/>
          <w:sz w:val="18"/>
          <w:szCs w:val="18"/>
          <w:b w:val="1"/>
          <w:bCs w:val="1"/>
          <w:color w:val="auto"/>
        </w:rPr>
        <w:t>Article VI</w:t>
      </w:r>
      <w:r>
        <w:rPr>
          <w:sz w:val="20"/>
          <w:szCs w:val="20"/>
          <w:color w:val="auto"/>
        </w:rPr>
        <w:tab/>
      </w:r>
      <w:r>
        <w:rPr>
          <w:rFonts w:ascii="Times New Roman" w:cs="Times New Roman" w:eastAsia="Times New Roman" w:hAnsi="Times New Roman"/>
          <w:sz w:val="18"/>
          <w:szCs w:val="18"/>
          <w:b w:val="1"/>
          <w:bCs w:val="1"/>
          <w:color w:val="auto"/>
        </w:rPr>
        <w:t>- Records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71" w:lineRule="exact"/>
        <w:rPr>
          <w:sz w:val="20"/>
          <w:szCs w:val="20"/>
          <w:color w:val="auto"/>
        </w:rPr>
      </w:pPr>
    </w:p>
    <w:p>
      <w:pPr>
        <w:ind w:left="4280"/>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Article VII</w:t>
      </w:r>
      <w:r>
        <w:rPr>
          <w:sz w:val="20"/>
          <w:szCs w:val="20"/>
          <w:color w:val="auto"/>
        </w:rPr>
        <w:tab/>
      </w:r>
      <w:r>
        <w:rPr>
          <w:rFonts w:ascii="Times New Roman" w:cs="Times New Roman" w:eastAsia="Times New Roman" w:hAnsi="Times New Roman"/>
          <w:sz w:val="17"/>
          <w:szCs w:val="17"/>
          <w:b w:val="1"/>
          <w:bCs w:val="1"/>
          <w:color w:val="auto"/>
        </w:rPr>
        <w:t>- General Matters</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Execution of Corporate Contracts and Instruments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or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the Chief Executive Officer, the President, the Chief Legal Officer,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04" w:right="339" w:bottom="1440" w:gutter="0" w:footer="0" w:header="0"/>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before such certificate is issued, it may be issued by the Corporation with the same effect as if he or she were such officer, transfer agent or registrar at the date of issue.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Special Designation of Certificates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Lost Certificates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Except as provided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Shares Without Certificates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u w:val="single" w:color="auto"/>
          <w:color w:val="auto"/>
        </w:rPr>
        <w:t>Construction; Definitions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u w:val="single" w:color="auto"/>
          <w:color w:val="auto"/>
        </w:rPr>
        <w:t>Transfer of Stock</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Shares of the stock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u w:val="single" w:color="auto"/>
          <w:color w:val="auto"/>
        </w:rPr>
        <w:t>Stock Transfer Agreements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Registered Stockholders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12" w:lineRule="exact"/>
        <w:rPr>
          <w:sz w:val="20"/>
          <w:szCs w:val="20"/>
          <w:color w:val="auto"/>
        </w:rPr>
      </w:pPr>
    </w:p>
    <w:p>
      <w:pPr>
        <w:ind w:left="660" w:hanging="652"/>
        <w:spacing w:after="0" w:line="237"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58" w:lineRule="exact"/>
        <w:rPr>
          <w:rFonts w:ascii="Times New Roman" w:cs="Times New Roman" w:eastAsia="Times New Roman" w:hAnsi="Times New Roman"/>
          <w:sz w:val="18"/>
          <w:szCs w:val="18"/>
          <w:color w:val="auto"/>
        </w:rPr>
      </w:pPr>
    </w:p>
    <w:p>
      <w:pPr>
        <w:ind w:left="660" w:hanging="652"/>
        <w:spacing w:after="0" w:line="250" w:lineRule="auto"/>
        <w:tabs>
          <w:tab w:leader="none" w:pos="6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85" w:name="page86"/>
    <w:bookmarkEnd w:id="85"/>
    <w:p>
      <w:pPr>
        <w:jc w:val="cente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Article VIII</w:t>
      </w:r>
      <w:r>
        <w:rPr>
          <w:sz w:val="20"/>
          <w:szCs w:val="20"/>
          <w:color w:val="auto"/>
        </w:rPr>
        <w:tab/>
      </w:r>
      <w:r>
        <w:rPr>
          <w:rFonts w:ascii="Times New Roman" w:cs="Times New Roman" w:eastAsia="Times New Roman" w:hAnsi="Times New Roman"/>
          <w:sz w:val="17"/>
          <w:szCs w:val="17"/>
          <w:b w:val="1"/>
          <w:bCs w:val="1"/>
          <w:color w:val="auto"/>
        </w:rPr>
        <w:t>- Notice</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Delivery of Notice; Notice by Electronic Transmission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1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84" w:lineRule="exact"/>
        <w:rPr>
          <w:rFonts w:ascii="Times New Roman" w:cs="Times New Roman" w:eastAsia="Times New Roman" w:hAnsi="Times New Roman"/>
          <w:sz w:val="18"/>
          <w:szCs w:val="18"/>
          <w:color w:val="auto"/>
        </w:rPr>
      </w:pPr>
    </w:p>
    <w:p>
      <w:pPr>
        <w:ind w:left="660" w:right="20" w:hanging="652"/>
        <w:spacing w:after="0" w:line="237" w:lineRule="auto"/>
        <w:tabs>
          <w:tab w:leader="none" w:pos="6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inadvertent failure to discover such inability shall not invalidate any meeting or other action.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other agent of the Corporation that the notice has been given shall, in the absence of fraud, be prima facie evidence of the facts stated therein.</w:t>
      </w:r>
    </w:p>
    <w:p>
      <w:pPr>
        <w:spacing w:after="0" w:line="144" w:lineRule="exact"/>
        <w:rPr>
          <w:sz w:val="20"/>
          <w:szCs w:val="20"/>
          <w:color w:val="auto"/>
        </w:rPr>
      </w:pPr>
    </w:p>
    <w:p>
      <w:pPr>
        <w:ind w:left="4320"/>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Article IX</w:t>
      </w:r>
      <w:r>
        <w:rPr>
          <w:sz w:val="20"/>
          <w:szCs w:val="20"/>
          <w:color w:val="auto"/>
        </w:rPr>
        <w:tab/>
      </w:r>
      <w:r>
        <w:rPr>
          <w:rFonts w:ascii="Times New Roman" w:cs="Times New Roman" w:eastAsia="Times New Roman" w:hAnsi="Times New Roman"/>
          <w:sz w:val="18"/>
          <w:szCs w:val="18"/>
          <w:b w:val="1"/>
          <w:bCs w:val="1"/>
          <w:color w:val="auto"/>
        </w:rPr>
        <w:t>- Indemnification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joint venture, trust, enterprise or non-profit entity, including service with respect to employee benefit plans, against all liability and loss suffered and expenses (including, without limitation, attorneys’ fees, judgments, fines, ERISA excise taxes or penalties, and amounts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00" w:right="339" w:bottom="1440" w:gutter="0" w:footer="0" w:header="0"/>
        </w:sectPr>
      </w:pPr>
    </w:p>
    <w:bookmarkStart w:id="86" w:name="page87"/>
    <w:bookmarkEnd w:id="8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settlement) reasonably incurred by such person in connection with any such Proceeding. Notwithstanding the preceding sentence, except as otherwise provided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the Corporation shall be required to indemnify a person in connection with a Proceeding initiated by such person only if the Proceeding was authorized in the specific case by the Board.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Indemnification of Others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u w:val="single" w:color="auto"/>
          <w:color w:val="auto"/>
        </w:rPr>
        <w:t>Prepayment of Expenses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shall to the fullest extent not prohibited by applicable law pay the expenses (including, without limitation, attorneys’ fees) incurred by any covered person, and may also pay the expenses incurred by any employee or agent of the Corporation,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payment of expenses in advance of the final disposition of the Proceeding shall be made only upon receipt of an undertaking by the person to repay all amounts advanced if it should be ultimately determined that the person is not entitled to be indemnified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Determination; Claim</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a claim for indemnification (following the final disposition of such Proceeding)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not paid in full within sixty (60) days, or a claim for advancement of expenses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rights conferred on any person by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not be exclusive of any other rights which such person may have or hereafter acquire under any statute, provision of the Certificate of Incorporation, these bylaws, agreement, vote of stockholders or disinterested directors or otherwise.</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u w:val="single" w:color="auto"/>
          <w:color w:val="auto"/>
        </w:rPr>
        <w:t>Other Indemnification</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7" w:right="339" w:bottom="1440" w:gutter="0" w:footer="0" w:header="0"/>
        </w:sectPr>
      </w:pPr>
    </w:p>
    <w:bookmarkStart w:id="87" w:name="page88"/>
    <w:bookmarkEnd w:id="87"/>
    <w:p>
      <w:pPr>
        <w:jc w:val="both"/>
        <w:spacing w:after="0" w:line="282" w:lineRule="auto"/>
        <w:rPr>
          <w:sz w:val="20"/>
          <w:szCs w:val="20"/>
          <w:color w:val="auto"/>
        </w:rPr>
      </w:pPr>
      <w:r>
        <w:rPr>
          <w:rFonts w:ascii="Times New Roman" w:cs="Times New Roman" w:eastAsia="Times New Roman" w:hAnsi="Times New Roman"/>
          <w:sz w:val="18"/>
          <w:szCs w:val="18"/>
          <w:color w:val="auto"/>
        </w:rPr>
        <w:t>non-profit entity shall be reduced by any amount such person actually collects as indemnification or advancement of expenses from such other corporation, partnership, joint venture, trust, enterprise or non-profit enterprise.</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u w:val="single" w:color="auto"/>
          <w:color w:val="auto"/>
        </w:rPr>
        <w:t>Continuation of Indemnification</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rights to indemnification and to prepayment of expenses provided by, or granted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distributees of such person.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u w:val="single" w:color="auto"/>
          <w:color w:val="auto"/>
        </w:rPr>
        <w:t>Amendment or Repeal; Interpretation</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Corporation intends to be legally bound to each such current or former director or officer of the Corporation. With respect to current and former directors and officers of the Corporation, the rights conferred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reference to an officer of the Corporation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deemed to refer exclusively to the Chief Executive Officer, the President and the Secretary of the Corporation, or other officer of the Corporation appointed by (x) the Board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or (y) an officer to whom the Board has delegated the power to appoint officers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442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Article X</w:t>
      </w:r>
      <w:r>
        <w:rPr>
          <w:sz w:val="20"/>
          <w:szCs w:val="20"/>
          <w:color w:val="auto"/>
        </w:rPr>
        <w:tab/>
      </w:r>
      <w:r>
        <w:rPr>
          <w:rFonts w:ascii="Times New Roman" w:cs="Times New Roman" w:eastAsia="Times New Roman" w:hAnsi="Times New Roman"/>
          <w:sz w:val="17"/>
          <w:szCs w:val="17"/>
          <w:b w:val="1"/>
          <w:bCs w:val="1"/>
          <w:color w:val="auto"/>
        </w:rPr>
        <w:t>- Amendments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162" w:lineRule="exact"/>
        <w:rPr>
          <w:sz w:val="20"/>
          <w:szCs w:val="20"/>
          <w:color w:val="auto"/>
        </w:rPr>
      </w:pPr>
    </w:p>
    <w:p>
      <w:pPr>
        <w:ind w:left="4300"/>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Article XI</w:t>
      </w:r>
      <w:r>
        <w:rPr>
          <w:sz w:val="20"/>
          <w:szCs w:val="20"/>
          <w:color w:val="auto"/>
        </w:rPr>
        <w:tab/>
      </w:r>
      <w:r>
        <w:rPr>
          <w:rFonts w:ascii="Times New Roman" w:cs="Times New Roman" w:eastAsia="Times New Roman" w:hAnsi="Times New Roman"/>
          <w:sz w:val="18"/>
          <w:szCs w:val="18"/>
          <w:b w:val="1"/>
          <w:bCs w:val="1"/>
          <w:color w:val="auto"/>
        </w:rPr>
        <w:t>- Forum Selection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(or, in the event that the Chancery Court does not have jurisdiction,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88" w:name="page89"/>
    <w:bookmarkEnd w:id="8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federal district court for the District of Delaware or other state courts of the State of Delaware) shall, to the fullest extent permitted by law, be the sole and exclusive forum for (i) any derivative Proceeding brought on behalf of the Corporation, (ii) any Proceeding asserting a claim of breach of a fiduciary duty owed by any director, officer or stockholder of the Corporation to the Corporation or to the Corporation’s stockholders, (iii) any Proceeding arising pursuant to any provision of the DGCL or the Certificate of Incorporation or these bylaws (as either may be amended from time to time) or (iv) any Proceeding asserting a claim against the Corporation governed by the internal affairs doctrine; and (b) subject to the preceding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federal district courts of the United States of America shall be the exclusive forum for the resolution of any complaint asserting a cause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If any action the subject matter of which is within the scope of clause (b) of the immediately preceding sentence is filed in a court other than the federal district courts of the United States of America (a “</w:t>
      </w:r>
      <w:r>
        <w:rPr>
          <w:rFonts w:ascii="Times New Roman" w:cs="Times New Roman" w:eastAsia="Times New Roman" w:hAnsi="Times New Roman"/>
          <w:sz w:val="18"/>
          <w:szCs w:val="18"/>
          <w:u w:val="single" w:color="auto"/>
          <w:color w:val="auto"/>
        </w:rPr>
        <w:t>Foreign Securities Act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federal district courts of the United States of America in connection with any action brought in any such court to enforce clause (b) (a “</w:t>
      </w:r>
      <w:r>
        <w:rPr>
          <w:rFonts w:ascii="Times New Roman" w:cs="Times New Roman" w:eastAsia="Times New Roman" w:hAnsi="Times New Roman"/>
          <w:sz w:val="18"/>
          <w:szCs w:val="18"/>
          <w:u w:val="single" w:color="auto"/>
          <w:color w:val="auto"/>
        </w:rPr>
        <w:t>Securities Act Enforcement Action</w:t>
      </w:r>
      <w:r>
        <w:rPr>
          <w:rFonts w:ascii="Times New Roman" w:cs="Times New Roman" w:eastAsia="Times New Roman" w:hAnsi="Times New Roman"/>
          <w:sz w:val="18"/>
          <w:szCs w:val="18"/>
          <w:color w:val="auto"/>
        </w:rPr>
        <w:t>”), and (ii) having service of process made upon such stockholder in any such Securities Act Enforcement Action by service upon such stockholder’s counsel in the Foreign Securities Act Action as agent for such stockholder.</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Any person or entity purchasing or otherwise acquiring any interest in any security of the Corporation shall be deemed to have notice of and consented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Notwithstanding the foregoing,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not apply to suits brought to enforce any liability or duty created by the Securities Exchange Act of 1934, as amended, or any other claim for which the federal courts of the United States have exclusive jurisdiction.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any provision or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(including, without limitation, each portion of any paragraph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166" w:lineRule="exact"/>
        <w:rPr>
          <w:sz w:val="20"/>
          <w:szCs w:val="20"/>
          <w:color w:val="auto"/>
        </w:rPr>
      </w:pPr>
    </w:p>
    <w:p>
      <w:pPr>
        <w:ind w:left="450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Article XII</w:t>
      </w:r>
      <w:r>
        <w:rPr>
          <w:sz w:val="20"/>
          <w:szCs w:val="20"/>
          <w:color w:val="auto"/>
        </w:rPr>
        <w:tab/>
      </w:r>
      <w:r>
        <w:rPr>
          <w:rFonts w:ascii="Times New Roman" w:cs="Times New Roman" w:eastAsia="Times New Roman" w:hAnsi="Times New Roman"/>
          <w:sz w:val="17"/>
          <w:szCs w:val="17"/>
          <w:b w:val="1"/>
          <w:bCs w:val="1"/>
          <w:color w:val="auto"/>
        </w:rPr>
        <w:t>- Definitions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w:t>
      </w:r>
      <w:r>
        <w:rPr>
          <w:rFonts w:ascii="Times New Roman" w:cs="Times New Roman" w:eastAsia="Times New Roman" w:hAnsi="Times New Roman"/>
          <w:sz w:val="18"/>
          <w:szCs w:val="18"/>
          <w:u w:val="single" w:color="auto"/>
          <w:color w:val="auto"/>
        </w:rPr>
        <w:t>local part</w:t>
      </w:r>
      <w:r>
        <w:rPr>
          <w:rFonts w:ascii="Times New Roman" w:cs="Times New Roman" w:eastAsia="Times New Roman" w:hAnsi="Times New Roman"/>
          <w:sz w:val="18"/>
          <w:szCs w:val="18"/>
          <w:color w:val="auto"/>
        </w:rPr>
        <w:t>” of the address) and a reference to an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domain (commonly referred to as the “</w:t>
      </w:r>
      <w:r>
        <w:rPr>
          <w:rFonts w:ascii="Times New Roman" w:cs="Times New Roman" w:eastAsia="Times New Roman" w:hAnsi="Times New Roman"/>
          <w:sz w:val="18"/>
          <w:szCs w:val="18"/>
          <w:u w:val="single" w:color="auto"/>
          <w:color w:val="auto"/>
        </w:rPr>
        <w:t>domain part</w:t>
      </w:r>
      <w:r>
        <w:rPr>
          <w:rFonts w:ascii="Times New Roman" w:cs="Times New Roman" w:eastAsia="Times New Roman" w:hAnsi="Times New Roman"/>
          <w:sz w:val="18"/>
          <w:szCs w:val="18"/>
          <w:color w:val="auto"/>
        </w:rPr>
        <w:t>” of the address), whether or not displayed, to which electronic mail can be sent or delivered.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7"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 and Restatement of Bylaws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certifies that he is the duly elected, qualified, and acting Secretary of Cipher Mining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that the foregoing bylaws were approved on October 30, 2025, effective as of October 30, 2025, by the Corporation’s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set his hand this 30th day of October, 2025.</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Will Iwaschuk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9156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Will Iwaschuk</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Co-President &amp; Chief Legal Officer</w:t>
      </w:r>
    </w:p>
    <w:p>
      <w:pPr>
        <w:sectPr>
          <w:pgSz w:w="11900" w:h="16838" w:orient="portrait"/>
          <w:cols w:equalWidth="0" w:num="1">
            <w:col w:w="11240"/>
          </w:cols>
          <w:pgMar w:left="320" w:top="141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52" w:lineRule="exact"/>
        <w:rPr>
          <w:sz w:val="20"/>
          <w:szCs w:val="20"/>
          <w:color w:val="auto"/>
        </w:rPr>
      </w:pPr>
    </w:p>
    <w:p>
      <w:pPr>
        <w:ind w:left="1140" w:hanging="113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65" w:lineRule="exact"/>
        <w:rPr>
          <w:rFonts w:ascii="Times New Roman" w:cs="Times New Roman" w:eastAsia="Times New Roman" w:hAnsi="Times New Roman"/>
          <w:sz w:val="18"/>
          <w:szCs w:val="18"/>
          <w:color w:val="auto"/>
        </w:rPr>
      </w:pPr>
    </w:p>
    <w:p>
      <w:pPr>
        <w:ind w:left="1140" w:right="100" w:hanging="1132"/>
        <w:spacing w:after="0" w:line="305"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1140" w:right="380" w:hanging="1132"/>
        <w:spacing w:after="0" w:line="362" w:lineRule="auto"/>
        <w:tabs>
          <w:tab w:leader="none" w:pos="11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1140" w:hanging="113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49" w:lineRule="exact"/>
        <w:rPr>
          <w:rFonts w:ascii="Times New Roman" w:cs="Times New Roman" w:eastAsia="Times New Roman" w:hAnsi="Times New Roman"/>
          <w:sz w:val="18"/>
          <w:szCs w:val="18"/>
          <w:color w:val="auto"/>
        </w:rPr>
      </w:pPr>
    </w:p>
    <w:p>
      <w:pPr>
        <w:ind w:left="1140"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305" w:lineRule="auto"/>
        <w:tabs>
          <w:tab w:leader="none" w:pos="227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2280" w:right="440" w:hanging="1138"/>
        <w:spacing w:after="0" w:line="338" w:lineRule="auto"/>
        <w:tabs>
          <w:tab w:leader="none" w:pos="227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7"/>
          <w:szCs w:val="17"/>
          <w:color w:val="auto"/>
        </w:rPr>
      </w:pPr>
    </w:p>
    <w:p>
      <w:pPr>
        <w:ind w:left="2280" w:hanging="1138"/>
        <w:spacing w:after="0"/>
        <w:tabs>
          <w:tab w:leader="none" w:pos="22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49" w:lineRule="exact"/>
        <w:rPr>
          <w:rFonts w:ascii="Times New Roman" w:cs="Times New Roman" w:eastAsia="Times New Roman" w:hAnsi="Times New Roman"/>
          <w:sz w:val="18"/>
          <w:szCs w:val="18"/>
          <w:color w:val="auto"/>
        </w:rPr>
      </w:pPr>
    </w:p>
    <w:p>
      <w:pPr>
        <w:ind w:left="2280" w:righ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305" w:lineRule="auto"/>
        <w:tabs>
          <w:tab w:leader="none" w:pos="22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w:t>
      </w:r>
    </w:p>
    <w:p>
      <w:pPr>
        <w:spacing w:after="0" w:line="49" w:lineRule="exact"/>
        <w:rPr>
          <w:rFonts w:ascii="Times New Roman" w:cs="Times New Roman" w:eastAsia="Times New Roman" w:hAnsi="Times New Roman"/>
          <w:sz w:val="18"/>
          <w:szCs w:val="18"/>
          <w:color w:val="auto"/>
        </w:rPr>
      </w:pPr>
    </w:p>
    <w:p>
      <w:pPr>
        <w:ind w:left="1140"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305" w:lineRule="auto"/>
        <w:tabs>
          <w:tab w:leader="none" w:pos="227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41" w:right="339" w:bottom="1440" w:gutter="0" w:footer="0" w:header="0"/>
        </w:sectPr>
      </w:pPr>
    </w:p>
    <w:bookmarkStart w:id="92" w:name="page93"/>
    <w:bookmarkEnd w:id="92"/>
    <w:p>
      <w:pPr>
        <w:ind w:left="2260" w:hanging="1138"/>
        <w:spacing w:after="0" w:line="329" w:lineRule="auto"/>
        <w:tabs>
          <w:tab w:leader="none" w:pos="22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5640" w:val="left"/>
          <w:tab w:leader="none" w:pos="814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51435</wp:posOffset>
            </wp:positionV>
            <wp:extent cx="32404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15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600"/>
          </w:cols>
          <w:pgMar w:left="340" w:top="1161" w:right="95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Mumford, certify that:</w:t>
      </w:r>
    </w:p>
    <w:p>
      <w:pPr>
        <w:spacing w:after="0" w:line="252" w:lineRule="exact"/>
        <w:rPr>
          <w:sz w:val="20"/>
          <w:szCs w:val="20"/>
          <w:color w:val="auto"/>
        </w:rPr>
      </w:pPr>
    </w:p>
    <w:p>
      <w:pPr>
        <w:ind w:left="1140" w:hanging="113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65" w:lineRule="exact"/>
        <w:rPr>
          <w:rFonts w:ascii="Times New Roman" w:cs="Times New Roman" w:eastAsia="Times New Roman" w:hAnsi="Times New Roman"/>
          <w:sz w:val="18"/>
          <w:szCs w:val="18"/>
          <w:color w:val="auto"/>
        </w:rPr>
      </w:pPr>
    </w:p>
    <w:p>
      <w:pPr>
        <w:ind w:left="1140" w:right="100" w:hanging="1132"/>
        <w:spacing w:after="0" w:line="305"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1140" w:right="380" w:hanging="1132"/>
        <w:spacing w:after="0" w:line="362" w:lineRule="auto"/>
        <w:tabs>
          <w:tab w:leader="none" w:pos="11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1140" w:hanging="113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49" w:lineRule="exact"/>
        <w:rPr>
          <w:rFonts w:ascii="Times New Roman" w:cs="Times New Roman" w:eastAsia="Times New Roman" w:hAnsi="Times New Roman"/>
          <w:sz w:val="18"/>
          <w:szCs w:val="18"/>
          <w:color w:val="auto"/>
        </w:rPr>
      </w:pPr>
    </w:p>
    <w:p>
      <w:pPr>
        <w:ind w:left="1140"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305" w:lineRule="auto"/>
        <w:tabs>
          <w:tab w:leader="none" w:pos="22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2280" w:right="440" w:hanging="1138"/>
        <w:spacing w:after="0" w:line="338" w:lineRule="auto"/>
        <w:tabs>
          <w:tab w:leader="none" w:pos="2274"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7"/>
          <w:szCs w:val="17"/>
          <w:color w:val="auto"/>
        </w:rPr>
      </w:pPr>
    </w:p>
    <w:p>
      <w:pPr>
        <w:ind w:left="2280" w:hanging="1138"/>
        <w:spacing w:after="0"/>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49" w:lineRule="exact"/>
        <w:rPr>
          <w:rFonts w:ascii="Times New Roman" w:cs="Times New Roman" w:eastAsia="Times New Roman" w:hAnsi="Times New Roman"/>
          <w:sz w:val="18"/>
          <w:szCs w:val="18"/>
          <w:color w:val="auto"/>
        </w:rPr>
      </w:pPr>
    </w:p>
    <w:p>
      <w:pPr>
        <w:ind w:left="2280" w:righ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305" w:lineRule="auto"/>
        <w:tabs>
          <w:tab w:leader="none" w:pos="22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w:t>
      </w:r>
    </w:p>
    <w:p>
      <w:pPr>
        <w:spacing w:after="0" w:line="49" w:lineRule="exact"/>
        <w:rPr>
          <w:rFonts w:ascii="Times New Roman" w:cs="Times New Roman" w:eastAsia="Times New Roman" w:hAnsi="Times New Roman"/>
          <w:sz w:val="18"/>
          <w:szCs w:val="18"/>
          <w:color w:val="auto"/>
        </w:rPr>
      </w:pPr>
    </w:p>
    <w:p>
      <w:pPr>
        <w:ind w:left="1140"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305" w:lineRule="auto"/>
        <w:tabs>
          <w:tab w:leader="none" w:pos="22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41" w:right="339" w:bottom="1440" w:gutter="0" w:footer="0" w:header="0"/>
        </w:sectPr>
      </w:pPr>
    </w:p>
    <w:bookmarkStart w:id="94" w:name="page95"/>
    <w:bookmarkEnd w:id="94"/>
    <w:p>
      <w:pPr>
        <w:ind w:left="2260" w:hanging="1138"/>
        <w:spacing w:after="0" w:line="329" w:lineRule="auto"/>
        <w:tabs>
          <w:tab w:leader="none" w:pos="22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51435</wp:posOffset>
            </wp:positionV>
            <wp:extent cx="32404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15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600"/>
          </w:cols>
          <w:pgMar w:left="340" w:top="1161" w:right="9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right="40" w:firstLine="1134"/>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Mining Inc. (the “Company”) for the period ended September 30, 2025 as filed with the Securities and Exchange Commission on the date hereof (the “Report”), I, Tyler Page, principal executive officer, certify, pursuant to 18 U.S.C. § 1350, as adopted pursuant to § 906 of the Sarbanes-Oxley Act of 2002, that to the best of my knowledge:</w:t>
      </w:r>
    </w:p>
    <w:p>
      <w:pPr>
        <w:spacing w:after="0" w:line="169" w:lineRule="exact"/>
        <w:rPr>
          <w:sz w:val="20"/>
          <w:szCs w:val="20"/>
          <w:color w:val="auto"/>
        </w:rPr>
      </w:pPr>
    </w:p>
    <w:p>
      <w:pPr>
        <w:ind w:left="2260" w:hanging="1118"/>
        <w:spacing w:after="0"/>
        <w:tabs>
          <w:tab w:leader="none" w:pos="2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280" w:right="560" w:hanging="1138"/>
        <w:spacing w:after="0" w:line="313" w:lineRule="auto"/>
        <w:tabs>
          <w:tab w:leader="none" w:pos="2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4" w:lineRule="exact"/>
        <w:rPr>
          <w:sz w:val="20"/>
          <w:szCs w:val="20"/>
          <w:color w:val="auto"/>
        </w:rPr>
      </w:pPr>
    </w:p>
    <w:p>
      <w:pPr>
        <w:ind w:left="20"/>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51435</wp:posOffset>
            </wp:positionV>
            <wp:extent cx="32404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15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134"/>
        <w:spacing w:after="0" w:line="329"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305"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94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right="40" w:firstLine="1134"/>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Mining Inc. (the “Company”) for the period ended September 30, 2025 as filed with the Securities and Exchange Commission on the date hereof (the “Report”), I, Edward Farrell, principal financial officer, certify, pursuant to 18 U.S.C. § 1350, as adopted pursuant to § 906 of the Sarbanes-Oxley Act of 2002, that to the best of my knowledge:</w:t>
      </w:r>
    </w:p>
    <w:p>
      <w:pPr>
        <w:spacing w:after="0" w:line="169" w:lineRule="exact"/>
        <w:rPr>
          <w:sz w:val="20"/>
          <w:szCs w:val="20"/>
          <w:color w:val="auto"/>
        </w:rPr>
      </w:pPr>
    </w:p>
    <w:p>
      <w:pPr>
        <w:ind w:left="2260" w:hanging="1118"/>
        <w:spacing w:after="0"/>
        <w:tabs>
          <w:tab w:leader="none" w:pos="2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280" w:right="560" w:hanging="1138"/>
        <w:spacing w:after="0" w:line="313" w:lineRule="auto"/>
        <w:tabs>
          <w:tab w:leader="none" w:pos="2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4"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November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51435</wp:posOffset>
            </wp:positionV>
            <wp:extent cx="32404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15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134"/>
        <w:spacing w:after="0" w:line="329"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305"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6"/>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Letter"/>
      <w:start w:val="2"/>
    </w:lvl>
  </w:abstractNum>
  <w:abstractNum w:abstractNumId="15">
    <w:nsid w:val="22221A70"/>
    <w:multiLevelType w:val="hybridMultilevel"/>
    <w:lvl w:ilvl="0">
      <w:lvlJc w:val="left"/>
      <w:lvlText w:val="%1"/>
      <w:numFmt w:val="decimal"/>
      <w:start w:val="104"/>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9"/>
    </w:lvl>
  </w:abstractNum>
  <w:abstractNum w:abstractNumId="21">
    <w:nsid w:val="440BADFC"/>
    <w:multiLevelType w:val="hybridMultilevel"/>
    <w:lvl w:ilvl="0">
      <w:lvlJc w:val="left"/>
      <w:lvlText w:val="%1"/>
      <w:numFmt w:val="lowerRoman"/>
      <w:start w:val="1"/>
    </w:lvl>
    <w:lvl w:ilvl="1">
      <w:lvlJc w:val="left"/>
      <w:lvlText w:val="(%2)"/>
      <w:numFmt w:val="lowerRoman"/>
      <w:start w:val="2"/>
    </w:lvl>
  </w:abstractNum>
  <w:abstractNum w:abstractNumId="22">
    <w:nsid w:val="5072367"/>
    <w:multiLevelType w:val="hybridMultilevel"/>
    <w:lvl w:ilvl="0">
      <w:lvlJc w:val="left"/>
      <w:lvlText w:val="(%1)"/>
      <w:numFmt w:val="lowerRoman"/>
      <w:start w:val="3"/>
    </w:lvl>
    <w:lvl w:ilvl="1">
      <w:lvlJc w:val="left"/>
      <w:lvlText w:val="(%2)"/>
      <w:numFmt w:val="lowerRoman"/>
      <w:start w:val="1"/>
    </w:lvl>
  </w:abstractNum>
  <w:abstractNum w:abstractNumId="23">
    <w:nsid w:val="3804823E"/>
    <w:multiLevelType w:val="hybridMultilevel"/>
    <w:lvl w:ilvl="0">
      <w:lvlJc w:val="left"/>
      <w:lvlText w:val="(%1)"/>
      <w:numFmt w:val="lowerRoman"/>
      <w:start w:val="4"/>
    </w:lvl>
  </w:abstractNum>
  <w:abstractNum w:abstractNumId="24">
    <w:nsid w:val="77465F01"/>
    <w:multiLevelType w:val="hybridMultilevel"/>
    <w:lvl w:ilvl="0">
      <w:lvlJc w:val="left"/>
      <w:lvlText w:val="(%1)"/>
      <w:numFmt w:val="lowerLetter"/>
      <w:start w:val="4"/>
    </w:lvl>
  </w:abstractNum>
  <w:abstractNum w:abstractNumId="25">
    <w:nsid w:val="7724C67E"/>
    <w:multiLevelType w:val="hybridMultilevel"/>
    <w:lvl w:ilvl="0">
      <w:lvlJc w:val="left"/>
      <w:lvlText w:val="(%1)"/>
      <w:numFmt w:val="lowerLetter"/>
      <w:start w:val="7"/>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Roman"/>
      <w:start w:val="1"/>
    </w:lvl>
  </w:abstractNum>
  <w:abstractNum w:abstractNumId="28">
    <w:nsid w:val="5E884AD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9">
    <w:nsid w:val="51EAD36B"/>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9"/>
    </w:lvl>
  </w:abstractNum>
  <w:abstractNum w:abstractNumId="30">
    <w:nsid w:val="2D517796"/>
    <w:multiLevelType w:val="hybridMultilevel"/>
    <w:lvl w:ilvl="0">
      <w:lvlJc w:val="left"/>
      <w:lvlText w:val="(%1)"/>
      <w:numFmt w:val="lowerRoman"/>
      <w:start w:val="2"/>
    </w:lvl>
  </w:abstractNum>
  <w:abstractNum w:abstractNumId="31">
    <w:nsid w:val="580BD78F"/>
    <w:multiLevelType w:val="hybridMultilevel"/>
    <w:lvl w:ilvl="0">
      <w:lvlJc w:val="left"/>
      <w:lvlText w:val="(%1)"/>
      <w:numFmt w:val="lowerLetter"/>
      <w:start w:val="4"/>
    </w:lvl>
  </w:abstractNum>
  <w:abstractNum w:abstractNumId="32">
    <w:nsid w:val="153EA438"/>
    <w:multiLevelType w:val="hybridMultilevel"/>
    <w:lvl w:ilvl="0">
      <w:lvlJc w:val="left"/>
      <w:lvlText w:val="(%1)"/>
      <w:numFmt w:val="lowerLetter"/>
      <w:start w:val="5"/>
    </w:lvl>
  </w:abstractNum>
  <w:abstractNum w:abstractNumId="33">
    <w:nsid w:val="3855585C"/>
    <w:multiLevelType w:val="hybridMultilevel"/>
    <w:lvl w:ilvl="0">
      <w:lvlJc w:val="left"/>
      <w:lvlText w:val="(%1)"/>
      <w:numFmt w:val="lowerLetter"/>
      <w:start w:val="8"/>
    </w:lvl>
  </w:abstractNum>
  <w:abstractNum w:abstractNumId="34">
    <w:nsid w:val="70A64E2A"/>
    <w:multiLevelType w:val="hybridMultilevel"/>
    <w:lvl w:ilvl="0">
      <w:lvlJc w:val="left"/>
      <w:lvlText w:val="(%1)"/>
      <w:numFmt w:val="lowerRoman"/>
      <w:start w:val="1"/>
    </w:lvl>
  </w:abstractNum>
  <w:abstractNum w:abstractNumId="35">
    <w:nsid w:val="6A2342EC"/>
    <w:multiLevelType w:val="hybridMultilevel"/>
    <w:lvl w:ilvl="0">
      <w:lvlJc w:val="left"/>
      <w:lvlText w:val="(%1)"/>
      <w:numFmt w:val="lowerLetter"/>
      <w:start w:val="11"/>
    </w:lvl>
  </w:abstractNum>
  <w:abstractNum w:abstractNumId="36">
    <w:nsid w:val="2A487CB0"/>
    <w:multiLevelType w:val="hybridMultilevel"/>
    <w:lvl w:ilvl="0">
      <w:lvlJc w:val="left"/>
      <w:lvlText w:val="(%1)"/>
      <w:numFmt w:val="lowerRoman"/>
      <w:start w:val="1"/>
    </w:lvl>
  </w:abstractNum>
  <w:abstractNum w:abstractNumId="37">
    <w:nsid w:val="1D4ED43B"/>
    <w:multiLevelType w:val="hybridMultilevel"/>
    <w:lvl w:ilvl="0">
      <w:lvlJc w:val="left"/>
      <w:lvlText w:val="(%1)"/>
      <w:numFmt w:val="lowerRoman"/>
      <w:start w:val="5"/>
    </w:lvl>
  </w:abstractNum>
  <w:abstractNum w:abstractNumId="38">
    <w:nsid w:val="725A06FB"/>
    <w:multiLevelType w:val="hybridMultilevel"/>
    <w:lvl w:ilvl="0">
      <w:lvlJc w:val="left"/>
      <w:lvlText w:val="(%1)"/>
      <w:numFmt w:val="lowerRoman"/>
      <w:start w:val="1"/>
    </w:lvl>
  </w:abstractNum>
  <w:abstractNum w:abstractNumId="39">
    <w:nsid w:val="2CD89A32"/>
    <w:multiLevelType w:val="hybridMultilevel"/>
    <w:lvl w:ilvl="0">
      <w:lvlJc w:val="left"/>
      <w:lvlText w:val="(%1)"/>
      <w:numFmt w:val="lowerRoman"/>
      <w:start w:val="1"/>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lowerRoman"/>
      <w:start w:val="1"/>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lowerLetter"/>
      <w:start w:val="2"/>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25" Type="http://schemas.openxmlformats.org/officeDocument/2006/relationships/hyperlink" Target="https://www.sec.gov/Archives/edgar/data/0001819989/000121390021013594/ea136931ex2-1_goodworks.htm" TargetMode="External"/><Relationship Id="rId126" Type="http://schemas.openxmlformats.org/officeDocument/2006/relationships/hyperlink" Target="https://www.sec.gov/Archives/edgar/data/1819989/000119312521260900/d212090dex31.htm" TargetMode="External"/><Relationship Id="rId127" Type="http://schemas.openxmlformats.org/officeDocument/2006/relationships/hyperlink" Target="https://www.sec.gov/Archives/edgar/data/1819989/000121390020030737/ea128022ex4-3_goodworks.htm" TargetMode="External"/><Relationship Id="rId128" Type="http://schemas.openxmlformats.org/officeDocument/2006/relationships/hyperlink" Target="https://www.sec.gov/Archives/edgar/data/1819989/000121390020033703/ea128955ex4-1_goodworksacq.htm" TargetMode="External"/><Relationship Id="rId129" Type="http://schemas.openxmlformats.org/officeDocument/2006/relationships/hyperlink" Target="https://www.sec.gov/Archives/edgar/data/1819989/000119312525125152/d86394dex41.htm" TargetMode="External"/><Relationship Id="rId130" Type="http://schemas.openxmlformats.org/officeDocument/2006/relationships/hyperlink" Target="https://www.sec.gov/Archives/edgar/data/1819989/000119312525125152/d86394dex42.htm" TargetMode="External"/><Relationship Id="rId131" Type="http://schemas.openxmlformats.org/officeDocument/2006/relationships/hyperlink" Target="https://www.sec.gov/Archives/edgar/data/1819989/000095010325012168/dp234624_ex0401.htm" TargetMode="External"/><Relationship Id="rId132" Type="http://schemas.openxmlformats.org/officeDocument/2006/relationships/hyperlink" Target="https://www.sec.gov/Archives/edgar/data/1819989/000119312525225645/d52925dex41.htm" TargetMode="External"/><Relationship Id="rId133" Type="http://schemas.openxmlformats.org/officeDocument/2006/relationships/hyperlink" Target="https://www.sec.gov/Archives/edgar/data/1819989/000119312525225645/d52925dex42.htm" TargetMode="External"/><Relationship Id="rId134" Type="http://schemas.openxmlformats.org/officeDocument/2006/relationships/hyperlink" Target="https://www.sec.gov/Archives/edgar/data/1819989/000095010325012168/dp234624_ex1001.htm" TargetMode="External"/><Relationship Id="rId135" Type="http://schemas.openxmlformats.org/officeDocument/2006/relationships/hyperlink" Target="https://www.sec.gov/Archives/edgar/data/1819989/000119312525225645/d5292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2025-11-03T08:13:29Z</dcterms:created>
  <dcterms:modified xsi:type="dcterms:W3CDTF">2025-11-03T08:13:29Z</dcterms:modified>
</cp:coreProperties>
</file>