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0"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Digital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20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96"/>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2"/>
                <w:szCs w:val="22"/>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3"/>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8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30"/>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56"/>
        </w:trPr>
        <w:tc>
          <w:tcPr>
            <w:tcW w:w="22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30, 2026, the registrant had 456,365,113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10160</wp:posOffset>
            </wp:positionV>
            <wp:extent cx="7063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35560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650875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3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 and Stockholders' Equity</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(Deficit)</w:t>
            </w:r>
          </w:p>
        </w:tc>
        <w:tc>
          <w:tcPr>
            <w:tcW w:w="7560" w:type="dxa"/>
            <w:vAlign w:val="bottom"/>
            <w:tcBorders>
              <w:top w:val="single" w:sz="8" w:color="0000FF"/>
            </w:tcBorders>
            <w:gridSpan w:val="16"/>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6"/>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gridSpan w:val="2"/>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520" w:type="dxa"/>
            <w:vAlign w:val="bottom"/>
            <w:gridSpan w:val="2"/>
            <w:vMerge w:val="continue"/>
          </w:tcPr>
          <w:p>
            <w:pPr>
              <w:spacing w:after="0"/>
              <w:rPr>
                <w:sz w:val="24"/>
                <w:szCs w:val="24"/>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53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2"/>
                <w:szCs w:val="22"/>
                <w:color w:val="auto"/>
              </w:rPr>
            </w:pPr>
          </w:p>
        </w:tc>
        <w:tc>
          <w:tcPr>
            <w:tcW w:w="6960" w:type="dxa"/>
            <w:vAlign w:val="bottom"/>
            <w:gridSpan w:val="13"/>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Industry and Operations</w:t>
      </w:r>
    </w:p>
    <w:p>
      <w:pPr>
        <w:spacing w:after="0" w:line="335" w:lineRule="exact"/>
        <w:rPr>
          <w:sz w:val="20"/>
          <w:szCs w:val="20"/>
          <w:color w:val="auto"/>
        </w:rPr>
      </w:pPr>
    </w:p>
    <w:p>
      <w:pPr>
        <w:ind w:left="1140" w:right="18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the construction of our HPC data centers in a timely manner or within our anticipated cost estimates, it could have a material adverse effect on our business, results of operations, liquidity and our ability to make payments on our outstanding indebtedness.</w:t>
      </w:r>
    </w:p>
    <w:p>
      <w:pPr>
        <w:spacing w:after="0" w:line="28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exposed to construction risks, including risks arising from construction safety incidents.</w:t>
      </w:r>
    </w:p>
    <w:p>
      <w:pPr>
        <w:spacing w:after="0" w:line="198"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guarantees and other backstop arrangements under our HPC leases will only be effective after rent commencement under such leases and are subject to certain limitations, like event of default triggers or caps.</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HPC business strategy may not perform as planned.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demand for data centers.</w:t>
      </w:r>
    </w:p>
    <w:p>
      <w:pPr>
        <w:spacing w:after="0" w:line="198" w:lineRule="exact"/>
        <w:rPr>
          <w:rFonts w:ascii="Times New Roman" w:cs="Times New Roman" w:eastAsia="Times New Roman" w:hAnsi="Times New Roman"/>
          <w:sz w:val="18"/>
          <w:szCs w:val="18"/>
          <w:color w:val="auto"/>
        </w:rPr>
      </w:pPr>
    </w:p>
    <w:p>
      <w:pPr>
        <w:ind w:left="1140" w:right="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data centers for HPC hosting requires significant capital expenditures, and we may be unable to secure capital or financing for our construction efforts to develop data centers for HPC hosting.</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tariff, import/export restrictions, or other trade barriers may have an adverse impact on global economic conditions.</w:t>
      </w:r>
    </w:p>
    <w:p>
      <w:pPr>
        <w:spacing w:after="0" w:line="184"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harmed by increased costs to procure power, prolonged power outages, shortages or capacity constraints as well as insufficient access to power.</w:t>
      </w:r>
    </w:p>
    <w:p>
      <w:pPr>
        <w:spacing w:after="0" w:line="134"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physical or information technology or operational technology infrastructure or services could lead to significant costs and disruptions.</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tenants for our HPC data centers.</w:t>
      </w:r>
    </w:p>
    <w:p>
      <w:pPr>
        <w:spacing w:after="0" w:line="184"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business has grown rapidly and we have an evolving business model and strategy, which includes our diversification into constructing and operating data centers for HPC companies.</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1140" w:right="10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of AI technology, which represents a new and rapidly changing industry, is subject to a variety of factors that are difficult to evaluate. The slowing or stopping of the development of AI technology may adversely affect the demand for HPC-focused data center development and thus, adversely affect an investment in us.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ind w:left="800" w:right="400" w:hanging="484"/>
        <w:spacing w:after="0" w:line="266"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have a material adverse effect on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80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HPC data centers is energy-intensive, which may have a negative environmental impact. Changing environmental regulation and public energy policy may expose our business to new risks.</w:t>
      </w:r>
    </w:p>
    <w:p>
      <w:pPr>
        <w:spacing w:after="0" w:line="121" w:lineRule="exact"/>
        <w:rPr>
          <w:rFonts w:ascii="Times New Roman" w:cs="Times New Roman" w:eastAsia="Times New Roman" w:hAnsi="Times New Roman"/>
          <w:sz w:val="18"/>
          <w:szCs w:val="18"/>
          <w:color w:val="auto"/>
        </w:rPr>
      </w:pPr>
    </w:p>
    <w:p>
      <w:pPr>
        <w:ind w:left="800" w:right="56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our data centers located in Texas and changes in the regulatory environment, market conditions and natural disasters in Texas.</w:t>
      </w:r>
    </w:p>
    <w:p>
      <w:pPr>
        <w:spacing w:after="0" w:line="134" w:lineRule="exact"/>
        <w:rPr>
          <w:rFonts w:ascii="Times New Roman" w:cs="Times New Roman" w:eastAsia="Times New Roman" w:hAnsi="Times New Roman"/>
          <w:sz w:val="18"/>
          <w:szCs w:val="18"/>
          <w:color w:val="auto"/>
        </w:rPr>
      </w:pPr>
    </w:p>
    <w:p>
      <w:pPr>
        <w:ind w:left="800" w:right="160" w:hanging="484"/>
        <w:spacing w:after="0" w:line="266"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engineering, procurement and construction contractors, transmission and distribution utilities, grid operators, electric utility providers and manufacturers of certain critical and specialized equipment, and rely on skilled labor, components and raw materials that may be subject to price fluctuations or shortages.</w:t>
      </w:r>
    </w:p>
    <w:p>
      <w:pPr>
        <w:spacing w:after="0" w:line="135" w:lineRule="exact"/>
        <w:rPr>
          <w:rFonts w:ascii="Times New Roman" w:cs="Times New Roman" w:eastAsia="Times New Roman" w:hAnsi="Times New Roman"/>
          <w:sz w:val="18"/>
          <w:szCs w:val="18"/>
          <w:color w:val="auto"/>
        </w:rPr>
      </w:pPr>
    </w:p>
    <w:p>
      <w:pPr>
        <w:ind w:left="800" w:right="100" w:hanging="484"/>
        <w:spacing w:after="0" w:line="266"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35" w:lineRule="exact"/>
        <w:rPr>
          <w:rFonts w:ascii="Times New Roman" w:cs="Times New Roman" w:eastAsia="Times New Roman" w:hAnsi="Times New Roman"/>
          <w:sz w:val="18"/>
          <w:szCs w:val="18"/>
          <w:color w:val="auto"/>
        </w:rPr>
      </w:pPr>
    </w:p>
    <w:p>
      <w:pPr>
        <w:jc w:val="both"/>
        <w:ind w:left="800" w:right="700" w:hanging="484"/>
        <w:spacing w:after="0" w:line="312" w:lineRule="auto"/>
        <w:tabs>
          <w:tab w:leader="none" w:pos="7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third-party providers fail to protect our information technology systems, digital assets or confidential information, or experience cybersecurity incidents, our business, operating results, financial condition and reputation could be materially harmed.</w:t>
      </w:r>
    </w:p>
    <w:p>
      <w:pPr>
        <w:spacing w:after="0" w:line="112" w:lineRule="exact"/>
        <w:rPr>
          <w:rFonts w:ascii="Times New Roman" w:cs="Times New Roman" w:eastAsia="Times New Roman" w:hAnsi="Times New Roman"/>
          <w:sz w:val="17"/>
          <w:szCs w:val="17"/>
          <w:color w:val="auto"/>
        </w:rPr>
      </w:pPr>
    </w:p>
    <w:p>
      <w:pPr>
        <w:ind w:left="800" w:right="26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historically have been highly dependent on bitcoin and the Bitcoin ecosystem, which are volatile and subject to risks beyond our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HPC</w:t>
      </w:r>
    </w:p>
    <w:p>
      <w:pPr>
        <w:spacing w:after="0" w:line="187" w:lineRule="exact"/>
        <w:rPr>
          <w:sz w:val="20"/>
          <w:szCs w:val="20"/>
          <w:color w:val="auto"/>
        </w:rPr>
      </w:pPr>
    </w:p>
    <w:p>
      <w:pPr>
        <w:ind w:left="800" w:right="360" w:hanging="484"/>
        <w:spacing w:after="0" w:line="282"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could lead to unintended consequences and result in reputational harm and litigation.</w:t>
      </w:r>
    </w:p>
    <w:p>
      <w:pPr>
        <w:spacing w:after="0" w:line="134" w:lineRule="exact"/>
        <w:rPr>
          <w:rFonts w:ascii="Times New Roman" w:cs="Times New Roman" w:eastAsia="Times New Roman" w:hAnsi="Times New Roman"/>
          <w:sz w:val="18"/>
          <w:szCs w:val="18"/>
          <w:color w:val="auto"/>
        </w:rPr>
      </w:pPr>
    </w:p>
    <w:p>
      <w:pPr>
        <w:ind w:left="800" w:hanging="48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surrounding AI may negatively impact our HPC data center operations.</w:t>
      </w:r>
    </w:p>
    <w:p>
      <w:pPr>
        <w:spacing w:after="0" w:line="184" w:lineRule="exact"/>
        <w:rPr>
          <w:rFonts w:ascii="Times New Roman" w:cs="Times New Roman" w:eastAsia="Times New Roman" w:hAnsi="Times New Roman"/>
          <w:sz w:val="18"/>
          <w:szCs w:val="18"/>
          <w:color w:val="auto"/>
        </w:rPr>
      </w:pPr>
    </w:p>
    <w:p>
      <w:pPr>
        <w:ind w:left="800" w:right="100" w:hanging="484"/>
        <w:spacing w:after="0" w:line="266"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laws and regulations, including changes in government policies, permitting requirements or land use regulations resulting from community opposition to data center development, or our failure to comply with, any applicable laws and regulations could adversely affect our business, reputation, prospects or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Regulatory Framework</w:t>
      </w:r>
    </w:p>
    <w:p>
      <w:pPr>
        <w:spacing w:after="0" w:line="200" w:lineRule="exact"/>
        <w:rPr>
          <w:sz w:val="20"/>
          <w:szCs w:val="20"/>
          <w:color w:val="auto"/>
        </w:rPr>
      </w:pPr>
    </w:p>
    <w:p>
      <w:pPr>
        <w:ind w:left="800" w:right="400" w:hanging="484"/>
        <w:spacing w:after="0" w:line="261"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electricity market risks relating to changes in laws, regulations and requirements of market operators, network operators and/or regulatory bodies, including with respect to interconnection of facilities of large electrical loads to the ERCOT grid, (including ERCOT’s batch study process for large load interconnection requests and related governmental reviews), grid stability, voltage ride-through, frequency ride-through and curtailment obligations.</w:t>
      </w:r>
    </w:p>
    <w:p>
      <w:pPr>
        <w:spacing w:after="0" w:line="139" w:lineRule="exact"/>
        <w:rPr>
          <w:rFonts w:ascii="Times New Roman" w:cs="Times New Roman" w:eastAsia="Times New Roman" w:hAnsi="Times New Roman"/>
          <w:sz w:val="18"/>
          <w:szCs w:val="18"/>
          <w:color w:val="auto"/>
        </w:rPr>
      </w:pPr>
    </w:p>
    <w:p>
      <w:pPr>
        <w:ind w:left="800" w:right="100" w:hanging="484"/>
        <w:spacing w:after="0" w:line="266"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laws and regulations, including applicable zoning, building-code and energy-efficiency standards and worker health and safety laws and regulations, and these laws and regulations and any changes to them may materially adversely affect our brand, reputation, business, results of operations and financial 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200" w:lineRule="exact"/>
        <w:rPr>
          <w:sz w:val="20"/>
          <w:szCs w:val="20"/>
          <w:color w:val="auto"/>
        </w:rPr>
      </w:pPr>
    </w:p>
    <w:p>
      <w:pPr>
        <w:ind w:left="800" w:right="320" w:hanging="484"/>
        <w:spacing w:after="0" w:line="282"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200" w:lineRule="exact"/>
        <w:rPr>
          <w:sz w:val="20"/>
          <w:szCs w:val="20"/>
          <w:color w:val="auto"/>
        </w:rPr>
      </w:pPr>
    </w:p>
    <w:p>
      <w:pPr>
        <w:spacing w:after="0" w:line="34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60" w:top="1296" w:right="399" w:bottom="1440" w:gutter="0" w:footer="0" w:header="0"/>
        </w:sectPr>
      </w:pPr>
    </w:p>
    <w:bookmarkStart w:id="5" w:name="page6"/>
    <w:bookmarkEnd w:id="5"/>
    <w:p>
      <w:pPr>
        <w:ind w:left="1140" w:right="120" w:hanging="484"/>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restrictions that will limit flexibility in operating our business.</w:t>
      </w:r>
    </w:p>
    <w:p>
      <w:pPr>
        <w:spacing w:after="0" w:line="117" w:lineRule="exact"/>
        <w:rPr>
          <w:rFonts w:ascii="Times New Roman" w:cs="Times New Roman" w:eastAsia="Times New Roman" w:hAnsi="Times New Roman"/>
          <w:sz w:val="18"/>
          <w:szCs w:val="18"/>
          <w:color w:val="auto"/>
        </w:rPr>
      </w:pPr>
    </w:p>
    <w:p>
      <w:pPr>
        <w:ind w:left="1140" w:hanging="484"/>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2025 filed with the Securities and Exchange Commission (the “SEC”) on February 24, 2026 (the “2025 Form 10-K”), as updated in our subsequent filings with the SEC, including this Quarterly Report on Form 10-Q, and any additional risks as described in our other reports filed with the SEC.</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https://www.cipherdigital.com (“Corporate Website”). The contents of, or information accessible through, our Corporate Website are not part of this Quarterly Report.</w:t>
      </w:r>
    </w:p>
    <w:p>
      <w:pPr>
        <w:spacing w:after="0" w:line="121"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investors.cipherdigital.com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does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60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00" w:type="dxa"/>
            <w:vAlign w:val="bottom"/>
          </w:tcPr>
          <w:p>
            <w:pPr>
              <w:spacing w:after="0"/>
              <w:rPr>
                <w:sz w:val="20"/>
                <w:szCs w:val="20"/>
                <w:color w:val="auto"/>
              </w:rPr>
            </w:pPr>
          </w:p>
        </w:tc>
      </w:tr>
      <w:tr>
        <w:trPr>
          <w:trHeight w:val="392"/>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42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8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60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20" w:type="dxa"/>
            <w:vAlign w:val="bottom"/>
          </w:tcPr>
          <w:p>
            <w:pPr>
              <w:spacing w:after="0"/>
              <w:rPr>
                <w:sz w:val="22"/>
                <w:szCs w:val="22"/>
                <w:color w:val="auto"/>
              </w:rPr>
            </w:pPr>
          </w:p>
        </w:tc>
        <w:tc>
          <w:tcPr>
            <w:tcW w:w="4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5880" w:type="dxa"/>
            <w:vAlign w:val="bottom"/>
            <w:gridSpan w:val="4"/>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0" w:type="dxa"/>
            <w:vAlign w:val="bottom"/>
          </w:tcPr>
          <w:p>
            <w:pPr>
              <w:spacing w:after="0"/>
              <w:rPr>
                <w:sz w:val="22"/>
                <w:szCs w:val="22"/>
                <w:color w:val="auto"/>
              </w:rPr>
            </w:pPr>
          </w:p>
        </w:tc>
        <w:tc>
          <w:tcPr>
            <w:tcW w:w="9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Noncontrolling Interest, and Stockholders’ Equity (Deficit) (unaudited)</w:t>
            </w: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4"/>
        </w:trPr>
        <w:tc>
          <w:tcPr>
            <w:tcW w:w="20" w:type="dxa"/>
            <w:vAlign w:val="bottom"/>
          </w:tcPr>
          <w:p>
            <w:pPr>
              <w:spacing w:after="0"/>
              <w:rPr>
                <w:sz w:val="22"/>
                <w:szCs w:val="22"/>
                <w:color w:val="auto"/>
              </w:rPr>
            </w:pPr>
          </w:p>
        </w:tc>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820" w:type="dxa"/>
            <w:vAlign w:val="bottom"/>
            <w:gridSpan w:val="3"/>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20" w:type="dxa"/>
            <w:vAlign w:val="bottom"/>
          </w:tcPr>
          <w:p>
            <w:pPr>
              <w:spacing w:after="0"/>
              <w:rPr>
                <w:sz w:val="22"/>
                <w:szCs w:val="22"/>
                <w:color w:val="auto"/>
              </w:rPr>
            </w:pPr>
          </w:p>
        </w:tc>
        <w:tc>
          <w:tcPr>
            <w:tcW w:w="4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540" w:type="dxa"/>
            <w:vAlign w:val="bottom"/>
            <w:gridSpan w:val="2"/>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938"/>
        </w:trPr>
        <w:tc>
          <w:tcPr>
            <w:tcW w:w="9820" w:type="dxa"/>
            <w:vAlign w:val="bottom"/>
            <w:gridSpan w:val="6"/>
          </w:tcPr>
          <w:p>
            <w:pPr>
              <w:jc w:val="center"/>
              <w:ind w:left="1330"/>
              <w:spacing w:after="0"/>
              <w:rPr>
                <w:sz w:val="20"/>
                <w:szCs w:val="20"/>
                <w:color w:val="auto"/>
              </w:rPr>
            </w:pPr>
            <w:r>
              <w:rPr>
                <w:rFonts w:ascii="Times New Roman" w:cs="Times New Roman" w:eastAsia="Times New Roman" w:hAnsi="Times New Roman"/>
                <w:sz w:val="18"/>
                <w:szCs w:val="18"/>
                <w:color w:val="auto"/>
                <w:w w:val="88"/>
              </w:rPr>
              <w:t>5</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628,263</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 current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1,761,292</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125,400</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Miners held for sale</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94,879</w:t>
            </w:r>
          </w:p>
        </w:tc>
      </w:tr>
      <w:tr>
        <w:trPr>
          <w:trHeight w:val="250"/>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Derivative asset, current</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34,090</w:t>
            </w:r>
          </w:p>
        </w:tc>
      </w:tr>
      <w:tr>
        <w:trPr>
          <w:trHeight w:val="257"/>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2,486,936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2,652,859</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275,076</w:t>
            </w: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3,899,880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633,417</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77,388</w:t>
            </w: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29,400</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 non-current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w:t>
            </w: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27,732</w:t>
            </w:r>
          </w:p>
        </w:tc>
      </w:tr>
      <w:tr>
        <w:trPr>
          <w:trHeight w:val="26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555,075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561,995</w:t>
            </w:r>
          </w:p>
        </w:tc>
      </w:tr>
      <w:tr>
        <w:trPr>
          <w:trHeight w:val="25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7,666,054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STOCKHOLDERS’ EQUITY</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40,064</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90,086</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525,160</w:t>
            </w:r>
          </w:p>
        </w:tc>
      </w:tr>
      <w:tr>
        <w:trPr>
          <w:trHeight w:val="250"/>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37,793</w:t>
            </w:r>
          </w:p>
        </w:tc>
      </w:tr>
      <w:tr>
        <w:trPr>
          <w:trHeight w:val="257"/>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699,071</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net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5,447,174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2,711,648</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33,696</w:t>
            </w: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8,545</w:t>
            </w:r>
          </w:p>
        </w:tc>
      </w:tr>
      <w:tr>
        <w:trPr>
          <w:trHeight w:val="25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7,040,129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3,456,054</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6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30,319</w:t>
            </w:r>
          </w:p>
        </w:tc>
      </w:tr>
      <w:tr>
        <w:trPr>
          <w:trHeight w:val="24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2026, and December 31, 2025</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1,000,000,000 and 1,000,000,000 shares authorized as of September 30,</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8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2026 and December 31, 2025, respectively, 425,237,783 and 412,074,529 shares issued as of September 30,</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2026 and December 31, 2025, respectively, and 415,092,825 and 404,963,061 shares outstanding as of</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 2026, and December 31, 2025, respectively</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6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1,953,736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1,808,786</w:t>
            </w:r>
          </w:p>
        </w:tc>
      </w:tr>
      <w:tr>
        <w:trPr>
          <w:trHeight w:val="247"/>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(1,003,656)</w:t>
            </w:r>
          </w:p>
        </w:tc>
      </w:tr>
      <w:tr>
        <w:trPr>
          <w:trHeight w:val="23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10,144,958 and 7,111,468 shares at September 30, 2026 and December 31, 2025,</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0"/>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600,255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805,535</w:t>
            </w:r>
          </w:p>
        </w:tc>
      </w:tr>
      <w:tr>
        <w:trPr>
          <w:trHeight w:val="281"/>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7,666,054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177"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77" w:right="39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3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47"/>
        </w:trPr>
        <w:tc>
          <w:tcPr>
            <w:tcW w:w="45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r>
      <w:tr>
        <w:trPr>
          <w:trHeight w:val="250"/>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Revenue - HPC leasing</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r>
      <w:tr>
        <w:trPr>
          <w:trHeight w:val="247"/>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 - bitcoin mining</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(26,733)</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(56,957)</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revenue - HPC leasing</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(44,407)</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(26,196)</w:t>
            </w: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(147,102)</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(17,180)</w:t>
            </w: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gains (losses) on sale of bitcoin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w:t>
            </w:r>
          </w:p>
        </w:tc>
      </w:tr>
      <w:tr>
        <w:trPr>
          <w:trHeight w:val="26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income (losses)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50"/>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(98,616)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(109,324)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(285,179)</w:t>
            </w:r>
          </w:p>
        </w:tc>
      </w:tr>
      <w:tr>
        <w:trPr>
          <w:trHeight w:val="257"/>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(265,020)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(120,948)</w:t>
            </w:r>
          </w:p>
        </w:tc>
      </w:tr>
      <w:tr>
        <w:trPr>
          <w:trHeight w:val="227"/>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4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6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r>
      <w:tr>
        <w:trPr>
          <w:trHeight w:val="250"/>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(expenses)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w:t>
            </w:r>
          </w:p>
        </w:tc>
      </w:tr>
      <w:tr>
        <w:trPr>
          <w:trHeight w:val="25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34,031</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33,667</w:t>
            </w:r>
          </w:p>
        </w:tc>
      </w:tr>
      <w:tr>
        <w:trPr>
          <w:trHeight w:val="250"/>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(87,281)</w:t>
            </w:r>
          </w:p>
        </w:tc>
      </w:tr>
      <w:tr>
        <w:trPr>
          <w:trHeight w:val="25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income tax benefit (expense)</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50"/>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50"/>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50"/>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5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available for common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per share - 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47"/>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per share -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6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6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414,996,770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409,866,599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376,372,526</w:t>
            </w:r>
          </w:p>
        </w:tc>
      </w:tr>
      <w:tr>
        <w:trPr>
          <w:trHeight w:val="237"/>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439,694,022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409,866,599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376,372,526</w:t>
            </w: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8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Pr>
          <w:p>
            <w:pPr>
              <w:spacing w:after="0"/>
              <w:rPr>
                <w:sz w:val="14"/>
                <w:szCs w:val="14"/>
                <w:color w:val="auto"/>
              </w:rPr>
            </w:pPr>
          </w:p>
        </w:tc>
        <w:tc>
          <w:tcPr>
            <w:tcW w:w="140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1"/>
                <w:szCs w:val="2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Pr>
          <w:p>
            <w:pPr>
              <w:spacing w:after="0"/>
              <w:rPr>
                <w:sz w:val="21"/>
                <w:szCs w:val="21"/>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57"/>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423,575,369</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1,947,143</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(1,385,501)</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(9,321,805)</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562,057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25,679</w:t>
            </w: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1,662,414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82"/>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425,237,783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1,953,736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(1,353,896)</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(10,144,958)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600,255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25,670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7"/>
                <w:szCs w:val="17"/>
                <w:color w:val="auto"/>
              </w:rPr>
            </w:pP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Pr>
          <w:p>
            <w:pPr>
              <w:spacing w:after="0"/>
              <w:rPr>
                <w:sz w:val="12"/>
                <w:szCs w:val="12"/>
                <w:color w:val="auto"/>
              </w:rPr>
            </w:pPr>
          </w:p>
        </w:tc>
        <w:tc>
          <w:tcPr>
            <w:tcW w:w="140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1"/>
                <w:szCs w:val="2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Pr>
          <w:p>
            <w:pPr>
              <w:spacing w:after="0"/>
              <w:rPr>
                <w:sz w:val="21"/>
                <w:szCs w:val="21"/>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388,123,588</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1,014,685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(266,168)</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(1,365,042)</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748,904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Warrants exercised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395,488,396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1,052,253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(269,451)</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(1,885,843)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783,195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7"/>
                <w:szCs w:val="7"/>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79"/>
        </w:trPr>
        <w:tc>
          <w:tcPr>
            <w:tcW w:w="246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57"/>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412,074,529</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1,808,786</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(1,003,656)</w:t>
            </w:r>
          </w:p>
        </w:tc>
        <w:tc>
          <w:tcPr>
            <w:tcW w:w="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(7,111,468)</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805,535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30,319</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5,496,993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underlying restricted stock units and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performance stock units, net of</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settled for tax withholding</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(3,033,490)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8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425,237,783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1,953,736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(1,353,896)</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(10,144,958)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600,255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25,670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7"/>
                <w:szCs w:val="7"/>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57"/>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29,334,701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stock reissued for PIPE</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settled for tax</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withholding settlement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4,721,201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(1,675,624)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Warrants 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395,488,396</w:t>
            </w:r>
          </w:p>
        </w:tc>
        <w:tc>
          <w:tcPr>
            <w:tcW w:w="8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1,052,253</w:t>
            </w:r>
          </w:p>
        </w:tc>
        <w:tc>
          <w:tcPr>
            <w:tcW w:w="8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(269,451)</w:t>
            </w:r>
          </w:p>
        </w:tc>
        <w:tc>
          <w:tcPr>
            <w:tcW w:w="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(1,885,843)</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783,195</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9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(350,249)</w:t>
            </w:r>
          </w:p>
        </w:tc>
        <w:tc>
          <w:tcPr>
            <w:tcW w:w="1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66"/>
        </w:trPr>
        <w:tc>
          <w:tcPr>
            <w:tcW w:w="5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7"/>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147,102</w:t>
            </w:r>
          </w:p>
        </w:tc>
      </w:tr>
      <w:tr>
        <w:trPr>
          <w:trHeight w:val="266"/>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47"/>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27,830</w:t>
            </w:r>
          </w:p>
        </w:tc>
      </w:tr>
      <w:tr>
        <w:trPr>
          <w:trHeight w:val="26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Write-down of assets held for sale</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184,888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(80,524)</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(164,131)</w:t>
            </w:r>
          </w:p>
        </w:tc>
      </w:tr>
      <w:tr>
        <w:trPr>
          <w:trHeight w:val="247"/>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assets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r>
      <w:tr>
        <w:trPr>
          <w:trHeight w:val="26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investments at fair value</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w:t>
            </w:r>
          </w:p>
        </w:tc>
      </w:tr>
      <w:tr>
        <w:trPr>
          <w:trHeight w:val="247"/>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6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unrealized (gains) losses on fair value of bitcoin</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(33,055)</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r>
      <w:tr>
        <w:trPr>
          <w:trHeight w:val="247"/>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w:t>
            </w:r>
          </w:p>
        </w:tc>
      </w:tr>
      <w:tr>
        <w:trPr>
          <w:trHeight w:val="26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7"/>
        </w:trPr>
        <w:tc>
          <w:tcPr>
            <w:tcW w:w="5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6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operating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(207,392)</w:t>
            </w:r>
          </w:p>
        </w:tc>
        <w:tc>
          <w:tcPr>
            <w:tcW w:w="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(51,466)</w:t>
            </w:r>
          </w:p>
        </w:tc>
      </w:tr>
      <w:tr>
        <w:trPr>
          <w:trHeight w:val="247"/>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(283,194)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(153,506)</w:t>
            </w:r>
          </w:p>
        </w:tc>
      </w:tr>
      <w:tr>
        <w:trPr>
          <w:trHeight w:val="266"/>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168,941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150,226</w:t>
            </w:r>
          </w:p>
        </w:tc>
      </w:tr>
      <w:tr>
        <w:trPr>
          <w:trHeight w:val="26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(2,517,241)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(262,969)</w:t>
            </w:r>
          </w:p>
        </w:tc>
      </w:tr>
      <w:tr>
        <w:trPr>
          <w:trHeight w:val="26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4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Distributions paid to non-controlling interest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(17,568)</w:t>
            </w:r>
          </w:p>
        </w:tc>
      </w:tr>
      <w:tr>
        <w:trPr>
          <w:trHeight w:val="250"/>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Purchases of strategic contracts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(48,394)</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(2,352,910)</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(131,454)</w:t>
            </w:r>
          </w:p>
        </w:tc>
      </w:tr>
      <w:tr>
        <w:trPr>
          <w:trHeight w:val="24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5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notes, net of issuance costs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2,766,437</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1,437,395</w:t>
            </w:r>
          </w:p>
        </w:tc>
      </w:tr>
      <w:tr>
        <w:trPr>
          <w:trHeight w:val="24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net of offering costs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117,397</w:t>
            </w: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(68,742)</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w:t>
            </w:r>
          </w:p>
        </w:tc>
      </w:tr>
      <w:tr>
        <w:trPr>
          <w:trHeight w:val="24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payments of financing lease</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66"/>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(82,680)</w:t>
            </w:r>
          </w:p>
        </w:tc>
      </w:tr>
      <w:tr>
        <w:trPr>
          <w:trHeight w:val="24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60"/>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payments on loan</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50"/>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2,824,067</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1,486,202</w:t>
            </w:r>
          </w:p>
        </w:tc>
      </w:tr>
      <w:tr>
        <w:trPr>
          <w:trHeight w:val="256"/>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187,963</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1,201,242</w:t>
            </w:r>
          </w:p>
        </w:tc>
      </w:tr>
      <w:tr>
        <w:trPr>
          <w:trHeight w:val="250"/>
        </w:trPr>
        <w:tc>
          <w:tcPr>
            <w:tcW w:w="5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2,664,631</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2,852,594</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1,221,219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1292" w:right="133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20" w:top="1292" w:right="1339" w:bottom="771" w:gutter="0" w:footer="0" w:header="0"/>
          <w:type w:val="continuous"/>
        </w:sectPr>
      </w:pPr>
    </w:p>
    <w:bookmarkStart w:id="15" w:name="page16"/>
    <w:bookmarkEnd w:id="15"/>
    <w:p>
      <w:pPr>
        <w:ind w:left="16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(in thousands)</w:t>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18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1820" w:type="dxa"/>
            <w:vAlign w:val="bottom"/>
            <w:tcBorders>
              <w:bottom w:val="single" w:sz="8" w:color="CCEEFF"/>
            </w:tcBorders>
          </w:tcPr>
          <w:p>
            <w:pPr>
              <w:spacing w:after="0"/>
              <w:rPr>
                <w:sz w:val="21"/>
                <w:szCs w:val="21"/>
                <w:color w:val="auto"/>
              </w:rPr>
            </w:pPr>
          </w:p>
        </w:tc>
        <w:tc>
          <w:tcPr>
            <w:tcW w:w="40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7"/>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40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126,545</w:t>
            </w:r>
          </w:p>
        </w:tc>
        <w:tc>
          <w:tcPr>
            <w:tcW w:w="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6"/>
        </w:trPr>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719,635</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w:t>
            </w:r>
          </w:p>
        </w:tc>
      </w:tr>
      <w:tr>
        <w:trPr>
          <w:trHeight w:val="26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capitalized on construction in progress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Investments acquired at fair value for sale of equity in investees interests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Miners reclassified from held for sale to in service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25,816</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Derecognition of asset retirement obligation and asset retirement cost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acquired at fair value for sale of miners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Sales tax accrual on machines placed in service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66"/>
        </w:trPr>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Decrease in Right-of-use asset and operating lease liability from lease modification</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20,714</w:t>
            </w:r>
          </w:p>
        </w:tc>
      </w:tr>
      <w:tr>
        <w:trPr>
          <w:trHeight w:val="26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Land asset adjustment on derecognition of lease liability and right-of-use asset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Issuance of warrant liability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544,450</w:t>
            </w:r>
          </w:p>
        </w:tc>
      </w:tr>
      <w:tr>
        <w:trPr>
          <w:trHeight w:val="266"/>
        </w:trPr>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31,453</w:t>
            </w:r>
          </w:p>
        </w:tc>
      </w:tr>
      <w:tr>
        <w:trPr>
          <w:trHeight w:val="24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r>
      <w:tr>
        <w:trPr>
          <w:trHeight w:val="273"/>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w:t>
            </w:r>
          </w:p>
        </w:tc>
      </w:tr>
      <w:tr>
        <w:trPr>
          <w:trHeight w:val="257"/>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loan payments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w:t>
            </w:r>
          </w:p>
        </w:tc>
      </w:tr>
      <w:tr>
        <w:trPr>
          <w:trHeight w:val="27"/>
        </w:trPr>
        <w:tc>
          <w:tcPr>
            <w:tcW w:w="1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3"/>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64"/>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Condensed Consolidated Balance Sheets to the sum of the same such amounts shown in the Condensed Consolidated Statements of Cash Flows.</w:t>
      </w: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05" w:right="5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50"/>
        </w:trPr>
        <w:tc>
          <w:tcPr>
            <w:tcW w:w="6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656,009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1,207,440</w:t>
            </w:r>
          </w:p>
        </w:tc>
      </w:tr>
      <w:tr>
        <w:trPr>
          <w:trHeight w:val="24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current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1,719,403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r>
      <w:tr>
        <w:trPr>
          <w:trHeight w:val="26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477,182</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2,852,594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1,221,219</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160" w:top="1177" w:right="11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Cipher Digital Inc. (“Cipher,” “CDI,” or the “Company”) is focused on the development and operation of industrial-scale data centers for high-performance compute (“HPC”) hosting and bitcoin mining. The Company has a 300 MW data center in Wink, Texas that draws power from the power grid (the “Black Pearl Facility”) that was used for bitcoin mining through February 2026, and in August 2026 commenced phased delivery to an HPC tenant. The Company is also in the process of constructing two other sites for HPC tenants, with the 300 MW Barber Lake Facility for Fluidstack USA II Inc. (“Fluidstack”), expecting phased commencement in the fourth quarter of 2026 and the 100 MW Stingray data center (the “Stingray Facility”) expecting commencement in 2027. The Company’s portfolio as of September 30, 2026 also consists of seven additional sites expected to be built out for HPC. The Company also operates one wholly owned bitcoin mining data center, a 207 MW site located in Odessa, Texas that draws fixed priced power from a power purchase agreement with its electricity provider (the “Odessa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from receipt. As of September 30, 2026, the Company had approximate balances of Cash and cash equivalents of $656.0 million, working capital of $1,016.8 million, Total stockholders’ equity of $600.3 million and an Accumulated deficit of $1,353.9 million. The Company uses a combination of short-term and long-term financing arrangements, proceeds from sales of bitcoin earned by or received from its bitcoin mining data centers, and strategic sales of shares through “at-the-market” offerings to support its operating expenses and capital expenditures.</w:t>
      </w:r>
    </w:p>
    <w:p>
      <w:pPr>
        <w:spacing w:after="0" w:line="14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$283.2 million of cash was used in operating activities during the nine months ended September 30, 2026.</w:t>
      </w:r>
    </w:p>
    <w:p>
      <w:pPr>
        <w:spacing w:after="0" w:line="15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sold bitcoin for proceeds of approximately $168.9 million. The Company paid approximately $2,517.2 million for property and equipment primarily related to the build-out of various facilities.</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Company has a master loan agreement with Coinbase Credit, Inc., as Lender, and Coinbase, Inc., as Lending Service Provider (the “Coinbase Master Loan Agreement”). Pursuant to the master loan agreement, the Company has a secured line of credit, with capacity to be determined, subject to credit review (the “Coinbase Overnight Credit Facility”). The borrowings are collateralized by bitcoin transferred to the Lending Service Provider’s platform.</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convertible notes due in 2030 with an interest rate of 1.75% (the “2030 Convertible Notes”). The 2030 Convertible Notes are senior, unsecured obligations with interest due semiannually on May 15 and November 15 each year beginning on November 15, 2025. On October 16, 2026, the Company exchanged approximately $165.9 million of principal amount of the 2030 Convertible Notes for approximately 40.7 million shares of the Company’s common stock. Following this exchange, approximately $6.6 million aggregate principal amount of the 2030 Convertible Notes remains outstanding.</w:t>
      </w:r>
    </w:p>
    <w:p>
      <w:pPr>
        <w:spacing w:after="0" w:line="1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issued $1,300.0 million of principal amount of convertible notes due in 2031 with an interest rate of 0.00% (the “2031 Convertible Notes”). The 2031 Convertible Notes are senior, unsecured obligations.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23, 2026, the Company entered into a $200.0 million revolving credit facility (the “Revolving Credit Facility”) with Morgan Stanley Senior Funding, Inc. as administrative agent and collateral agent, and a syndicate of lenders. The Revolving Credit Facility also provides for an additional accordion option of up to $50.0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On October 16, 2026, the Company issued $850.0 million aggregate principal amount of 0.00% convertible senior notes due in 2032 (the “2032 Convertible Notes”). The 2032 Convertible Notes are senior, unsecured obligations of the Company and will mature on November 1, 2032, unless earlier repurchased or converted. Refer to </w:t>
      </w:r>
      <w:r>
        <w:rPr>
          <w:rFonts w:ascii="Times New Roman" w:cs="Times New Roman" w:eastAsia="Times New Roman" w:hAnsi="Times New Roman"/>
          <w:sz w:val="18"/>
          <w:szCs w:val="18"/>
          <w:i w:val="1"/>
          <w:iCs w:val="1"/>
          <w:color w:val="auto"/>
        </w:rPr>
        <w:t>Note 21, Subsequent Events</w:t>
      </w:r>
      <w:r>
        <w:rPr>
          <w:rFonts w:ascii="Times New Roman" w:cs="Times New Roman" w:eastAsia="Times New Roman" w:hAnsi="Times New Roman"/>
          <w:sz w:val="18"/>
          <w:szCs w:val="18"/>
          <w:color w:val="auto"/>
        </w:rPr>
        <w:t xml:space="preserve">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 xml:space="preserve"> for more details on all debt arrangements.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ability to obtain project level financing, projected cash and bitcoin inflows from its data centers,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Financial Accounting Standards Board (“FASB”) and pursuant to the accounting and disclosure rules and regulations of the Securities and Exchange Commission (“SEC”).</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All intercompany transactions and balances have been eliminated.</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had no items of other comprehensive income or loss for any of the periods presented. Accordingly, comprehensive loss equals net loss for all periods presented, and a separate statement of comprehensive loss has not been presented.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Level 3 assets and liabilities, useful lives of property and equipment,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detailed description of the Company’s significant accounting policies is included in the Company’s 2025 Form 10-K as filed with the SEC on February 24, 2026. The Company’s unaudited condensed consolidated financial statements should be read in conjunction with the Company’s audited consolidated financial statements and accompanying notes in the Company’s 2025 Form 10-K. There have been no material changes to the Company’s significant accounting policies from those disclosed in the notes to the Company’s audited consolidated financial statements included in the Company’s 2025 Form 10-K, except for the addition of our HPC leasing described below.</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bitcoin mining</w:t>
      </w:r>
    </w:p>
    <w:p>
      <w:pPr>
        <w:spacing w:after="0" w:line="2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related to bitcoin mining under Accounting Standards Codification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The core principle of the revenue standard is that a company should recognize revenue to depict the transfer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customers in an amount that reflects the consideration to which the Company expects to be entitled in exchange for those goods or services.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to the Company. Given the terms of the contract, and the Company’s customary business practice, the contract effectively provides the Company with a contract that continuously renews throughout the day.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HPC leasing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generates revenue by leasing data center capacity and providing related services to customers including hyperscalers, AI labs, and neoclouds for high-performance computing. These arrangements generally include lease components related to the right to use specified data center space and associated infrastructure and nonlease components, including power delivery, environmental controls, physical security, connectivity products, operations and maintenance services and certain other operating services.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each arrangement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to determine whether the arrangement contains a lease and whether the Company is acting as lessor. For its HPC data center assets, the Company has elected the practical expedient available under ASC 842 to combine nonlease components that have the same pattern of transfer as the related lease components into a single combined component. The combined component is accounted for under ASC 842 when the lease component is predominant and under ASC 606 when the nonlease component is predominant. The lease components are the predominant components in the Company's HPC lease arrangements and, accordingly, the combined components are accounted for as operating leases under ASC 842. As a result, all of the consideration within the HPC lease arrangement is presented as HPC leasing revenue on the condensed consolidated statements of operations. Recognition of HPC leasing revenue begins upon lease commencement, which occurs for each lease component when the applicable facility or phase is delivered to the customer and made available for its intended use.</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concluded that it is probable that substantially all of the payments will be collected over the term of the arrangements. For each lease component, the Company recognizes the total fixed payments allocated to the component on a straight-line basis over the noncancellable term. The difference between lease revenue recognized on a straight-line basis and contractual lease payments is recorded as an accrued rent receivable or deferred rent liability on the condensed consolidated balance sheets. Certain arrangements include options to extend the term. These extension options are not reasonably certain to be exercised and are excluded from the lease term and calculation of lease payments at lease commencement.</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lease arrangements generally require the Company to provide power delivery, environmental controls, physical security, connectivity, operations and maintenance and certain other operating services throughout the lease term. Any fixed monthly payments associated with these services are allocated to the related lease components and recognized as lease revenue on a straight-line basis over the lease term.</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arrangements also provide for reimbursement of electricity, taxes, insurance, maintenance and other operating costs incurred on behalf of tenants. These amounts are generally variable and are recognized as HPC leasing revenue in the period earned. Reimbursement-related lease payments are presented on a gross basis in the condensed consolidated statements of operations.</w:t>
      </w:r>
    </w:p>
    <w:p>
      <w:pPr>
        <w:spacing w:after="0" w:line="1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lease arrangements also include customer-requested change orders to the lease component during the construction period. Recognition of HPC leasing revenue begins upon lease commencement, which occurs for each lease component when the applicable facility or phase is delivered to the customer and made available for its intended use.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has two operating segments, Bitcoin Mining, which through operations produces bitcoin to generate revenue, and HPC Leasing through which data centers are constructed and leased to tenants for HPC. The Chief Operating Decision Maker (“CODM”) for the Company consists of the chief executive officer (“CEO”), and chief financial officer (“CFO”). The CODM reviews the performance of its segments primarily based on operating income when deciding on allocating resources. Refer to </w:t>
      </w:r>
      <w:r>
        <w:rPr>
          <w:rFonts w:ascii="Times New Roman" w:cs="Times New Roman" w:eastAsia="Times New Roman" w:hAnsi="Times New Roman"/>
          <w:sz w:val="18"/>
          <w:szCs w:val="18"/>
          <w:i w:val="1"/>
          <w:iCs w:val="1"/>
          <w:color w:val="auto"/>
        </w:rPr>
        <w:t>Note 19. Segment Reporting</w:t>
      </w:r>
      <w:r>
        <w:rPr>
          <w:rFonts w:ascii="Times New Roman" w:cs="Times New Roman" w:eastAsia="Times New Roman" w:hAnsi="Times New Roman"/>
          <w:sz w:val="18"/>
          <w:szCs w:val="18"/>
          <w:color w:val="auto"/>
        </w:rPr>
        <w:t xml:space="preserve"> for more details on the Company’s significant segment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Restricted cash primarily relates to proceeds from various senior secured notes offerings which the Company is restricted from using for general corporate purposes outside of financing specific site developments. As these funds are expected to be used in the short term to build out the various sites, this restricted cash is classified in current assets on the Company’s condensed consolidated balance sheets.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Restricted cash classified as noncurrent on the Company’s condensed consolidated balance sheets represents cash required to be held in debt service accounts related to various senior secured notes, as well as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balance as of September 30, 2026 consists primarily of amounts due related to rent, operating expense reimbursements, and change orders requested from tenants for its HPC data centers. Amounts recorded in accounts receivable consist of the amount invoiced, but not yet received from the tenant.</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balance as of December 31, 2025 consists of amounts due from its mining pool operator. Amounts recorded in accounts receivable consist of the block rewards and transaction fees earned on the last day (last contract period) of the period, but not yet received from the mining pool operator.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allowance was recorded as of September 30, 2026 or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of fixed assets placed into service related to the Black Pearl Facility, the Company established estimated useful lives for Buildings from 10 to 40 years, and Infrastructure assets from 10 to 40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 net</w:t>
      </w:r>
    </w:p>
    <w:p>
      <w:pPr>
        <w:spacing w:after="0" w:line="18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Long-term borrowings, net represents the Company’s convertible senior notes and senior secured notes. The Company records the aggregate principal amount of each of its long-term debt instruments as a liability on the balance sheet, offset by the instrument’s issuance costs. The issuance costs are amortized to interest expense using the effective interest rate method over the expected term of each instrument. The Company records contractually obligated payments due within one year as short term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8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Common Stock to settle convertible notes, as well as unvested restricted stock units (“RSUs”).</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dilutive effect of RSUs is calculated using the treasury stock method. The dilutive effect of PSUs is calculated using the contingently issuable share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shares calculated using the treasury stock method. The dilutive effect of the convertible notes was determined using the if-converted method. Under the if-converted method, net income (loss) is adjusted to reflect the assumption that the convertible notes were converted at the beginning of the period.</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55" w:lineRule="exact"/>
        <w:rPr>
          <w:sz w:val="20"/>
          <w:szCs w:val="20"/>
          <w:color w:val="auto"/>
        </w:rPr>
      </w:pPr>
    </w:p>
    <w:tbl>
      <w:tblPr>
        <w:tblLayout w:type="fixed"/>
        <w:tblInd w:w="3900" w:type="dxa"/>
        <w:tblCellMar>
          <w:top w:w="0" w:type="dxa"/>
          <w:left w:w="0" w:type="dxa"/>
          <w:bottom w:w="0" w:type="dxa"/>
          <w:right w:w="0" w:type="dxa"/>
        </w:tblCellMar>
      </w:tblPr>
      <w:tr>
        <w:trPr>
          <w:trHeight w:val="225"/>
        </w:trPr>
        <w:tc>
          <w:tcPr>
            <w:tcW w:w="37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2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18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82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12065</wp:posOffset>
            </wp:positionV>
            <wp:extent cx="4646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30480</wp:posOffset>
            </wp:positionV>
            <wp:extent cx="710628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p>
      <w:pPr>
        <w:spacing w:after="0" w:line="75"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Net income (loss) available for common stockholders - basic</w:t>
      </w:r>
    </w:p>
    <w:p>
      <w:pPr>
        <w:spacing w:after="0" w:line="2" w:lineRule="exact"/>
        <w:rPr>
          <w:sz w:val="20"/>
          <w:szCs w:val="20"/>
          <w:color w:val="auto"/>
        </w:rPr>
      </w:pPr>
    </w:p>
    <w:p>
      <w:pPr>
        <w:ind w:left="40" w:right="160"/>
        <w:spacing w:after="0" w:line="298" w:lineRule="auto"/>
        <w:rPr>
          <w:sz w:val="20"/>
          <w:szCs w:val="20"/>
          <w:color w:val="auto"/>
        </w:rPr>
      </w:pPr>
      <w:r>
        <w:rPr>
          <w:rFonts w:ascii="Times New Roman" w:cs="Times New Roman" w:eastAsia="Times New Roman" w:hAnsi="Times New Roman"/>
          <w:sz w:val="16"/>
          <w:szCs w:val="16"/>
          <w:color w:val="auto"/>
        </w:rPr>
        <w:t>Less: gain on change in fair value of Google warrant liability</w:t>
      </w:r>
    </w:p>
    <w:p>
      <w:pPr>
        <w:spacing w:after="0" w:line="2"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Net income (loss) available for common stockholders - diluted</w:t>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120" w:type="dxa"/>
            <w:vAlign w:val="bottom"/>
          </w:tcPr>
          <w:p>
            <w:pPr>
              <w:spacing w:after="0"/>
              <w:rPr>
                <w:sz w:val="18"/>
                <w:szCs w:val="18"/>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120" w:type="dxa"/>
            <w:vAlign w:val="bottom"/>
          </w:tcPr>
          <w:p>
            <w:pPr>
              <w:spacing w:after="0"/>
              <w:rPr>
                <w:sz w:val="18"/>
                <w:szCs w:val="18"/>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459"/>
        </w:trPr>
        <w:tc>
          <w:tcPr>
            <w:tcW w:w="5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28"/>
        </w:trPr>
        <w:tc>
          <w:tcPr>
            <w:tcW w:w="5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312"/>
        </w:trPr>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(95,575)</w:t>
            </w:r>
          </w:p>
        </w:tc>
        <w:tc>
          <w:tcPr>
            <w:tcW w:w="120" w:type="dxa"/>
            <w:vAlign w:val="bottom"/>
          </w:tcPr>
          <w:p>
            <w:pPr>
              <w:spacing w:after="0"/>
              <w:rPr>
                <w:sz w:val="24"/>
                <w:szCs w:val="24"/>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120" w:type="dxa"/>
            <w:vAlign w:val="bottom"/>
          </w:tcPr>
          <w:p>
            <w:pPr>
              <w:spacing w:after="0"/>
              <w:rPr>
                <w:sz w:val="24"/>
                <w:szCs w:val="24"/>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100"/>
        </w:trPr>
        <w:tc>
          <w:tcPr>
            <w:tcW w:w="5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74"/>
        </w:trPr>
        <w:tc>
          <w:tcPr>
            <w:tcW w:w="5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414,996,770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409,866,599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376,372,526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-612775</wp:posOffset>
            </wp:positionV>
            <wp:extent cx="710628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29146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-149860</wp:posOffset>
            </wp:positionV>
            <wp:extent cx="71062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3620" w:space="280"/>
            <w:col w:w="7320"/>
          </w:cols>
          <w:pgMar w:left="320" w:top="225" w:right="359" w:bottom="1440" w:gutter="0" w:footer="0" w:header="0"/>
          <w:type w:val="continuous"/>
        </w:sectPr>
      </w:pPr>
    </w:p>
    <w:tbl>
      <w:tblPr>
        <w:tblLayout w:type="fixed"/>
        <w:tblInd w:w="40" w:type="dxa"/>
        <w:tblCellMar>
          <w:top w:w="0" w:type="dxa"/>
          <w:left w:w="0" w:type="dxa"/>
          <w:bottom w:w="0" w:type="dxa"/>
          <w:right w:w="0" w:type="dxa"/>
        </w:tblCellMar>
      </w:tblPr>
      <w:tr>
        <w:trPr>
          <w:trHeight w:val="249"/>
        </w:trPr>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Google Warrants</w:t>
            </w:r>
          </w:p>
        </w:tc>
        <w:tc>
          <w:tcPr>
            <w:tcW w:w="5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24,697,252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439,694,022</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409,866,599</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376,372,526</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(loss) per share - basic</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(loss) per share - diluted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-556895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for the three and nine months ended September 30, 2026 and 2025, because including them would have been antidilutive.</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920" w:type="dxa"/>
            <w:vAlign w:val="bottom"/>
          </w:tcPr>
          <w:p>
            <w:pPr>
              <w:spacing w:after="0"/>
              <w:rPr>
                <w:sz w:val="19"/>
                <w:szCs w:val="19"/>
                <w:color w:val="auto"/>
              </w:rPr>
            </w:pPr>
          </w:p>
        </w:tc>
        <w:tc>
          <w:tcPr>
            <w:tcW w:w="392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2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47"/>
        </w:trPr>
        <w:tc>
          <w:tcPr>
            <w:tcW w:w="2920" w:type="dxa"/>
            <w:vAlign w:val="bottom"/>
          </w:tcPr>
          <w:p>
            <w:pPr>
              <w:spacing w:after="0"/>
              <w:rPr>
                <w:sz w:val="21"/>
                <w:szCs w:val="21"/>
                <w:color w:val="auto"/>
              </w:rPr>
            </w:pPr>
          </w:p>
        </w:tc>
        <w:tc>
          <w:tcPr>
            <w:tcW w:w="17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21"/>
                <w:szCs w:val="21"/>
                <w:color w:val="auto"/>
              </w:rPr>
            </w:pPr>
          </w:p>
        </w:tc>
        <w:tc>
          <w:tcPr>
            <w:tcW w:w="17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conversion</w:t>
            </w:r>
            <w:r>
              <w:rPr>
                <w:rFonts w:ascii="Times New Roman" w:cs="Times New Roman" w:eastAsia="Times New Roman" w:hAnsi="Times New Roman"/>
                <w:sz w:val="21"/>
                <w:szCs w:val="21"/>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161,930,746</w:t>
            </w: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50,438,686</w:t>
            </w: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161,930,746</w:t>
            </w: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50,438,686</w:t>
            </w:r>
          </w:p>
        </w:tc>
      </w:tr>
      <w:tr>
        <w:trPr>
          <w:trHeight w:val="24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Google warrants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24,710,265</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 &amp; PSUs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17,115,345</w:t>
            </w: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25,691,978</w:t>
            </w: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17,115,345</w:t>
            </w: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25,691,978</w:t>
            </w:r>
          </w:p>
        </w:tc>
      </w:tr>
      <w:tr>
        <w:trPr>
          <w:trHeight w:val="25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8,613,935</w:t>
            </w:r>
          </w:p>
        </w:tc>
        <w:tc>
          <w:tcPr>
            <w:tcW w:w="30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8,613,935</w:t>
            </w:r>
          </w:p>
        </w:tc>
      </w:tr>
      <w:tr>
        <w:trPr>
          <w:trHeight w:val="275"/>
        </w:trPr>
        <w:tc>
          <w:tcPr>
            <w:tcW w:w="2920" w:type="dxa"/>
            <w:vAlign w:val="bottom"/>
            <w:tcBorders>
              <w:top w:val="single" w:sz="8" w:color="CCEEFF"/>
              <w:bottom w:val="single" w:sz="8" w:color="CCEEFF"/>
            </w:tcBorders>
            <w:shd w:val="clear" w:color="auto" w:fill="CCEEFF"/>
          </w:tcPr>
          <w:p>
            <w:pPr>
              <w:spacing w:after="0"/>
              <w:rPr>
                <w:sz w:val="23"/>
                <w:szCs w:val="23"/>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179,046,091</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84,744,599</w:t>
            </w:r>
          </w:p>
        </w:tc>
        <w:tc>
          <w:tcPr>
            <w:tcW w:w="300" w:type="dxa"/>
            <w:vAlign w:val="bottom"/>
            <w:tcBorders>
              <w:top w:val="single" w:sz="8" w:color="CCEEFF"/>
              <w:bottom w:val="single" w:sz="8" w:color="CCEEFF"/>
            </w:tcBorders>
            <w:shd w:val="clear" w:color="auto" w:fill="CCEEFF"/>
          </w:tcPr>
          <w:p>
            <w:pPr>
              <w:spacing w:after="0"/>
              <w:rPr>
                <w:sz w:val="23"/>
                <w:szCs w:val="23"/>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203,756,356</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84,744,599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8"/>
        <w:spacing w:after="0" w:line="262" w:lineRule="auto"/>
        <w:tabs>
          <w:tab w:leader="none" w:pos="17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assume conversion at the maximum conversion rates of 292.3976 and 85.7632 shares of the Company’s common stock per $1,000 principal amount of the 2030 Convertible Notes and 2031 Convertible Notes,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 Update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Induced Conversions of Convertible Debt Instruments </w:t>
      </w:r>
      <w:r>
        <w:rPr>
          <w:rFonts w:ascii="Times New Roman" w:cs="Times New Roman" w:eastAsia="Times New Roman" w:hAnsi="Times New Roman"/>
          <w:sz w:val="18"/>
          <w:szCs w:val="18"/>
          <w:color w:val="auto"/>
        </w:rPr>
        <w:t>(“ASU 2024-04”). ASU 2024-04 seeks to improve the relevance and consistency in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Subtopic 470-20 around when the terms of convertible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debt instruments are changed to incentivize conversion. The Company adopted ASU 2024-04 on January 1, 2026. Adoption did not have a material impact on the Company's financial statements and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seeks to improve disclosures around expenses and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 to investors about certain types of expenses in commonly presented captions. The updated guidance is effective for the Company for annual periods beginning January 1, 2027, and interim periods beginning January 1, 2028. The Company is currently evaluating the impact this amended guidance may have on its consolidated financial statements and disclosures.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ASU 2025-06 seeks to modernize the internal-use software guidance,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removing the project-stage framework (preliminary/application development/post-implementation) in favor of a principle focused on when it is probable that the software will be completed and used as intended. The updated guidance is effective for the Company for annual periods beginning January 1, 2028. The Company is currently evaluating the impact this amended guidance may have on its consolidated financial statements and disclosures.</w:t>
      </w:r>
    </w:p>
    <w:p>
      <w:pPr>
        <w:spacing w:after="0" w:line="1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improve the navigability of the guidance in ASC 270 and clarify when it applies. Under the amendments, an entity is subject to ASC 270 if it provides interim financial statements and notes in accordance with GAAP. ASU 2025-11 also addresses the form and content of interim financial statements, provides a comprehensive list of required interim disclosures, and establishes a principle under which an entity must disclose events since the end of the last annual reporting period that have a material impact on the entity. The updated guidance is effective for the Company for interim periods beginning January 1, 2028, and early adoption is permitted. The Company is currently evaluating the impact this guidance may have on the notes to its condensed consolidated financial statements.</w:t>
      </w:r>
    </w:p>
    <w:p>
      <w:pPr>
        <w:spacing w:after="0" w:line="14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ASU 2025-12 contains 33 amendments intended to correct errors in, clarify, and make narrow-scope improvements to various Codification topics, including clarifications to the calculation of diluted earnings per share when a loss from continuing operations exists, the permissible methods for accounting for treasury stock retirements, and the accounting for transfers of receivables from contracts with customers. The updated guidance is effective for the Company for fiscal years beginning January 1, 2027, including interim periods within those years. The Company is currently evaluating the impact this guidance may have on its consolidated financial statements and disclosures.</w:t>
      </w:r>
    </w:p>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408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50"/>
        </w:trPr>
        <w:tc>
          <w:tcPr>
            <w:tcW w:w="7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57"/>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r>
      <w:tr>
        <w:trPr>
          <w:trHeight w:val="257"/>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paid for interest on loan</w:t>
            </w:r>
          </w:p>
        </w:tc>
        <w:tc>
          <w:tcPr>
            <w:tcW w:w="1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(150,226)</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(losses) gains on sales of bitcoin, net</w:t>
            </w:r>
          </w:p>
        </w:tc>
        <w:tc>
          <w:tcPr>
            <w:tcW w:w="1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r>
      <w:tr>
        <w:trPr>
          <w:trHeight w:val="257"/>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1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p>
        </w:tc>
        <w:tc>
          <w:tcPr>
            <w:tcW w:w="1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57"/>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r>
      <w:tr>
        <w:trPr>
          <w:trHeight w:val="27"/>
        </w:trPr>
        <w:tc>
          <w:tcPr>
            <w:tcW w:w="7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0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held approximately 310 and 1,433 bitcoin at September 30, 2026, and December 31, 2025, respectively. The associated fair values and cost bases of bitcoin held were $25.9 million, and $21.6 million, respectively, at September 30, 2026, and $125.4 million, and $154.1 million, respectively at December 31, 2025.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spacing w:after="0" w:line="14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Additionally, the Company may pledge bitcoin as collateral related to bitcoin trading strategies. As of September 30, 2026, the Company had 10 bitcoin with a fair value of $0.8 million pledged as part of trading strategies. As of December 31, 2025 the Company had no bitcoin pledged as part of trading strategies.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power purchase agreement in the condensed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$4.3 million and $2.3 million for the three months ended September 30, 2026, and 2025, respectively, and $8.7 million, and $4.7 million for the nine months ended September 30, 2026, and 2025, respectively, and recorded this amount within Costs and operating (expenses) income on the condensed consolidated statements of operations, with the corresponding cost of the power sold recorded in Cost of revenue - bitcoin mining.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including leased property and equipment,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289,680</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134,122</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79,054</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66,594</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108,827</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276,470</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on equipment</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4,153,439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967,582</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(334,165)</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0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3,899,880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633,417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approximately $3,357.4 million of construction-in-progress related to construction at various sites related to building data centers for leasing to HPC tenants.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Depreciation expense was approximately $18.6 million and $59.3 million for the three months ended September 30, 2026 and 2025, respectively, and included approximately $0.6 million and $0.8 million of accretion expense related to the Company’s asset retirement obligations, and $56.5 million, and $146.5 million for the nine months ended September 30, 2026, and 2025, respectively, and included approximately $1.8 million and $1.9 million for the nine months ended September 30, 2026, and 2025, respectively, of accretion expense related to the Company’s asset retirement obligations.</w:t>
      </w:r>
    </w:p>
    <w:p>
      <w:pPr>
        <w:spacing w:after="0" w:line="15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completed a quantitative assessment during the fourth quarter of 2025 in connection with a substantial decline in the price of bitcoin with increased network hashrate, and concluded an impairment existed on the miners and leasehold improvements at the Odessa Facility as of the assessment date. The Company recorded an impairment of $45.3 million on these long-lived assets at the Odessa Facility in Other operating losses in the year ended December 31, 2025. There was no impairment recognized for the nine months ended September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MINERS HELD FOR SALE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has no equipment classified as held for sale. As of December 31, 2025, the Company presented separately from Property and equipment, net $94.9 million of mining rigs that the Company determined met the criteria to be classified as held for sale and were presented in Miners held for sale on the Company’s condensed consolidated balance sheets.</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a loss of $7.4 million on the fair value of the miners during the nine months ended September 30, 2026. The loss is recorded in Other operating income (losses) on the Company’s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 IN JOINT VENTURES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accounted for its 49% equity ownership in each of Alborz LLC, Bear LLC, and Chief Mountain LLC (the “WindHQ JV sites”) using the equity method of accounting. The book value of these investments was included in Investment in equity investees on the Company’s condensed consolidated balance sheets, with the Company’s portion of income included in Equity in losses of equity investees on the Company’s condensed consolidated statements of operations.</w:t>
      </w:r>
    </w:p>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nine months ended September 30, 2026, and 2025, consisted of the following (in thousands):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76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9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r>
      <w:tr>
        <w:trPr>
          <w:trHeight w:val="25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r>
      <w:tr>
        <w:trPr>
          <w:trHeight w:val="27"/>
        </w:trPr>
        <w:tc>
          <w:tcPr>
            <w:tcW w:w="6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5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7"/>
        </w:trPr>
        <w:tc>
          <w:tcPr>
            <w:tcW w:w="6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r>
      <w:tr>
        <w:trPr>
          <w:trHeight w:val="25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equity investee interests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02"/>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February 19, 2026, the Company sold its 49% interests in the WindHQ JV sites to Canaan Inc (“Canaan”) in exchange for $29.4 million of Canaan common stock. In the year ended December 31, 2025, the Company recorded an additional expense in Equity in losses of equity investees to adjust the carrying value of its investments to the negotiated sale price.</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2025, the Company purchased 53% of the equity in Colchis LLC (“Colchis”), a joint venture of a potential 1 GW site in Texas, the “Colchis Site.” The Company is the managing member and consolidates Colchis, and records redeemable noncontrolling interest for the minority interest in the site. The Company deems the noncontrolling interest to be redeemable due to certain clauses in the agreement, which could trigger the redemption of the noncontrolling shares upon events outside of the Company's control.</w:t>
      </w:r>
    </w:p>
    <w:p>
      <w:pPr>
        <w:spacing w:after="0" w:line="1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Since the original purchase of Colchis, the Company made capital contributions to Colchis, which increased the Company’s ownership to 76% as of September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5"/>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8"/>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contracts</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124,528</w:t>
            </w:r>
          </w:p>
        </w:tc>
        <w:tc>
          <w:tcPr>
            <w:tcW w:w="10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123,536</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02"/>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127,376</w:t>
            </w:r>
          </w:p>
        </w:tc>
        <w:tc>
          <w:tcPr>
            <w:tcW w:w="1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125,094</w:t>
            </w:r>
          </w:p>
        </w:tc>
      </w:tr>
      <w:tr>
        <w:trPr>
          <w:trHeight w:val="20"/>
        </w:trPr>
        <w:tc>
          <w:tcPr>
            <w:tcW w:w="62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44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0" w:type="dxa"/>
            <w:vAlign w:val="bottom"/>
            <w:tcBorders>
              <w:top w:val="single" w:sz="8" w:color="CCECFF"/>
              <w:bottom w:val="single" w:sz="8" w:color="auto"/>
            </w:tcBorders>
            <w:gridSpan w:val="2"/>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400" w:type="dxa"/>
            <w:vAlign w:val="bottom"/>
            <w:tcBorders>
              <w:top w:val="single" w:sz="8" w:color="CCECFF"/>
              <w:bottom w:val="single" w:sz="8" w:color="auto"/>
            </w:tcBorders>
          </w:tcPr>
          <w:p>
            <w:pPr>
              <w:spacing w:after="0" w:line="20" w:lineRule="exact"/>
              <w:rPr>
                <w:sz w:val="1"/>
                <w:szCs w:val="1"/>
                <w:color w:val="auto"/>
              </w:rPr>
            </w:pPr>
          </w:p>
        </w:tc>
      </w:tr>
      <w:tr>
        <w:trPr>
          <w:trHeight w:val="528"/>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8"/>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75,406</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0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-590550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for both of the three months ended September 30, 2026 and 2025, and $0.7 million and $0.4 million for the nine months ended September 30, 2026 and 2025, respectively. The Company expects to record amortization expense as follows over the next five subsequent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5"/>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Year Ending December 31, 2026</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40" w:type="dxa"/>
            <w:vAlign w:val="bottom"/>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40" w:type="dxa"/>
            <w:vAlign w:val="bottom"/>
          </w:tcPr>
          <w:p>
            <w:pPr>
              <w:spacing w:after="0"/>
              <w:rPr>
                <w:sz w:val="22"/>
                <w:szCs w:val="22"/>
                <w:color w:val="auto"/>
              </w:rPr>
            </w:pP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40" w:type="dxa"/>
            <w:vAlign w:val="bottom"/>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40" w:type="dxa"/>
            <w:vAlign w:val="bottom"/>
          </w:tcPr>
          <w:p>
            <w:pPr>
              <w:spacing w:after="0"/>
              <w:rPr>
                <w:sz w:val="22"/>
                <w:szCs w:val="22"/>
                <w:color w:val="auto"/>
              </w:rPr>
            </w:pPr>
          </w:p>
        </w:tc>
      </w:tr>
      <w:tr>
        <w:trPr>
          <w:trHeight w:val="27"/>
        </w:trPr>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40" w:type="dxa"/>
            <w:vAlign w:val="bottom"/>
          </w:tcPr>
          <w:p>
            <w:pPr>
              <w:spacing w:after="0"/>
              <w:rPr>
                <w:sz w:val="22"/>
                <w:szCs w:val="22"/>
                <w:color w:val="auto"/>
              </w:rPr>
            </w:pPr>
          </w:p>
        </w:tc>
      </w:tr>
      <w:tr>
        <w:trPr>
          <w:trHeight w:val="48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1"/>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66"/>
        </w:trPr>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24"/>
                <w:szCs w:val="24"/>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63"/>
        </w:trPr>
        <w:tc>
          <w:tcPr>
            <w:tcW w:w="1300" w:type="dxa"/>
            <w:vAlign w:val="bottom"/>
          </w:tcPr>
          <w:p>
            <w:pPr>
              <w:spacing w:after="0"/>
              <w:rPr>
                <w:sz w:val="22"/>
                <w:szCs w:val="22"/>
                <w:color w:val="auto"/>
              </w:rPr>
            </w:pPr>
          </w:p>
        </w:tc>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 with utility providers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27,020</w:t>
            </w:r>
          </w:p>
        </w:tc>
      </w:tr>
      <w:tr>
        <w:trPr>
          <w:trHeight w:val="257"/>
        </w:trPr>
        <w:tc>
          <w:tcPr>
            <w:tcW w:w="130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1300" w:type="dxa"/>
            <w:vAlign w:val="bottom"/>
          </w:tcPr>
          <w:p>
            <w:pPr>
              <w:spacing w:after="0"/>
              <w:rPr>
                <w:sz w:val="2"/>
                <w:szCs w:val="2"/>
                <w:color w:val="auto"/>
              </w:rPr>
            </w:pPr>
          </w:p>
        </w:tc>
        <w:tc>
          <w:tcPr>
            <w:tcW w:w="48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r>
      <w:tr>
        <w:trPr>
          <w:trHeight w:val="302"/>
        </w:trPr>
        <w:tc>
          <w:tcPr>
            <w:tcW w:w="1300" w:type="dxa"/>
            <w:vAlign w:val="bottom"/>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27,732</w:t>
            </w:r>
          </w:p>
        </w:tc>
      </w:tr>
      <w:tr>
        <w:trPr>
          <w:trHeight w:val="20"/>
        </w:trPr>
        <w:tc>
          <w:tcPr>
            <w:tcW w:w="130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-33655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-591185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part of various transactions to acquire wholly owned sites, the Company has deposits with Oncor Electric Delivery Company LLC (“Oncor”), Lower Colorado River Authority (“LCRA”), City Public Service Board (“CPS Energy”), and American Electric Power (“AEP”) to construct infrastructure to provide the ability to energize each data center. These deposits are eligible to be returned to the Company if the data centers energize an agreed upon capacity within an agreed upon timeframe. As of September 30, 2026 the Company believes these deposits will be returned.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were $56.3 million as of September 30, 2026, primarily consisting of receivables from utilities for cash deposits replaced with letters of credit, as well as the fair value of the 806,439,900 shares of Canaan Inc. common stock, acquired on February 19, 2026, as part of the sale of the Company’s WindHQ JV sites and certain mining rigs located at the Black Pearl Facility to Canaan.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were $8.0 million at December 31, 2025, consisting primarily of prepaid insurance.</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noncurrent assets were $555.1 million, and $562.0 million as of September 30, 2026, and December 31, 2025, respectively. The balance primarily consisted of an asset of $544.5 million at both periods representing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3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0" w:type="dxa"/>
            <w:vAlign w:val="bottom"/>
          </w:tcPr>
          <w:p>
            <w:pPr>
              <w:spacing w:after="0"/>
              <w:rPr>
                <w:sz w:val="1"/>
                <w:szCs w:val="1"/>
                <w:color w:val="auto"/>
              </w:rPr>
            </w:pPr>
          </w:p>
        </w:tc>
      </w:tr>
      <w:tr>
        <w:trPr>
          <w:trHeight w:val="25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w:t>
            </w:r>
          </w:p>
        </w:tc>
        <w:tc>
          <w:tcPr>
            <w:tcW w:w="2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0" w:type="dxa"/>
            <w:vAlign w:val="bottom"/>
          </w:tcPr>
          <w:p>
            <w:pPr>
              <w:spacing w:after="0"/>
              <w:rPr>
                <w:sz w:val="1"/>
                <w:szCs w:val="1"/>
                <w:color w:val="auto"/>
              </w:rPr>
            </w:pPr>
          </w:p>
        </w:tc>
      </w:tr>
      <w:tr>
        <w:trPr>
          <w:trHeight w:val="25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0" w:type="dxa"/>
            <w:vAlign w:val="bottom"/>
          </w:tcPr>
          <w:p>
            <w:pPr>
              <w:spacing w:after="0"/>
              <w:rPr>
                <w:sz w:val="1"/>
                <w:szCs w:val="1"/>
                <w:color w:val="auto"/>
              </w:rPr>
            </w:pPr>
          </w:p>
        </w:tc>
      </w:tr>
      <w:tr>
        <w:trPr>
          <w:trHeight w:val="25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2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5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-685165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had no related party receivables as of September 30, 2026, and recorded related party receivables of approximately $0.3 million as of December 31, 2025, representing amounts owed to the Company from its equity method investees.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Accounting</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2025, the Company, through its wholly owned subsidiary Cipher Barber Lake LLC, entered into an agreement with Fluidstack for the development, construction and lease of an HPC data center facility for a 10-year term, with two five-year extension options, which lease was subsequently amended and restated in November 2025 (as so amended and restated, the “Fluidstack Lease”). As part of the Fluidstack Lease, the Company is required to provide certain services for the data center including supplying power, environmental controls, physical security and connectivity products to the tenant, and failure to provide these services may result in additional costs under the lease.</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Fluidstack Lease, Google LLC (“Google”) agreed to support certain payment obligations under the lease upon the occurrence of specified events. See additional information regarding this agreement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2026, the Company amended the Fluidstack Lease to provide for an updated phased delivery schedule, with individual data halls expected to be delivered between the fourth quarter of 2026 and the first quarter of 2027 and remove the two five-year extension options. Concurrently with the execution of the amendment to the Fluidstack Lease, the Company entered into a binding agreement with a leading AI lab to lease the facility for 10 years to commence following the term of the Fluidstack Lease. In connection with the amendment to the Fluidstack Lease and related tenant-modification change orders, the Company, Fluidstack and the leading AI lab established a cost reimbursement framework under which the Company will bear the first</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$359.3 million of costs in excess of the initial budgeted amount under the Fluidstack Lease. The tenant will reimburse the Company over the aggregate 20-year contracted term for 50% of any such costs above that amount, payable as additional rent and calculated in a manner to provide the Company with a contracted rate of return on such reimbursed amounts.</w:t>
      </w:r>
    </w:p>
    <w:p>
      <w:pPr>
        <w:spacing w:after="0" w:line="14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October 2025, the Company, through its wholly owned subsidiary Cipher Black Pearl LLC, entered into a 15-year lease agreement with an investment grade hyperscaler tenant to deliver approximately 300 gross MW of turnkey data center capacity at the Black Pearl Facility (the “Black Pearl Facility Lease”). Delivery of the facility occurs on a phased basis, with the initial phase commenced in August 2026. The Black Pearl Facility Lease provides three five-year extension options, as well as a short-term extension option under specified conditions. The Company is required to provide ongoing services including power, operations and maintenance, and other operating services, and may be subject to rent credits or other remedies for failure to achieve specified milestones. Between November 2025 and July 2026, the parties entered into three amendments to the Black Pearl Facility Lease that, among other things, revised the data hall configuration and milestone delivery dates.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2026, the Company, through a wholly owned subsidiary, entered into a data center lease agreement with an investment grade hyperscaler tenant for the development, construction and lease of an additional HPC data center facility at one of the Company’s existing sites in Texas. The initial term of the lease is 15 years, with multiple extension options at the tenant's election. The Company is responsible for construction of the facility, with phased delivery expected to begin in 2027. Base rent is abated prior to the first phase commencement date and commences on a per-phase basis as each phase 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delivered. The Company is required to provide ongoing services including power, operations and maintenance, and other operating services, and may be subject to rent credits or other remedies for failure to achieve specified delivery milestones.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HPC leasing revenue for its commenced operating leases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34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3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relating to fixed payments</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2"/>
                <w:szCs w:val="22"/>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relating to variable payments</w:t>
            </w:r>
          </w:p>
        </w:tc>
        <w:tc>
          <w:tcPr>
            <w:tcW w:w="10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HPC leasing revenue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8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-753745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-753745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difference between lease revenue recognized on a straight-line basis and contractual lease payments billed is recorded as accrued rent receivable or deferred rent liability. As of September 30, 2026, the Company had accrued rent receivables of $1.4 million, included in Other noncurrent assets, and deferred rent liabilities of $46.2 million included in Deferred revenue, in the Company’s condensed consolidated balance sheets. There were no accrued rent receivables or deferred rent liabilities as of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future minimum operating lease payments expected to be received from commenced lease components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The table includes only base rent and excludes reimbursements and variable lease components:</w:t>
      </w:r>
    </w:p>
    <w:p>
      <w:pPr>
        <w:spacing w:after="0" w:line="225" w:lineRule="exact"/>
        <w:rPr>
          <w:sz w:val="20"/>
          <w:szCs w:val="20"/>
          <w:color w:val="auto"/>
        </w:rPr>
      </w:pPr>
    </w:p>
    <w:tbl>
      <w:tblPr>
        <w:tblLayout w:type="fixed"/>
        <w:tblInd w:w="2200" w:type="dxa"/>
        <w:tblCellMar>
          <w:top w:w="0" w:type="dxa"/>
          <w:left w:w="0" w:type="dxa"/>
          <w:bottom w:w="0" w:type="dxa"/>
          <w:right w:w="0" w:type="dxa"/>
        </w:tblCellMar>
      </w:tblP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Year Ending December 31, 2026</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r>
      <w:tr>
        <w:trPr>
          <w:trHeight w:val="27"/>
        </w:trPr>
        <w:tc>
          <w:tcPr>
            <w:tcW w:w="5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r>
      <w:tr>
        <w:trPr>
          <w:trHeight w:val="27"/>
        </w:trPr>
        <w:tc>
          <w:tcPr>
            <w:tcW w:w="5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363,920</w:t>
            </w:r>
          </w:p>
        </w:tc>
      </w:tr>
      <w:tr>
        <w:trPr>
          <w:trHeight w:val="27"/>
        </w:trPr>
        <w:tc>
          <w:tcPr>
            <w:tcW w:w="5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02"/>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entered into a series of agreements with affiliates of Luminant, including the Lease Agreement dated June 29, 2021, as amended on July 9, 2021 and August 23, 2023 (as amended,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Purchase and Sale Agreement dated June 28, 2021 with Vistra Operations Company LLC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65"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approximately five years, with renewal provisions that are aligned with the Luminant Power Agreement. Financing for use of the land and substation is provided by Luminant affiliates.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Mikeska Ground 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August 2026, the Company, through its wholly-owned subsidiary Mikeska LLC, entered into a Second Amendment to Ground Lease with Purchase Option with the property owner to expand the optioned land, and extend term during which the purchase option is exercisable. The Company determined that it is reasonably certain to exercise the purchase option and classified the lease as a finance lease. At the amendment date, the Company recognized a finance lease ROU asset of $18.2 million and a lease liability of $18.0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through its wholly owned subsidiary, Cipher Reveille LLC, assumed a lease for up to 52 acres of land in LaSalle, Texas, in October 2024 for the purpose of constructing a data center, and ancillary infrastructure. The initial term of the lease is ten years, and includes two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warehouse leases</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 In September 2026, the Company entered into an agreement to terminate the license for its One Vanderbilt Avenue office effective January 30, 2027, and remeasured the related lease liability and right-of-use asset.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entered into a commercial lease for a warehouse in Odessa,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2026, the Company entered into an operating lease for office space in New York, New York.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33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8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42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8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0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5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4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7"/>
        </w:trPr>
        <w:tc>
          <w:tcPr>
            <w:tcW w:w="4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7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top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0</wp:posOffset>
            </wp:positionV>
            <wp:extent cx="419163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91635" cy="342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-376555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-376555</wp:posOffset>
            </wp:positionV>
            <wp:extent cx="59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-1464945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-1464945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 w:lineRule="exact"/>
        <w:rPr>
          <w:sz w:val="20"/>
          <w:szCs w:val="20"/>
          <w:color w:val="auto"/>
        </w:rPr>
      </w:pPr>
    </w:p>
    <w:p>
      <w:pPr>
        <w:ind w:left="640" w:hanging="398"/>
        <w:spacing w:after="0"/>
        <w:tabs>
          <w:tab w:leader="none" w:pos="6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 The Mikeska ROU asset is not amortized as the underlying asset is land.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55"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8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38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finance</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1"/>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right-of-use asset and operating lease</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liability from lease modification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-1122680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-1122680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9"/>
                <w:szCs w:val="19"/>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63"/>
        </w:trPr>
        <w:tc>
          <w:tcPr>
            <w:tcW w:w="628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180" w:type="dxa"/>
            <w:vAlign w:val="bottom"/>
            <w:tcBorders>
              <w:top w:val="single" w:sz="8" w:color="auto"/>
              <w:bottom w:val="single" w:sz="8" w:color="CCECFF"/>
            </w:tcBorders>
            <w:shd w:val="clear" w:color="auto" w:fill="CCECFF"/>
          </w:tcPr>
          <w:p>
            <w:pPr>
              <w:spacing w:after="0"/>
              <w:rPr>
                <w:sz w:val="22"/>
                <w:szCs w:val="22"/>
                <w:color w:val="auto"/>
              </w:rPr>
            </w:pPr>
          </w:p>
        </w:tc>
        <w:tc>
          <w:tcPr>
            <w:tcW w:w="176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CFF"/>
              <w:bottom w:val="single" w:sz="8" w:color="CCECFF"/>
            </w:tcBorders>
            <w:shd w:val="clear" w:color="auto" w:fill="CCECFF"/>
          </w:tcPr>
          <w:p>
            <w:pPr>
              <w:spacing w:after="0"/>
              <w:rPr>
                <w:sz w:val="22"/>
                <w:szCs w:val="22"/>
                <w:color w:val="auto"/>
              </w:rPr>
            </w:pPr>
          </w:p>
        </w:tc>
        <w:tc>
          <w:tcPr>
            <w:tcW w:w="200" w:type="dxa"/>
            <w:vAlign w:val="bottom"/>
            <w:tcBorders>
              <w:top w:val="single" w:sz="8" w:color="auto"/>
              <w:bottom w:val="single" w:sz="8" w:color="CCECFF"/>
            </w:tcBorders>
            <w:shd w:val="clear" w:color="auto" w:fill="CCECFF"/>
          </w:tcPr>
          <w:p>
            <w:pPr>
              <w:spacing w:after="0"/>
              <w:rPr>
                <w:sz w:val="22"/>
                <w:szCs w:val="22"/>
                <w:color w:val="auto"/>
              </w:rPr>
            </w:pPr>
          </w:p>
        </w:tc>
        <w:tc>
          <w:tcPr>
            <w:tcW w:w="17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3"/>
        </w:trPr>
        <w:tc>
          <w:tcPr>
            <w:tcW w:w="62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80" w:type="dxa"/>
            <w:vAlign w:val="bottom"/>
            <w:tcBorders>
              <w:bottom w:val="single" w:sz="8" w:color="CCECFF"/>
            </w:tcBorders>
            <w:shd w:val="clear" w:color="auto" w:fill="CCECFF"/>
          </w:tcPr>
          <w:p>
            <w:pPr>
              <w:spacing w:after="0"/>
              <w:rPr>
                <w:sz w:val="22"/>
                <w:szCs w:val="22"/>
                <w:color w:val="auto"/>
              </w:rPr>
            </w:pP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5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83"/>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shd w:val="clear" w:color="auto" w:fill="CCECFF"/>
          </w:tcPr>
          <w:p>
            <w:pPr>
              <w:spacing w:after="0"/>
              <w:rPr>
                <w:sz w:val="24"/>
                <w:szCs w:val="24"/>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5,073</w:t>
            </w:r>
          </w:p>
        </w:tc>
      </w:tr>
    </w:tbl>
    <w:p>
      <w:pPr>
        <w:spacing w:after="0" w:line="81" w:lineRule="exact"/>
        <w:rPr>
          <w:sz w:val="20"/>
          <w:szCs w:val="20"/>
          <w:color w:val="auto"/>
        </w:rPr>
      </w:pPr>
    </w:p>
    <w:p>
      <w:pPr>
        <w:ind w:left="360" w:right="120" w:hanging="352"/>
        <w:spacing w:after="0" w:line="237" w:lineRule="auto"/>
        <w:tabs>
          <w:tab w:leader="none" w:pos="34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2026, the Company recorded accumulated amortization of $8.9 million for the Odessa finance lease ROU asset. Finance lease ROU assets are recorded within property and equipment, net on the Company’s condensed consolidated balance sheets. The Mikeska finance lease ROU asset is not amortized, as the underlying asset is land.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future minimum lease payments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Year Ending December 31, 2026</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2026. In the normal course of business, the Company enters into contracts with suppliers, primarily related to construction, and has commitments of approximately $1,610.1 million as of September 30, 2026. The majority of commitments relate to construction at sites with leases to HPC tenants.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loss, if any, will result from any claims, lawsuits and proceedings, to which the Company is subject to either individually, or in the aggregate.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with capacity to be determined, subject to credit review. The Company will not incur commitment fees for unused portions of the Coinbase Overnight Credit Facility. The borrowing rate on amounts drawn against the Coinbase Overnight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recorded $112.7 million in short-term borrowings on the Company’s condensed consolidated balance sheet as these scheduled principal payments are due within one year based on contractual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debt issuance costs as of the period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issuance costs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original issue</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portion of</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discounts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premium, net</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Borrowings, net</w:t>
            </w:r>
          </w:p>
        </w:tc>
      </w:tr>
      <w:tr>
        <w:trPr>
          <w:trHeight w:val="27"/>
        </w:trPr>
        <w:tc>
          <w:tcPr>
            <w:tcW w:w="4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Convertible Notes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May 2030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20" w:type="dxa"/>
            <w:vAlign w:val="bottom"/>
          </w:tcPr>
          <w:p>
            <w:pPr>
              <w:spacing w:after="0"/>
              <w:rPr>
                <w:sz w:val="22"/>
                <w:szCs w:val="22"/>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2031 Convertible Notes</w:t>
            </w:r>
          </w:p>
        </w:tc>
        <w:tc>
          <w:tcPr>
            <w:tcW w:w="12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2031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(382,574)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917,426</w:t>
            </w:r>
          </w:p>
        </w:tc>
        <w:tc>
          <w:tcPr>
            <w:tcW w:w="20" w:type="dxa"/>
            <w:vAlign w:val="bottom"/>
          </w:tcPr>
          <w:p>
            <w:pPr>
              <w:spacing w:after="0"/>
              <w:rPr>
                <w:sz w:val="22"/>
                <w:szCs w:val="22"/>
                <w:color w:val="auto"/>
              </w:rPr>
            </w:pPr>
          </w:p>
        </w:tc>
      </w:tr>
      <w:tr>
        <w:trPr>
          <w:trHeight w:val="238"/>
        </w:trPr>
        <w:tc>
          <w:tcPr>
            <w:tcW w:w="4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Cipher Compute 2030 Senior</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November</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Secured Notes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1,661,883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40" w:type="dxa"/>
            <w:vAlign w:val="bottom"/>
          </w:tcPr>
          <w:p>
            <w:pPr>
              <w:spacing w:after="0"/>
              <w:rPr>
                <w:sz w:val="20"/>
                <w:szCs w:val="20"/>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Black Pearl 2031 Senior Secured</w:t>
            </w: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12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February 2031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(64,167)</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1,903,778</w:t>
            </w:r>
          </w:p>
        </w:tc>
        <w:tc>
          <w:tcPr>
            <w:tcW w:w="2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Stingray 2031 Senior Secured</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June 2031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795,008</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Vehicle Loans</w:t>
            </w:r>
          </w:p>
        </w:tc>
        <w:tc>
          <w:tcPr>
            <w:tcW w:w="12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10.300 %</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6,016,312</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(456,434)</w:t>
            </w: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(112,704)</w:t>
            </w:r>
          </w:p>
        </w:tc>
        <w:tc>
          <w:tcPr>
            <w:tcW w:w="16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5,447,174</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2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portion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6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7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 net</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 net</w:t>
            </w:r>
          </w:p>
        </w:tc>
      </w:tr>
      <w:tr>
        <w:trPr>
          <w:trHeight w:val="27"/>
        </w:trPr>
        <w:tc>
          <w:tcPr>
            <w:tcW w:w="27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57"/>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Convertible Notes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May 2030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1.750%</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167,643</w:t>
            </w:r>
          </w:p>
        </w:tc>
      </w:tr>
      <w:tr>
        <w:trPr>
          <w:trHeight w:val="27"/>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2031 Convertible Notes</w:t>
            </w:r>
          </w:p>
        </w:tc>
        <w:tc>
          <w:tcPr>
            <w:tcW w:w="1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0.000%</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870,842</w:t>
            </w:r>
          </w:p>
        </w:tc>
      </w:tr>
      <w:tr>
        <w:trPr>
          <w:trHeight w:val="238"/>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Cipher Compute 2030 Senior</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Secured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1,673,163</w:t>
            </w:r>
          </w:p>
        </w:tc>
      </w:tr>
      <w:tr>
        <w:trPr>
          <w:trHeight w:val="27"/>
        </w:trPr>
        <w:tc>
          <w:tcPr>
            <w:tcW w:w="27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3,205,500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2,711,648</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the 2030 Convertible Notes with an interest rate of 1.75%. The 2030 Convertible Notes are senior, unsecured obligations with interest due semiannually on May 15 and November 15 each year beginning on November 15, 2025. The 2030 Convertible Notes will mature on May 15, 2030, unless earlier repurchased, redeemed or converted.</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Before February 15, 2030, noteholders will have the right to convert their 2030 Convertible Notes only upon the occurrence of certain events. On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 The 2030 Convertible Notes have an effective interest rate of 2.430%.</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October 16, 2026, the Company exchanged approximately $165.9 million of principal amount of the 2030 Convertible Notes for approximately 40.7 million shares of the Company’s common stock. Following this exchange, approximately $6.6 million aggregate principal amount of the 2030 Convertible Notes remains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$1.3 billion of principal amount of the 2031 Convertible Notes with an interest rate of 0.00%. The 2031 Convertible Notes are senior, unsecured obligations and will be equal in right of payment with the Company’s existing and future senior, unsecured indebtedness, including the 2030 Convertible Notes. The 2031 Convertible Notes will mature on October 1, 2031, unless earlier repurchased, redeemed or converted.</w:t>
      </w:r>
    </w:p>
    <w:p>
      <w:pPr>
        <w:spacing w:after="0" w:line="1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Before July 1, 2031, the 2031 Convertible Notes will be convertible only upon satisfaction of certain conditions and during a certain period. On or after July 1, 2031, the 2031 Convertible Notes will be convertible at any time until the close of business on the second scheduled trading day immediately preceding the maturity date (the “2031 Note Conversion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Option”). The Company will settle conversions by paying or delivering, as applicable, cash, shares of its common stock, or a combination of cash and shares of its common stock, at the Company’s election. The initial conversion rate is 62.3733 shares of the Company’s common stock per $1,000 principal amount of the 2031 Convertible Notes, which represents an initial conversion price of approximately $16.03 per share of the Company’s common stock.</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2031 Convertible Notes will be redeemable, in whole or in part (subject to certain limitations described below), for cash at the Company’s option at any time, and from time to time, on or after October 5, 2028 and on or before the 30th scheduled trading day immediately before the maturity date, but only if (i)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and (ii) certain “liquidity conditions” (as defined in the indenture) having been satisfied. However, the Company may not redeem less than all of the outstanding 2031 Convertible Notes unless at least $100.0 million aggregate principal amount of 2031 Convertible Notes are outstanding and not called for redemption as of the time the Company sends the related redemption notice. The 2031 Convertible Notes have an effective interest rate of 6.890%.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interest expense recognized on the Company's convertible notes for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thousands):</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29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 Convertible Notes: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 and discount</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7"/>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6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2031 Convertible Notes: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 and discount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Cipher Compute 2030 Senior Secured Notes</w:t>
      </w:r>
    </w:p>
    <w:p>
      <w:pPr>
        <w:spacing w:after="0" w:line="2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November 13, 2025, Cipher Compute LLC (“Cipher Compute”), a wholly owned indirect subsidiary of the Company, issued an aggregate principal amount of $1.4 billion of 7.125% Senior Secured Notes due 2030 (the “Cipher Compute 2030 Senior Secured Notes”). The Cipher Compute 2030 Senior Secured Notes are senior secured obligations of Cipher Compute and bear interest at a rate of 7.125% per year payable semiannually in arrears on May 15 and November 15 of each year, beginning on May 15, 2026. The Cipher Compute 2030 Senior Secured Notes will mature on November 15, 2030, unless earlier redeemed or repurchased in accordance with their terms. On November 24, 2025, Cipher Compute issued an additional $333.0 million aggregate principal amount of the Cipher Compute 2030 Senior Secured Notes.</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principal amount of the Cipher Compute 2030 Senior Secured Notes will amortize on a semi-annual basis on May 15 and November 15 of each year in amounts based on schedules in the indenture. No amortization will be payable prior to the completion of the Barber Lake Facility. Required amortization shall be subject to adjustment in case of partial redemption or repurchase.</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or after November 15, 2027, Cipher Compute may redeem the Cipher Compute 2030 Senior Secured Notes at its option, in whole at any time or in part from time to time, at the redemption prices set forth in the indenture. Prior to November 15, 2027, Cipher Compute may redeem the Cipher Compute 2030 Senior Secured Notes at its option, in whole at any time or in part from time to time, at a redemption price equal to 100% of the principal amount of the Cipher Compute 2030 Senior Secured Notes redeemed, plus a “make-whole” premium and accrued and unpaid interest, if any. In addition, prior to November 15, 2027, Cipher Compute may redeem up to 40% of the aggregate principal amount of the Cipher Compute 2030 Senior Secured Notes in an amount not to exceed the amount of the proceeds of certain equity offerings, at the redemption price set forth in the indenture, plus accrued and unpaid interest.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Pearl 2031 Senior Secured Notes</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11, 2026, Black Pearl Compute LLC (“BP Compute”), a wholly owned indirect subsidiary of the Company, issued an aggregate principal of $2.0 billion of 6.125% Senior Secured Notes due 2031 (the “Black Pearl 2031 Senior Secured Notes”). The Black Pearl 2031 Senior Secured Notes are senior secured obligations of BP Compute and bear interest at a rate of 6.125% per year payable semiannually in arrears on February 15 and August 15 of each year, beginning on August 15, 2026. The Black Pearl 2031 Senior Secured Notes will mature on February 15, 2031, unless earlier redeemed or repurchased in accordance with their terms.</w:t>
      </w:r>
    </w:p>
    <w:p>
      <w:pPr>
        <w:spacing w:after="0" w:line="14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principal amount of the Black Pearl 2031 Senior Secured Notes will amortize on a semi-annual basis on February 15 and August 15 of each year in amounts based on schedules in the indenture. No amortization will be payable prior to the completion of the Black Pearl Facility. Required amortization shall be subject to adjustment in case of partial redemption or repurchase.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or after February 15, 2028, BP Compute may redeem the Black Pearl 2031 Senior Secured Notes at its option, in whole at any time or in part from time to time, at the redemption prices set forth in the indenture. Prior to February 15, 2028, BP Compute may redeem the Black Pearl 2031 Senior Secured Notes at its option, in whole at any time or in part from time to time, at a redemption price equal to 100% of the principal amount of the Black Pearl 2031 Senior Secured Notes redeemed, plus a “make-whole” premium and accrued and unpaid interest, if any. In addition, prior to February 15, 2028, BP Compute may redeem up to 40% of the aggregate principal amount of the Black Pearl 2031 Senior Secured Notes in an amount not to exceed the amount of the net proceeds of certain equity offerings at the redemption price set forth in the indenture, plus accrued and unpaid interest,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Stingray 2031 Senior Secured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2026, Stingray Compute LLC (“Stingray Compute”), a wholly owned indirect subsidiary of the Company, issued an aggregate principal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$810.0 million of 6.000% Senior Secured Notes due 2031 (the “Stingray 2031 Senior Secured Notes”). The Stingray 2031 Senior Secured Notes are senior secured obligations of Stingray Compute and bear interest at a rate of 6.000% per year payable semiannually in arrears on June 15 and December 15 of each year, beginning on December 15, 2026. The Stingray 2031 Senior Secured Notes will mature on June 15, 2031, unless earlier redeemed or repurchased in accordance with their terms.</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principal amount of the Stingray 2031 Senior Secured Notes will amortize on a semi-annual basis on June 15 and December 15 of each year based on the consolidated net operating income of Stingray Compute and its subsidiaries. No amortization will be payable prior to the completion of the Stingray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23, 2026, the Company entered into a $200.0 million revolving credit facility (the “Revolving Credit Facility”) with Morgan Stanley Senior Funding, Inc. as administrative agent and collateral agent, and a syndicate of lenders. The Revolving Credit Facility also provides for additional accordion option of up to $50.0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period prior to the first to occur of the commencement of operations at the Barber Lake Facility and the Black Pearl Facility (the “Pre-Completion Availability Period”), aggregate borrowings under the Revolving Credit Facility are limited to $50.0 million (the “Pre-Completion Availability Cap”). The Revolving Credit Facility includes a letter of credit sublimit of $50.0 million, which is part of, and not in addition to, the total revolving commitment.</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at the Company’s election, either Adjusted Term SOFR plus an applicable margin or the Alternate Base Rate (“ABR”) plus an applicable margin. The applicable margin for Initial Revolving Loans is initially 1.750% per annum for Term SOFR borrowings and 0.750% per annum for ABR borrowings, in each case through the date the Company delivers its first compliance certificate following the fiscal quarter ending September 30, 2026. Thereafter, the applicable margin is subject to adjustment based on the Company’s Consolidated Total Debt to Market Capitalization Ratio, ranging from 1.250% to 1.750% per annum for Term SOFR borrowings. The Company is also required to pay a commitment fee of 0.500% per annum on the daily average unfunded revolving commitments, payable quarterly.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secured on a first-priority basis by security interests in substantially all of the assets of the Borrower and each guarantor, including pledges of equity interests in the Borrower’s material subsidiaries.</w:t>
      </w:r>
    </w:p>
    <w:p>
      <w:pPr>
        <w:spacing w:after="0" w:line="13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Revolving Credit Facility contains a financial maintenance covenant requiring the Company to maintain minimum Liquidity (as defined in the credit agreement) as of the last day of each fiscal quarter of: (i) $100.0 million prior to the commencement of all phases of the first of the Barber Lake Facility or the Black Pearl Facility; (ii) $150.0 million following commencement of all phases of the first such facility but prior to commencement of the second; and</w:t>
      </w:r>
    </w:p>
    <w:p>
      <w:pPr>
        <w:spacing w:after="0" w:line="2" w:lineRule="exact"/>
        <w:rPr>
          <w:sz w:val="20"/>
          <w:szCs w:val="20"/>
          <w:color w:val="auto"/>
        </w:rPr>
      </w:pPr>
    </w:p>
    <w:p>
      <w:pPr>
        <w:ind w:right="140" w:firstLine="8"/>
        <w:spacing w:after="0" w:line="253"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million following commencement of all phases of both facilities. The Company has the right to cure a liquidity shortfall by issuing equity and designating the net proceeds thereof as cure proceeds within 15 business days following the date on which the related compliance certificate is required to be delivered. Each borrowing under the Revolving Credit Facility is also conditioned upon, among other things, the Company’s market capitalization meeting a specified minimum as of the trading day immediately preceding such borrowing. As of September 30, 2026, the Company was in compliance with all covenants under the Revolving Credit Facility.</w:t>
      </w:r>
    </w:p>
    <w:p>
      <w:pPr>
        <w:spacing w:after="0" w:line="14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Debt issuance costs associated with the Revolving Credit Facility are presented as a deferred asset within other noncurrent assets on the condensed consolidated balance sheets and are amortized to interest expense on a straight-line basis over the term of the Revolving Credit Facility.</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$40.6 million of letters of credit outstanding under the Revolving Credit Facility and no revolving borrowings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aggregate future required minimum principal payments based on the terms of the long-term borrowings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188,861</w:t>
            </w: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295,095</w:t>
            </w:r>
          </w:p>
        </w:tc>
      </w:tr>
      <w:tr>
        <w:trPr>
          <w:trHeight w:val="25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299,631</w:t>
            </w: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r>
              <w:rPr>
                <w:rFonts w:ascii="Times New Roman" w:cs="Times New Roman" w:eastAsia="Times New Roman" w:hAnsi="Times New Roman"/>
                <w:sz w:val="23"/>
                <w:szCs w:val="23"/>
                <w:color w:val="auto"/>
                <w:vertAlign w:val="superscript"/>
              </w:rPr>
              <w:t>(1)</w:t>
            </w:r>
          </w:p>
        </w:tc>
        <w:tc>
          <w:tcPr>
            <w:tcW w:w="6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1,606,517</w:t>
            </w:r>
          </w:p>
        </w:tc>
      </w:tr>
      <w:tr>
        <w:trPr>
          <w:trHeight w:val="284"/>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r>
              <w:rPr>
                <w:rFonts w:ascii="Times New Roman" w:cs="Times New Roman" w:eastAsia="Times New Roman" w:hAnsi="Times New Roman"/>
                <w:sz w:val="23"/>
                <w:szCs w:val="23"/>
                <w:color w:val="auto"/>
                <w:vertAlign w:val="superscript"/>
              </w:rPr>
              <w:t>(2)</w:t>
            </w: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3,626,168</w:t>
            </w:r>
          </w:p>
        </w:tc>
      </w:tr>
      <w:tr>
        <w:trPr>
          <w:trHeight w:val="302"/>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of long-term borrowings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6,016,312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00" w:hanging="174"/>
        <w:spacing w:after="0"/>
        <w:tabs>
          <w:tab w:leader="none" w:pos="2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2030 is $172.5 million of principal related to the 2030 Convertible Notes which may be settled in cash, shares of common stock, or a combination thereof.</w:t>
      </w:r>
    </w:p>
    <w:p>
      <w:pPr>
        <w:spacing w:after="0" w:line="66" w:lineRule="exact"/>
        <w:rPr>
          <w:rFonts w:ascii="Times New Roman" w:cs="Times New Roman" w:eastAsia="Times New Roman" w:hAnsi="Times New Roman"/>
          <w:sz w:val="13"/>
          <w:szCs w:val="13"/>
          <w:color w:val="auto"/>
        </w:rPr>
      </w:pPr>
    </w:p>
    <w:p>
      <w:pPr>
        <w:ind w:left="200" w:hanging="174"/>
        <w:spacing w:after="0"/>
        <w:tabs>
          <w:tab w:leader="none" w:pos="2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Thereafter is $1,300.0 million of principal related to the 2031 Convertible Notes which may be settled in cash, shares of common stock, or a combination thereof.</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2026, 1,010,000,000 shares with a par value of $0.001 per share are authorized, of which 1,000,000,000 shares are designated as Common Stock and 10,000,000 shares are designated as preferred stock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4,902,606 shares of Common Stock to officers, employees and consultants in settlement of an equal number of fully vested RSUs awarded to these individuals, 2,709,999 shares of Common Stock upon the vesting and settlement of performance-based stock awards, and 53,656 shares of Common Stock to directors, pursuant to grants made under the Cipher Mining Inc. 2021 Incentive Award Plan (the “Incentive Award Plan”). The Company immediately repurchased 3,033,490 shares of Common Stock from officers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employees, with a fair value of approximately $68.7 million, to cover taxes related to the settlement of vested RSUs and PSUs, as permitted by the Incentive Award Plan. The Company placed the repurchased shares in treasury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5"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nine months ended September 30, 2026, the Company received proceeds of $129.2 million, net of issuance costs, from the sale of 5,496,993 shares of common stock, with an average net selling price of $23.50 per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24, 2025, as consideration for Google agreeing to backstop certain obligations of Fluidstack in connection with the Fluidstack Lease, the Company entered into an agreement with Google, amended and restated on November 20, 2025 (the “Google Warrant Agreement”), pursuant to which the Company issued to Google a warrant to purchase 24,178,576 shares (the “Warrant Shares”) of the Company’s Common Stock for an exercise price of $0.01 per share of Common Stock (the “Google Warrants”), subject to adjustments related to delivery of shares to settle the 2030 Convertible Notes and the 2031 Convertible Notes. The Google Warrants have an exercise period beginning on the commencement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date of the Fluidstack Lease and expiring on November 20, 2030. Additionally, if, on the business day prior to the beginning of the exercise period under the Google Warrant Agreement, the value of the Warrant Shares does not equal or exceed $435.0 million, the Company shall be obligated to issue additional Warrant Shares and/or make a cash payment equal in the aggregate to such shortfall amount on the terms set forth in the Google Warrant Agreement. The Google Warrants are recorded at fair value in Warrant liability on the Company’s condensed consolidated balance sheets and changes in the fair value are recorded in Change in fair value of warrant liability on the Company’s condensed consolidated statements of operations. See additional information regarding valuation of the Google Warrants in </w:t>
      </w:r>
      <w:r>
        <w:rPr>
          <w:rFonts w:ascii="Times New Roman" w:cs="Times New Roman" w:eastAsia="Times New Roman" w:hAnsi="Times New Roman"/>
          <w:sz w:val="18"/>
          <w:szCs w:val="18"/>
          <w:i w:val="1"/>
          <w:iCs w:val="1"/>
          <w:color w:val="auto"/>
        </w:rPr>
        <w:t>Note 18. Fair Value Measurements.</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October 16, 2026, the Company delivered shares to settle a portion of the 2030 Convertible Notes, resulting in an increase of approximately 2.0 million underlying Warrant Shares.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recorded an asset of $544.5 million in Other noncurrent assets on the condensed consolidated balance sheets at the initial fair value of the Google Warrants at issuance to represent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2026, this resulted in an increase of 12,148,892 shares of Common Stock available for issuance under the Incentive Award Plan. As of September 30, 2026, 26,765,571 shares of Common Stock were available for issuance under the Incentive Award Plan.</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condensed consolidated statements of operations for the following categories of awards as follows (in thousands):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34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3040" w:type="dxa"/>
            <w:vAlign w:val="bottom"/>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44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r>
      <w:tr>
        <w:trPr>
          <w:trHeight w:val="27"/>
        </w:trPr>
        <w:tc>
          <w:tcPr>
            <w:tcW w:w="4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-33655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-33655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-590550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-590550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nine months ended September 30, 2026 is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4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10,642,732</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3,779,115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5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(4,902,606)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2026</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9,500,711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35</w:t>
            </w: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$41.2 million of unrecognized compensation expense related to unvested Service-Based RSUs, which is expected to be recognized over a weighted-average vesting period of approximately 0.7 years.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 $7.76.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unrecognized compensation expense related to unvested 2021 Performance-Based RSUs at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2026, the last of the 2021 Performance-Based RSUs vested as the Company achieved a market capitalization equal to or exceeding $10 billion.</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There was approximately $1.4 million in unrecognized compensation expense related to the 2025 Performance-Based RSUs at September 30, 2026, which is expected to be recognized over a weighted-average vesting period of approximately 0.27 years, regardless of whether the market conditions required for vesting are achieved.</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end of the performance period, the Compensation Committee of the Board of Directors certified that the Company’s common stock achieved the necessary Total Shareholder Return (“TSR”) relative to the TSR of peer companies identified in the grant agreements and overall TSR for the performance period, and earned 225% of the 2025 Performance-Based RSUs originally granted, resulting in the issuance of 5,604,621 shares. One-third of the earned PSUs vested on December 31, 2025, and the remaining two-thirds of the earned PSUs will vest in equal quarterly installments over the following two years.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25, 2026, the Company issued an additional 2,179,406 Performance-Based RSUs (the “2026 Executive Officer PSU Agreement”) to the Company’s senior management team under the Incentive Award Plan at a weighted average grant date fair value of $26.80. None of the 2026 Performance-Based RSUs were vested as of September 30, 2026. There was approximately $31.0 million in unrecognized compensation expense related to the 2026 Performance-Based RSUs at September 30, 2026, which is expected to be recognized over a weighted-average vesting period of approximately 0.98 years, regardless of whether the market conditions required for vesting are achieved.</w:t>
      </w:r>
    </w:p>
    <w:p>
      <w:pPr>
        <w:spacing w:after="0" w:line="1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 or about December 31, 2026, the Company will calculate the number of PSUs expected to vest (the “Earned PSUs”), based upon the Company’s common stock achieving certain TSR relative to the TSR of peer companies identified in the grant agreements and the overall TSR of the Company for the 2026 calendar year. The number of Earned PSUs will range from 0% to 225% of the number of 2026 Performance-Based RSUs originally granted. Subject to the employee’s continuous service through the vesting date, one-third of the Earned PSUs will vest on December 31, 2026 and the remaining two-thirds of the Earned PSUs will vest in equal quarterly installments over the following two years with the first such vesting date occurring on March 31, 2027.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Performance-Based RSUs was measured using a Monte Carlo simulation model based on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Expected volatility</w:t>
            </w:r>
          </w:p>
        </w:tc>
      </w:tr>
      <w:tr>
        <w:trPr>
          <w:trHeight w:val="27"/>
        </w:trPr>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64"/>
        </w:trPr>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 PSU Agreement</w:t>
            </w:r>
          </w:p>
        </w:tc>
        <w:tc>
          <w:tcPr>
            <w:tcW w:w="24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3.60%</w:t>
            </w:r>
          </w:p>
        </w:tc>
        <w:tc>
          <w:tcPr>
            <w:tcW w:w="22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113.1%</w:t>
            </w:r>
          </w:p>
        </w:tc>
      </w:tr>
      <w:tr>
        <w:trPr>
          <w:trHeight w:val="25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4.14%</w:t>
            </w:r>
          </w:p>
        </w:tc>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7"/>
          <w:szCs w:val="17"/>
          <w:color w:val="auto"/>
        </w:rPr>
        <w:t>On February 25, 2026, the Company also issued additional 132,660 Performance-Based RSUs (the “2026 Key Service Provider PSU Equity Grants”) to other senior employees under the Incentive Award Plan. The awards vest upon the achievement of pre-established operational, infrastructure and execution-</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based milestones, as approved and certified by the Compensation Committee of the Board of Directors. Performance milestones include, but are not limited to, data center delivery, timely lease payments, interconnection progress with respect to company sites, execution of additional HPC leases, and securing</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 megawatts as established by the Compensation Committee at the time of grant. No awards will vest unless at least one milestone is certified as achieved by the Compensation Committee.</w:t>
      </w:r>
    </w:p>
    <w:p>
      <w:pPr>
        <w:spacing w:after="0" w:line="13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Following the conclusion of the performance period, the Company will calculate the number of PSUs expected to vest based upon the level of milestone attainment. The number of Earned PSUs will range from 0% to 200% of the target award amount based on the extent to which specified performance</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milestones are achieved during the performance period. For 94,757 of the awards, the applicable performance period ends on December 31, 2026, and for 37,903 of the awards, the applicable performance period ends on March 31, 2027. Subject to the employee’s continuous service through the vesting date, one-third of the Earned PSUs will vest at the end of the applicable performance period and the remaining two-thirds will vest in equal quarterly installments over the following two years with the first such vesting date occurring on March 31, 2027.</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Compensation expense is recognized over the requisite service period based on the grant-date fair value of the award and the probability of achieving the applicable performance conditions,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reassesses the probability of milestone achievement at each reporting date. If a milestone is deemed not probable of achievement, any previously recognized compensation expense associated with that milestone is reversed in the period of the change in estimate, regardless of whether service has been rendered to date.</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$3.2 million of unrecognized compensation expense related to unvested PSUs, which is expected to be recognized over a weighted-average remaining service period of 0.98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September 30, 2026</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1"/>
                <w:szCs w:val="21"/>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602,581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602,581</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2,196,435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2,196,435</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receivable</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2,843,792</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2,852,562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504,880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2025</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1"/>
                <w:szCs w:val="21"/>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2,035,631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2,035,631</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2,696,803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2,753,613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-3060065</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-3060065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-3060065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-3599815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-3599815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-3599815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-5794375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-5794375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-5794375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-599440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-599440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-599440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7"/>
        </w:trPr>
        <w:tc>
          <w:tcPr>
            <w:tcW w:w="474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Convertible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620,388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620,388</w:t>
            </w: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2031 Convertible Notes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1,658,306</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Cipher Compute 2030 Senior Secured Notes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1,741,665</w:t>
            </w: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Black Pearl 2031 Senior Secured Notes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1,967,945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1,957,500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Stingray 2031 Senior Secured Notes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774,101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774,101</w:t>
            </w:r>
          </w:p>
        </w:tc>
      </w:tr>
      <w:tr>
        <w:trPr>
          <w:trHeight w:val="250"/>
        </w:trPr>
        <w:tc>
          <w:tcPr>
            <w:tcW w:w="4740" w:type="dxa"/>
            <w:vAlign w:val="bottom"/>
          </w:tcPr>
          <w:p>
            <w:pPr>
              <w:spacing w:after="0"/>
              <w:rPr>
                <w:sz w:val="21"/>
                <w:szCs w:val="21"/>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5,559,066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6,751,960</w:t>
            </w: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6,751,960</w:t>
            </w:r>
          </w:p>
        </w:tc>
      </w:tr>
      <w:tr>
        <w:trPr>
          <w:trHeight w:val="574"/>
        </w:trPr>
        <w:tc>
          <w:tcPr>
            <w:tcW w:w="4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7"/>
        </w:trPr>
        <w:tc>
          <w:tcPr>
            <w:tcW w:w="474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Convertible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597,768</w:t>
            </w: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2031 Convertible Notes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870,842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Cipher Compute 2030 Senior Secured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1,769,514</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1,769,514</w:t>
            </w:r>
          </w:p>
        </w:tc>
      </w:tr>
      <w:tr>
        <w:trPr>
          <w:trHeight w:val="250"/>
        </w:trPr>
        <w:tc>
          <w:tcPr>
            <w:tcW w:w="4740" w:type="dxa"/>
            <w:vAlign w:val="bottom"/>
          </w:tcPr>
          <w:p>
            <w:pPr>
              <w:spacing w:after="0"/>
              <w:rPr>
                <w:sz w:val="21"/>
                <w:szCs w:val="21"/>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2,749,441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3,914,815</w:t>
            </w: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3,914,815</w:t>
            </w: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condensed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power purchase agreement, related to the Luminant Power Agreement, is divided between current and noncurrent assets, and was initially recorded on its condensed consolidated balance sheets on the derivative asset’s effective date of July 1, 2022, with an offsetting amount recorded to change in fair value of derivative asset in costs and operating expenses on the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0.8 years. The valuations performed by the third-party valuation firm engaged by the Company utilized pre-tax discount rates of 5.52% and 4.80% as of September 30, 2026 and December 31, 2025, respectively, and include observable market inputs, but also include unobservable inputs based on qualitative judgment related to company-specific risk factors. Unrealized gains and losses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power purchase agreement measured using significant unobservable inputs (Level 3) for the nine months ended September 30, 2026 and 2025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7960" w:type="dxa"/>
            <w:vAlign w:val="bottom"/>
            <w:tcBorders>
              <w:bottom w:val="single" w:sz="8" w:color="CCEC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6"/>
              </w:rPr>
              <w:t>85,670</w:t>
            </w:r>
          </w:p>
        </w:tc>
      </w:tr>
      <w:tr>
        <w:trPr>
          <w:trHeight w:val="25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rPr>
              <w:t>(17,180)</w:t>
            </w:r>
          </w:p>
        </w:tc>
      </w:tr>
      <w:tr>
        <w:trPr>
          <w:trHeight w:val="27"/>
        </w:trPr>
        <w:tc>
          <w:tcPr>
            <w:tcW w:w="796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center"/>
              <w:ind w:left="492"/>
              <w:spacing w:after="0"/>
              <w:rPr>
                <w:sz w:val="20"/>
                <w:szCs w:val="20"/>
                <w:color w:val="auto"/>
              </w:rPr>
            </w:pPr>
            <w:r>
              <w:rPr>
                <w:rFonts w:ascii="Times New Roman" w:cs="Times New Roman" w:eastAsia="Times New Roman" w:hAnsi="Times New Roman"/>
                <w:sz w:val="18"/>
                <w:szCs w:val="18"/>
                <w:color w:val="auto"/>
                <w:w w:val="96"/>
              </w:rPr>
              <w:t>68,490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bottom w:val="single" w:sz="8" w:color="auto"/>
            </w:tcBorders>
          </w:tcPr>
          <w:p>
            <w:pPr>
              <w:spacing w:after="0" w:line="20" w:lineRule="exact"/>
              <w:rPr>
                <w:sz w:val="1"/>
                <w:szCs w:val="1"/>
                <w:color w:val="auto"/>
              </w:rPr>
            </w:pPr>
          </w:p>
        </w:tc>
        <w:tc>
          <w:tcPr>
            <w:tcW w:w="13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-591185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 Warrants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Google Warrants (as defined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were classified within Level 3 of the fair value hierarchy because the fair value is based on significant inputs that are unobservable in the market. The valuation of the Google Warrants used assumptions and estimates the Company believes would be made by a market participant in making the same valuation. The initial valuation of the Google Warrants was recorded to Warrant liability on the Company’s condensed consolidated balance sheets, and subsequent changes in fair value are also recorded to Change in fair value of warrant liability in the Company’s condensed consolidated statements of operations.</w:t>
      </w:r>
    </w:p>
    <w:p>
      <w:pPr>
        <w:spacing w:after="0" w:line="1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firm to determine the fair value of the Google Warrants using a Black-Scholes option-pricing model and the quoted price of Common Stock. The following table presents significant assumptions utilized in the valuations of the Google Warrants as of the date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64"/>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4.24%</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5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20" w:type="dxa"/>
            <w:vAlign w:val="bottom"/>
          </w:tcPr>
          <w:p>
            <w:pPr>
              <w:spacing w:after="0"/>
              <w:rPr>
                <w:sz w:val="22"/>
                <w:szCs w:val="22"/>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tcPr>
          <w:p>
            <w:pPr>
              <w:spacing w:after="0"/>
              <w:rPr>
                <w:sz w:val="22"/>
                <w:szCs w:val="22"/>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3"/>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107.00%</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5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20" w:type="dxa"/>
            <w:vAlign w:val="bottom"/>
          </w:tcPr>
          <w:p>
            <w:pPr>
              <w:spacing w:after="0"/>
              <w:rPr>
                <w:sz w:val="22"/>
                <w:szCs w:val="22"/>
                <w:color w:val="auto"/>
              </w:rPr>
            </w:pP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22"/>
                <w:szCs w:val="22"/>
                <w:color w:val="auto"/>
              </w:rPr>
            </w:pPr>
          </w:p>
        </w:tc>
      </w:tr>
      <w:tr>
        <w:trPr>
          <w:trHeight w:val="51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Google Warrants (amounts in thousands):</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63"/>
        </w:trPr>
        <w:tc>
          <w:tcPr>
            <w:tcW w:w="840" w:type="dxa"/>
            <w:vAlign w:val="bottom"/>
          </w:tcPr>
          <w:p>
            <w:pPr>
              <w:spacing w:after="0"/>
              <w:rPr>
                <w:sz w:val="22"/>
                <w:szCs w:val="22"/>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525,160</w:t>
            </w:r>
          </w:p>
        </w:tc>
        <w:tc>
          <w:tcPr>
            <w:tcW w:w="640" w:type="dxa"/>
            <w:vAlign w:val="bottom"/>
          </w:tcPr>
          <w:p>
            <w:pPr>
              <w:spacing w:after="0"/>
              <w:rPr>
                <w:sz w:val="22"/>
                <w:szCs w:val="22"/>
                <w:color w:val="auto"/>
              </w:rPr>
            </w:pPr>
          </w:p>
        </w:tc>
      </w:tr>
      <w:tr>
        <w:trPr>
          <w:trHeight w:val="257"/>
        </w:trPr>
        <w:tc>
          <w:tcPr>
            <w:tcW w:w="840" w:type="dxa"/>
            <w:vAlign w:val="bottom"/>
          </w:tcPr>
          <w:p>
            <w:pPr>
              <w:spacing w:after="0"/>
              <w:rPr>
                <w:sz w:val="22"/>
                <w:szCs w:val="22"/>
                <w:color w:val="auto"/>
              </w:rPr>
            </w:pPr>
          </w:p>
        </w:tc>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22"/>
                <w:szCs w:val="22"/>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(20,280)</w:t>
            </w:r>
          </w:p>
        </w:tc>
        <w:tc>
          <w:tcPr>
            <w:tcW w:w="640" w:type="dxa"/>
            <w:vAlign w:val="bottom"/>
          </w:tcPr>
          <w:p>
            <w:pPr>
              <w:spacing w:after="0"/>
              <w:rPr>
                <w:sz w:val="22"/>
                <w:szCs w:val="22"/>
                <w:color w:val="auto"/>
              </w:rPr>
            </w:pPr>
          </w:p>
        </w:tc>
      </w:tr>
      <w:tr>
        <w:trPr>
          <w:trHeight w:val="27"/>
        </w:trPr>
        <w:tc>
          <w:tcPr>
            <w:tcW w:w="84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302"/>
        </w:trPr>
        <w:tc>
          <w:tcPr>
            <w:tcW w:w="840" w:type="dxa"/>
            <w:vAlign w:val="bottom"/>
          </w:tcPr>
          <w:p>
            <w:pPr>
              <w:spacing w:after="0"/>
              <w:rPr>
                <w:sz w:val="24"/>
                <w:szCs w:val="24"/>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504,880</w:t>
            </w:r>
          </w:p>
        </w:tc>
        <w:tc>
          <w:tcPr>
            <w:tcW w:w="6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third quarter of 2026, the Company had one operating and reportable segment, Bitcoin Mining. In connection with the commencement of the initial phase of the Black Pearl Facility Lease in August 2026, the CODM began regularly reviewing discrete financial information for the Company’s HPC leasing activities to assess performance and allocate resources. As a result, beginning in the third quarter of 2026, the Company has two operating segments, Bitcoin Mining, which through operations produces bitcoin to generate revenue, and HPC Leasing through which data centers are constructed and leased to tenants for HPC. The CODM for the Company consists of the CEO and CFO. The CODM reviews the performance of the Company’s operating segments primarily based on operating income when deciding on allocating resources. As a result, the Company retrospectively recast prior period results by segment to conform to the current period presentation. Asset information by reportable segment is not regularly provided to the CODM for resource allocations and, accordingly, segment asset information is not presented.</w:t>
      </w:r>
    </w:p>
    <w:p>
      <w:pPr>
        <w:spacing w:after="0" w:line="1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three months ended September 30, 2026, and 2025 are summarized in the following table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83"/>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32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HPC Leasing</w:t>
            </w:r>
          </w:p>
        </w:tc>
        <w:tc>
          <w:tcPr>
            <w:tcW w:w="460" w:type="dxa"/>
            <w:vAlign w:val="bottom"/>
          </w:tcPr>
          <w:p>
            <w:pPr>
              <w:spacing w:after="0"/>
              <w:rPr>
                <w:sz w:val="24"/>
                <w:szCs w:val="24"/>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5,852</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w:t>
            </w:r>
          </w:p>
        </w:tc>
      </w:tr>
      <w:tr>
        <w:trPr>
          <w:trHeight w:val="27"/>
        </w:trPr>
        <w:tc>
          <w:tcPr>
            <w:tcW w:w="4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2"/>
                <w:szCs w:val="22"/>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(16,415)</w:t>
            </w:r>
          </w:p>
        </w:tc>
        <w:tc>
          <w:tcPr>
            <w:tcW w:w="30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(2,406)</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(13,910)</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investees</w:t>
            </w:r>
          </w:p>
        </w:tc>
        <w:tc>
          <w:tcPr>
            <w:tcW w:w="320" w:type="dxa"/>
            <w:vAlign w:val="bottom"/>
          </w:tcPr>
          <w:p>
            <w:pPr>
              <w:spacing w:after="0"/>
              <w:rPr>
                <w:sz w:val="22"/>
                <w:szCs w:val="22"/>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12,394</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 bitcoin</w:t>
            </w:r>
          </w:p>
        </w:tc>
        <w:tc>
          <w:tcPr>
            <w:tcW w:w="320" w:type="dxa"/>
            <w:vAlign w:val="bottom"/>
          </w:tcPr>
          <w:p>
            <w:pPr>
              <w:spacing w:after="0"/>
              <w:rPr>
                <w:sz w:val="22"/>
                <w:szCs w:val="22"/>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Direct operating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(2,009)</w:t>
            </w:r>
          </w:p>
        </w:tc>
        <w:tc>
          <w:tcPr>
            <w:tcW w:w="38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4,257</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(2,739)</w:t>
            </w: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(9,010)</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Other operating items</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(71,915)</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(58,994)</w:t>
            </w:r>
          </w:p>
        </w:tc>
        <w:tc>
          <w:tcPr>
            <w:tcW w:w="0" w:type="dxa"/>
            <w:vAlign w:val="bottom"/>
          </w:tcPr>
          <w:p>
            <w:pPr>
              <w:spacing w:after="0"/>
              <w:rPr>
                <w:sz w:val="1"/>
                <w:szCs w:val="1"/>
                <w:color w:val="auto"/>
              </w:rPr>
            </w:pPr>
          </w:p>
        </w:tc>
      </w:tr>
      <w:tr>
        <w:trPr>
          <w:trHeight w:val="283"/>
        </w:trPr>
        <w:tc>
          <w:tcPr>
            <w:tcW w:w="4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129,767</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30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HPC Leasing</w:t>
            </w:r>
          </w:p>
        </w:tc>
        <w:tc>
          <w:tcPr>
            <w:tcW w:w="380" w:type="dxa"/>
            <w:vAlign w:val="bottom"/>
          </w:tcPr>
          <w:p>
            <w:pPr>
              <w:spacing w:after="0"/>
              <w:rPr>
                <w:sz w:val="24"/>
                <w:szCs w:val="24"/>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71,707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71,707</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2"/>
                <w:szCs w:val="22"/>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(59,549)</w:t>
            </w:r>
          </w:p>
        </w:tc>
        <w:tc>
          <w:tcPr>
            <w:tcW w:w="30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investees</w:t>
            </w:r>
          </w:p>
        </w:tc>
        <w:tc>
          <w:tcPr>
            <w:tcW w:w="320" w:type="dxa"/>
            <w:vAlign w:val="bottom"/>
          </w:tcPr>
          <w:p>
            <w:pPr>
              <w:spacing w:after="0"/>
              <w:rPr>
                <w:sz w:val="22"/>
                <w:szCs w:val="22"/>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w:t>
            </w:r>
          </w:p>
        </w:tc>
        <w:tc>
          <w:tcPr>
            <w:tcW w:w="30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 bitcoin</w:t>
            </w:r>
          </w:p>
        </w:tc>
        <w:tc>
          <w:tcPr>
            <w:tcW w:w="320" w:type="dxa"/>
            <w:vAlign w:val="bottom"/>
          </w:tcPr>
          <w:p>
            <w:pPr>
              <w:spacing w:after="0"/>
              <w:rPr>
                <w:sz w:val="22"/>
                <w:szCs w:val="22"/>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7,535</w:t>
            </w:r>
          </w:p>
        </w:tc>
        <w:tc>
          <w:tcPr>
            <w:tcW w:w="30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(15,004)</w:t>
            </w:r>
          </w:p>
        </w:tc>
        <w:tc>
          <w:tcPr>
            <w:tcW w:w="0" w:type="dxa"/>
            <w:vAlign w:val="bottom"/>
          </w:tcPr>
          <w:p>
            <w:pPr>
              <w:spacing w:after="0"/>
              <w:rPr>
                <w:sz w:val="1"/>
                <w:szCs w:val="1"/>
                <w:color w:val="auto"/>
              </w:rPr>
            </w:pPr>
          </w:p>
        </w:tc>
      </w:tr>
      <w:tr>
        <w:trPr>
          <w:trHeight w:val="28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items</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(37,617)</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8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34,860</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operating expenses consist of site-specific general and administrative expenses, primarily insurance, property taxes and site-level legal and professional fees, at operating HPC sites.</w:t>
      </w:r>
    </w:p>
    <w:p>
      <w:pPr>
        <w:spacing w:after="0" w:line="82" w:lineRule="exact"/>
        <w:rPr>
          <w:rFonts w:ascii="Times New Roman" w:cs="Times New Roman" w:eastAsia="Times New Roman" w:hAnsi="Times New Roman"/>
          <w:sz w:val="14"/>
          <w:szCs w:val="14"/>
          <w:color w:val="auto"/>
        </w:rPr>
      </w:pPr>
    </w:p>
    <w:p>
      <w:pPr>
        <w:ind w:left="20" w:right="320" w:firstLine="6"/>
        <w:spacing w:after="0" w:line="302"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power sales and other operating expenses, including non-capitalized project costs at HPC data center sites, loss on disposal of assets and fixed asset write-downs.</w:t>
      </w:r>
    </w:p>
    <w:p>
      <w:pPr>
        <w:spacing w:after="0" w:line="13" w:lineRule="exact"/>
        <w:rPr>
          <w:rFonts w:ascii="Times New Roman" w:cs="Times New Roman" w:eastAsia="Times New Roman" w:hAnsi="Times New Roman"/>
          <w:sz w:val="14"/>
          <w:szCs w:val="14"/>
          <w:color w:val="auto"/>
        </w:rPr>
      </w:pPr>
    </w:p>
    <w:p>
      <w:pPr>
        <w:ind w:left="20" w:right="300" w:firstLine="6"/>
        <w:spacing w:after="0" w:line="302"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items include compensation and benefits and general and administrative expenses not recorded at operating HPC sites (including those of HPC sites not yet commenced), which are not allocated to segments.</w:t>
      </w:r>
    </w:p>
    <w:p>
      <w:pPr>
        <w:spacing w:after="0" w:line="13"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non-operating items consist of the change in fair value of warrant liability and other income (expense), net.</w:t>
      </w:r>
    </w:p>
    <w:p>
      <w:pPr>
        <w:sectPr>
          <w:pgSz w:w="11900" w:h="16838" w:orient="portrait"/>
          <w:cols w:equalWidth="0" w:num="1">
            <w:col w:w="11240"/>
          </w:cols>
          <w:pgMar w:left="320" w:top="225" w:right="339"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933"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nine months ended September 30, 2026, and 2025 are summarized in the following table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420" w:type="dxa"/>
            <w:vAlign w:val="bottom"/>
          </w:tcPr>
          <w:p>
            <w:pPr>
              <w:spacing w:after="0"/>
              <w:rPr>
                <w:sz w:val="24"/>
                <w:szCs w:val="24"/>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HPC Leasing</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80,524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5,852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86,376</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(46,487)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(1,629)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(52,678)</w:t>
            </w:r>
          </w:p>
        </w:tc>
        <w:tc>
          <w:tcPr>
            <w:tcW w:w="420" w:type="dxa"/>
            <w:vAlign w:val="bottom"/>
          </w:tcPr>
          <w:p>
            <w:pPr>
              <w:spacing w:after="0"/>
              <w:rPr>
                <w:sz w:val="22"/>
                <w:szCs w:val="22"/>
                <w:color w:val="auto"/>
              </w:rPr>
            </w:pP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(4,522)</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(48,040)</w:t>
            </w: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investees</w:t>
            </w:r>
          </w:p>
        </w:tc>
        <w:tc>
          <w:tcPr>
            <w:tcW w:w="28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420" w:type="dxa"/>
            <w:vAlign w:val="bottom"/>
          </w:tcPr>
          <w:p>
            <w:pPr>
              <w:spacing w:after="0"/>
              <w:rPr>
                <w:sz w:val="22"/>
                <w:szCs w:val="22"/>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33,055</w:t>
            </w: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 bitcoin</w:t>
            </w:r>
          </w:p>
        </w:tc>
        <w:tc>
          <w:tcPr>
            <w:tcW w:w="28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(47,251)</w:t>
            </w:r>
          </w:p>
        </w:tc>
        <w:tc>
          <w:tcPr>
            <w:tcW w:w="420" w:type="dxa"/>
            <w:vAlign w:val="bottom"/>
          </w:tcPr>
          <w:p>
            <w:pPr>
              <w:spacing w:after="0"/>
              <w:rPr>
                <w:sz w:val="22"/>
                <w:szCs w:val="22"/>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8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(9,096)</w:t>
            </w:r>
          </w:p>
        </w:tc>
        <w:tc>
          <w:tcPr>
            <w:tcW w:w="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(2,651)</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(91,574)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(4,967)</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(96,541)</w:t>
            </w:r>
          </w:p>
        </w:tc>
        <w:tc>
          <w:tcPr>
            <w:tcW w:w="0" w:type="dxa"/>
            <w:vAlign w:val="bottom"/>
          </w:tcPr>
          <w:p>
            <w:pPr>
              <w:spacing w:after="0"/>
              <w:rPr>
                <w:sz w:val="1"/>
                <w:szCs w:val="1"/>
                <w:color w:val="auto"/>
              </w:rPr>
            </w:pPr>
          </w:p>
        </w:tc>
      </w:tr>
      <w:tr>
        <w:trPr>
          <w:trHeight w:val="28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items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(168,479)</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(265,020)</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(184,888)</w:t>
            </w:r>
          </w:p>
        </w:tc>
        <w:tc>
          <w:tcPr>
            <w:tcW w:w="0" w:type="dxa"/>
            <w:vAlign w:val="bottom"/>
          </w:tcPr>
          <w:p>
            <w:pPr>
              <w:spacing w:after="0"/>
              <w:rPr>
                <w:sz w:val="1"/>
                <w:szCs w:val="1"/>
                <w:color w:val="auto"/>
              </w:rPr>
            </w:pPr>
          </w:p>
        </w:tc>
      </w:tr>
      <w:tr>
        <w:trPr>
          <w:trHeight w:val="28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(349,529)</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(350,249)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420" w:type="dxa"/>
            <w:vAlign w:val="bottom"/>
          </w:tcPr>
          <w:p>
            <w:pPr>
              <w:spacing w:after="0"/>
              <w:rPr>
                <w:sz w:val="24"/>
                <w:szCs w:val="24"/>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HPC Leasing</w:t>
            </w:r>
          </w:p>
        </w:tc>
        <w:tc>
          <w:tcPr>
            <w:tcW w:w="320" w:type="dxa"/>
            <w:vAlign w:val="bottom"/>
          </w:tcPr>
          <w:p>
            <w:pPr>
              <w:spacing w:after="0"/>
              <w:rPr>
                <w:sz w:val="24"/>
                <w:szCs w:val="24"/>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164,231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164,231</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(56,957)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(147,102)</w:t>
            </w:r>
          </w:p>
        </w:tc>
        <w:tc>
          <w:tcPr>
            <w:tcW w:w="420" w:type="dxa"/>
            <w:vAlign w:val="bottom"/>
          </w:tcPr>
          <w:p>
            <w:pPr>
              <w:spacing w:after="0"/>
              <w:rPr>
                <w:sz w:val="22"/>
                <w:szCs w:val="22"/>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(17,180)</w:t>
            </w: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investees</w:t>
            </w:r>
          </w:p>
        </w:tc>
        <w:tc>
          <w:tcPr>
            <w:tcW w:w="28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(8,472)</w:t>
            </w:r>
          </w:p>
        </w:tc>
        <w:tc>
          <w:tcPr>
            <w:tcW w:w="420" w:type="dxa"/>
            <w:vAlign w:val="bottom"/>
          </w:tcPr>
          <w:p>
            <w:pPr>
              <w:spacing w:after="0"/>
              <w:rPr>
                <w:sz w:val="22"/>
                <w:szCs w:val="22"/>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(2,927)</w:t>
            </w: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5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 bitcoin</w:t>
            </w:r>
          </w:p>
        </w:tc>
        <w:tc>
          <w:tcPr>
            <w:tcW w:w="280" w:type="dxa"/>
            <w:vAlign w:val="bottom"/>
          </w:tcPr>
          <w:p>
            <w:pPr>
              <w:spacing w:after="0"/>
              <w:rPr>
                <w:sz w:val="22"/>
                <w:szCs w:val="22"/>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16,092</w:t>
            </w:r>
          </w:p>
        </w:tc>
        <w:tc>
          <w:tcPr>
            <w:tcW w:w="420" w:type="dxa"/>
            <w:vAlign w:val="bottom"/>
          </w:tcPr>
          <w:p>
            <w:pPr>
              <w:spacing w:after="0"/>
              <w:rPr>
                <w:sz w:val="22"/>
                <w:szCs w:val="22"/>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4,290</w:t>
            </w:r>
          </w:p>
        </w:tc>
        <w:tc>
          <w:tcPr>
            <w:tcW w:w="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(2,319)</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(48,025)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(2,319)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(50,344)</w:t>
            </w:r>
          </w:p>
        </w:tc>
        <w:tc>
          <w:tcPr>
            <w:tcW w:w="0" w:type="dxa"/>
            <w:vAlign w:val="bottom"/>
          </w:tcPr>
          <w:p>
            <w:pPr>
              <w:spacing w:after="0"/>
              <w:rPr>
                <w:sz w:val="1"/>
                <w:szCs w:val="1"/>
                <w:color w:val="auto"/>
              </w:rPr>
            </w:pPr>
          </w:p>
        </w:tc>
      </w:tr>
      <w:tr>
        <w:trPr>
          <w:trHeight w:val="28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items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(70,604)</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(120,948)</w:t>
            </w:r>
          </w:p>
        </w:tc>
        <w:tc>
          <w:tcPr>
            <w:tcW w:w="0" w:type="dxa"/>
            <w:vAlign w:val="bottom"/>
          </w:tcPr>
          <w:p>
            <w:pPr>
              <w:spacing w:after="0"/>
              <w:rPr>
                <w:sz w:val="1"/>
                <w:szCs w:val="1"/>
                <w:color w:val="auto"/>
              </w:rPr>
            </w:pPr>
          </w:p>
        </w:tc>
      </w:tr>
      <w:tr>
        <w:trPr>
          <w:trHeight w:val="25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75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CIPHER DIGITAL INC.</w:t>
            </w:r>
          </w:p>
        </w:tc>
        <w:tc>
          <w:tcPr>
            <w:tcW w:w="1300" w:type="dxa"/>
            <w:vAlign w:val="bottom"/>
          </w:tcPr>
          <w:p>
            <w:pPr>
              <w:spacing w:after="0"/>
              <w:rPr>
                <w:sz w:val="18"/>
                <w:szCs w:val="18"/>
                <w:color w:val="auto"/>
              </w:rPr>
            </w:pPr>
          </w:p>
        </w:tc>
      </w:tr>
      <w:tr>
        <w:trPr>
          <w:trHeight w:val="220"/>
        </w:trPr>
        <w:tc>
          <w:tcPr>
            <w:tcW w:w="2360" w:type="dxa"/>
            <w:vAlign w:val="bottom"/>
          </w:tcPr>
          <w:p>
            <w:pPr>
              <w:spacing w:after="0"/>
              <w:rPr>
                <w:sz w:val="19"/>
                <w:szCs w:val="19"/>
                <w:color w:val="auto"/>
              </w:rPr>
            </w:pPr>
          </w:p>
        </w:tc>
        <w:tc>
          <w:tcPr>
            <w:tcW w:w="75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300" w:type="dxa"/>
            <w:vAlign w:val="bottom"/>
          </w:tcPr>
          <w:p>
            <w:pPr>
              <w:spacing w:after="0"/>
              <w:rPr>
                <w:sz w:val="19"/>
                <w:szCs w:val="19"/>
                <w:color w:val="auto"/>
              </w:rPr>
            </w:pPr>
          </w:p>
        </w:tc>
      </w:tr>
      <w:tr>
        <w:trPr>
          <w:trHeight w:val="234"/>
        </w:trPr>
        <w:tc>
          <w:tcPr>
            <w:tcW w:w="2360" w:type="dxa"/>
            <w:vAlign w:val="bottom"/>
          </w:tcPr>
          <w:p>
            <w:pPr>
              <w:spacing w:after="0"/>
              <w:rPr>
                <w:sz w:val="20"/>
                <w:szCs w:val="20"/>
                <w:color w:val="auto"/>
              </w:rPr>
            </w:pPr>
          </w:p>
        </w:tc>
        <w:tc>
          <w:tcPr>
            <w:tcW w:w="75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(unaudited)</w:t>
            </w:r>
          </w:p>
        </w:tc>
        <w:tc>
          <w:tcPr>
            <w:tcW w:w="1300" w:type="dxa"/>
            <w:vAlign w:val="bottom"/>
          </w:tcPr>
          <w:p>
            <w:pPr>
              <w:spacing w:after="0"/>
              <w:rPr>
                <w:sz w:val="20"/>
                <w:szCs w:val="20"/>
                <w:color w:val="auto"/>
              </w:rPr>
            </w:pPr>
          </w:p>
        </w:tc>
      </w:tr>
      <w:tr>
        <w:trPr>
          <w:trHeight w:val="81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(4)</w:t>
            </w:r>
          </w:p>
        </w:tc>
        <w:tc>
          <w:tcPr>
            <w:tcW w:w="6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63"/>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68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w:t>
            </w: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6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23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(88,039)</w:t>
            </w:r>
          </w:p>
        </w:tc>
      </w:tr>
      <w:tr>
        <w:trPr>
          <w:trHeight w:val="27"/>
        </w:trPr>
        <w:tc>
          <w:tcPr>
            <w:tcW w:w="2360" w:type="dxa"/>
            <w:vAlign w:val="bottom"/>
            <w:shd w:val="clear" w:color="auto" w:fill="CCEEFF"/>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8" w:lineRule="exact"/>
        <w:rPr>
          <w:sz w:val="20"/>
          <w:szCs w:val="20"/>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operating expenses consist of site-specific general and administrative expenses, primarily insurance, property taxes and site-level legal and professional fees, at operating HPC sites.</w:t>
      </w:r>
    </w:p>
    <w:p>
      <w:pPr>
        <w:spacing w:after="0" w:line="82" w:lineRule="exact"/>
        <w:rPr>
          <w:rFonts w:ascii="Times New Roman" w:cs="Times New Roman" w:eastAsia="Times New Roman" w:hAnsi="Times New Roman"/>
          <w:sz w:val="14"/>
          <w:szCs w:val="14"/>
          <w:color w:val="auto"/>
        </w:rPr>
      </w:pPr>
    </w:p>
    <w:p>
      <w:pPr>
        <w:ind w:left="20" w:right="320" w:firstLine="6"/>
        <w:spacing w:after="0" w:line="302" w:lineRule="auto"/>
        <w:tabs>
          <w:tab w:leader="none" w:pos="2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power sales and other operating expenses, including non-capitalized project costs at HPC data center sites, loss on disposal of assets and fixed asset write-downs.</w:t>
      </w:r>
    </w:p>
    <w:p>
      <w:pPr>
        <w:spacing w:after="0" w:line="13" w:lineRule="exact"/>
        <w:rPr>
          <w:rFonts w:ascii="Times New Roman" w:cs="Times New Roman" w:eastAsia="Times New Roman" w:hAnsi="Times New Roman"/>
          <w:sz w:val="14"/>
          <w:szCs w:val="14"/>
          <w:color w:val="auto"/>
        </w:rPr>
      </w:pPr>
    </w:p>
    <w:p>
      <w:pPr>
        <w:ind w:left="20" w:right="300" w:firstLine="6"/>
        <w:spacing w:after="0" w:line="302" w:lineRule="auto"/>
        <w:tabs>
          <w:tab w:leader="none" w:pos="2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items include compensation and benefits and general and administrative expenses not recorded at operating HPC sites (including those of HPC sites not yet commenced), which are not allocated to segments.</w:t>
      </w:r>
    </w:p>
    <w:p>
      <w:pPr>
        <w:spacing w:after="0" w:line="13"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non-operating items consist of the change in fair value of warrant liability and other income (expense), net.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0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an income tax benefit of approximately 0.2% of income before taxes and 8.4% of loss before taxes for the three months ended September 30, 2026 and 2025, respectively, and income tax expense of approximately 0.2% and 0.9% of loss before taxes for the nine months ended September 30, 2026 and 2025,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is primarily driven by state income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 except for the following:</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16, 2026, the Company exchanged approximately $165.9 million of principal amount of the 2030 Convertible Notes for approximately 40.7 million shares of common stock. Following this exchange, approximately $6.6 million aggregate principal amount of the 2030 Convertible Notes remains outstanding.</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16, 2026, the Company issued $850.0 million aggregate principal of the 2032 Convertible Notes. The 2032 Convertible Notes are senior, unsecured obligations of the Company and will mature on November 1, 2032, unless earlier repurchased, redeemed or converted. The initial conversion rate is 65.3211 shares of the Company’s common stock per $1,000 principal amount of the 2032 Convertible Notes, which represents an initial conversion price of approximately $15.31 per share of the Company’s common stock. The Company granted the initial purchasers an option to purchase up to an additional $150.0 million aggregate principal amount of the 2032 Convertible Notes, which expired without being exercised. In connection with the pricing of the 2032 Convertible Notes, the Company entered into privately negotiated capped call transactions (the “Capped Call Transactions”). The Capped Call Transactions cover, subject to customary anti-dilution adjustments, the number of shares of the Company’s common stock that initially underlie the 2032 Convertible Notes. The Capped Call Transactions are generally expected to reduce the potential dilution to the Company’s common stock upon any conversion of the 2032 Convertible Notes, and/or offset any potential cash payments the Company is required to make in excess of the principal amount of converted 2032 Convertible Notes, as the case may be with such reduction and/or offset subject to a cap. The cost of the Capped Call Transactions was approximately $89.7 million. With the net proceeds of the 2032 Convertible Notes, the Company funded capped call transactions, and the Company expects to use the remaining proceeds to fund the additional equity investment at Barber Lake, continue to develop its sites, and for general corporate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Quarterly Report.</w:t>
      </w:r>
    </w:p>
    <w:p>
      <w:pPr>
        <w:spacing w:after="0" w:line="156"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Digital,” “we,” “us” or “our” refers to Cipher Digital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developing and operating industrial-scale data centers engineered for next-generation computing at the highest standards of innovation, precision, and excellence. Over the past several years, we have intentionally evolved from a pure-play bitcoin miner into a vertically integrated data center development and operations platform focused on energy-intensive compute infrastructure. Our vertical integration spans critical stages of the data center value chain, including land and power origination and interconnection, site development, data center design and construction, oversight and ongoing facility operations.</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Fundamentally, we bring together construction, engineering, operations, power, real estate and technology expertise to deliver high quality, purpose-built data centers that meet tenants’ needs. Our in-house teams source and control industrial-scale sites with access to substantial electric power capacity, advance grid interconnection and substation development, and manage the design and construction of data center campuses. We also operate and maintain energy-intensive data center facilities, leveraging operational expertise developed through our employees’ extensive experience managing Tier III HPC data centers and large, flexible electrical loads. Against a backdrop of increasing demand for AI technology and access to energized HPC data centers to meet consumers’ demands for such technology, we believe we play an important part of the AI economy and we expect to benefit from powerful, long-term growth drivers.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While bitcoin mining has been an important component of our business model in prior years, our strategy increasingly emphasizes the development of industrial-scale data centers that can be leased to hyperscalers and other HPC customers under long-term contracts, while retaining the flexibility to deploy bitcoin mining as an interim or complementary use of power.</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we changed our name to “Cipher Digital Inc.” Rebranding to “Cipher Digital” aligns with our corporate strategy to scale into a leading HPC data center developer and operator, as we leverage our existing site pipeline and source additional sites, partnering with premier tenants, and developing and operating industry-leading data centers purpose-built for HPC. Our goal is to monetize our power assets and manage capital efficiently through market cycles in order to align our infrastructure with the growing global demand for AI-driven compute capacity.</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data center portfolio consists of approximately 4.3 gigawatts (“GW”) of grid capacity across 11 sites, at various stages of interconnection, as well as on-site generation capacity from the development of lateral pipelines capable of delivering natural gas sufficient to support up to 2.5 gigawatts of generation across multiple sites. We are currently developing 700 MW of HPC data center facilities across three sites for hyperscaler tenants, and we currently operate approximately 207 MW of capacity at one bitcoin mining data center in Texas. We also maintain a grid pipeline of approximately 3.4 GW across six sites in Texas and one additional site in Ohio.</w:t>
      </w:r>
    </w:p>
    <w:p>
      <w:pPr>
        <w:spacing w:after="0" w:line="1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executed HPC leases at three of our data centers and are currently marketing potential leases at others of our pipeline sites. We believe we have a demonstrated ability to source high-quality sites suitable for HPC tenants, with characteristics like proximity to major metropolitan areas, ample acreage, diverse fiber routes, and available interconnection infrastructure. We have experienced in-house construction, engineering and operations teams and project management competencies. We have demonstrated an ability to access and manage capital in a disciplined manner.</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significant component of our current and future growth is expected to be generated through the development of our existing portfolio and acquisition of new sites. We are focused on developing the remaining sites in our pipeline for future HPC tenants, and evaluating additional sites, locations, and partnerships to expand our pipeline that are suitable for HPC tenants. From time to time, we may also look to sell individual assets that we do not consider to be core to our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business and growth strategy. For further details on our pipeline of future sites that we expect to be suitable for HPC, see “</w:t>
      </w:r>
      <w:r>
        <w:rPr>
          <w:rFonts w:ascii="Times New Roman" w:cs="Times New Roman" w:eastAsia="Times New Roman" w:hAnsi="Times New Roman"/>
          <w:sz w:val="18"/>
          <w:szCs w:val="18"/>
          <w:i w:val="1"/>
          <w:iCs w:val="1"/>
          <w:color w:val="auto"/>
        </w:rPr>
        <w:t>Business—Site Pipeline</w:t>
      </w:r>
      <w:r>
        <w:rPr>
          <w:rFonts w:ascii="Times New Roman" w:cs="Times New Roman" w:eastAsia="Times New Roman" w:hAnsi="Times New Roman"/>
          <w:sz w:val="18"/>
          <w:szCs w:val="18"/>
          <w:color w:val="auto"/>
        </w:rPr>
        <w:t>” of our 2025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October 16, 2026, we exchanged approximately $165.9 million of principal amount of the 1.75% Convertible Senior Notes due 2030 (the “2030 Convertible Notes”) for approximately 40.7 million shares of common stock. Following this exchange, approximately $6.6 million aggregate principal amount of the 2030 Convertible Notes remains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16, 2026, we issued $850.0 million aggregate principal of 0.00% Convertible Senior Notes due 2032 (the “2032 Convertible Notes”). The 2032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will mature on November 1, 2032, and have an initial conversion price of approximately $15.31 per share of our common stock.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pricing of the 2032 Convertible Notes, we entered into privately negotiated capped call transactions (the “Capped Call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Capped Call Transactions cover, subject to customary anti-dilution adjustments, the number of shares of our common stock that initially underlie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Convertible Notes. The Capped Call Transactions are generally expected to reduce the potential dilution to our common stock upon any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2032 Convertible Notes, and/or offset any potential cash payments we are required to make in excess of the principal amount of converted 2032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as the case may be with such reduction and/or offset subject to a cap. The cost of the Capped Call Transactions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$89.7 million. With the net proceeds of the 2032 Convertible Notes, we funded capped call transactions, and expect to use the remaining proceeds to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equity investment at Barber Lake, continue to develop our sites, and for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2025 Form 10-K. Our financial position and results of operations depend to a significant extent on those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nine months ended September 30, 2026, including bitcoin production and sales of bitcoin (dollar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5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5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5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80,908</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losses on sale of bitcoin</w:t>
            </w:r>
          </w:p>
        </w:tc>
        <w:tc>
          <w:tcPr>
            <w:tcW w:w="36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3640" w:type="dxa"/>
            <w:vAlign w:val="bottom"/>
          </w:tcPr>
          <w:p>
            <w:pPr>
              <w:spacing w:after="0"/>
              <w:rPr>
                <w:sz w:val="22"/>
                <w:szCs w:val="22"/>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Mining Revenue</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bitcoin mining revenue consists of bitcoin earned through mining activities at the Odessa and Black Pearl Facilities. We currently participate in third-party mining pools to mine bitcoin. The provision of computing power in accordance with the mining pool operator’s terms of service is the only performance obligation in our contract with the mining pool operator. We are entitled to a fractional share of the set cryptocurrency award from the mining pool operator (referred to as a “block reward”) and potentially transaction fees generated from blockchain users and distributed to individual miners by the mining pool operator.</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in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 hashrate as a percentage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total network hashrate during the contract term. The </w:t>
      </w:r>
      <w:r>
        <w:rPr>
          <w:rFonts w:ascii="Times New Roman" w:cs="Times New Roman" w:eastAsia="Times New Roman" w:hAnsi="Times New Roman"/>
          <w:sz w:val="18"/>
          <w:szCs w:val="18"/>
          <w:color w:val="000000"/>
        </w:rPr>
        <w:t>transaction fees are the aggregate fees paid by parties whose transactions are included in the block.</w:t>
      </w:r>
      <w:r>
        <w:rPr>
          <w:rFonts w:ascii="Times New Roman" w:cs="Times New Roman" w:eastAsia="Times New Roman" w:hAnsi="Times New Roman"/>
          <w:sz w:val="18"/>
          <w:szCs w:val="18"/>
          <w:color w:val="231F20"/>
        </w:rPr>
        <w:t xml:space="preserve"> Bitcoin earned is </w:t>
      </w:r>
      <w:r>
        <w:rPr>
          <w:rFonts w:ascii="Times New Roman" w:cs="Times New Roman" w:eastAsia="Times New Roman" w:hAnsi="Times New Roman"/>
          <w:sz w:val="18"/>
          <w:szCs w:val="18"/>
          <w:color w:val="000000"/>
        </w:rPr>
        <w:t>measured at fair value at contract inception and is recognized in revenue over the contract term as hashrate is provided.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HPC Leasing Revenue</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HPC leasing revenue is generated by leasing data center capacity and providing related services to our tenants. These lease arrangements contain fixed payments for base rent of the data center, as well as variable components for certain operating expenses, primarily power, which are provided to tenants at cost and are recorded on a gross basis in HPC leasing revenue and Cost of revenue - HPC leasing.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 bitcoin mining</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 for bitcoin mining consists of direct production costs for our bitcoin mining data centers, primarily electricity expenses, as well as other facilities costs, but excludes depreciation which is separately stated.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 HPC leasing</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HPC leasing consists of direct production costs for our HPC data centers, primarily electricity expenses, as well as other facilities costs, but excludes depreciation which is separately stated. As part of our lease arrangements, certain operating expenses, primarily power, which are provided to tenants at cost and are recorded on a gross basis in HPC leasing revenue and Cost of revenue - HPC leasing.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includes payroll and payroll-related expenses, as well as stock based compensation awarded to employees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represent insurance expense, rent expense, professional fees, including accounting and audit, consulting, legal, public relations and/or investor relations expenses, non-income taxes and licenses, travel, and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Depreciation and amortization expense consists primarily of depreciation on our miners and mining equipment, and other capitalized assets placed into service related to construction of our data centers. We record depreciation expense on a straight-line basis over the estimated useful lives of the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derivative asset represents the changes in fair value of the Luminant Power Agreement recorded during the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18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Mountain LLC prior to February 19, 2026, when we sold our interests in these joint ventures.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bitcoin and realized gain/loss on sale of bitcoin</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of our bitcoin is recorded as a current asset on our condensed consolidated balance sheet as we expect to regularly exchange our bitcoin held for fiat currency to fund our operating expenses. We adopted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(“ASU 2023-08”) effective January 1, 2023, which requires cryptocurrencies to be measured at fair value each reporting period with changes in fair value being reported in net income.</w:t>
      </w:r>
    </w:p>
    <w:p>
      <w:pPr>
        <w:spacing w:after="0" w:line="13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provision for income taxes primarily consists of state income taxes. A valuation allowance is recorded against substantially all of our net deferred tax assets, which are composed primarily of federal and state net operating loss carryforwards, stock-based compensation, intangible assets other than goodwill,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 losses. We evaluate our ability to recognize our deferred tax assets annually by considering all positive and negative evidence available as prescribed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0" w:name="page51"/>
    <w:bookmarkEnd w:id="5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19"/>
                <w:szCs w:val="19"/>
                <w:color w:val="auto"/>
              </w:rPr>
            </w:pPr>
          </w:p>
        </w:tc>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30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45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r>
      <w:tr>
        <w:trPr>
          <w:trHeight w:val="247"/>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 HPC leasing</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r>
      <w:tr>
        <w:trPr>
          <w:trHeight w:val="227"/>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 - bitcoin mining</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(26,733)</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(56,957)</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revenue - HPC leasing</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(44,407)</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(26,196)</w:t>
            </w: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(147,102)</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(17,180)</w:t>
            </w: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gains (losses) on sale of bitcoin</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w:t>
            </w:r>
          </w:p>
        </w:tc>
      </w:tr>
      <w:tr>
        <w:trPr>
          <w:trHeight w:val="26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income (losses)</w:t>
            </w:r>
          </w:p>
        </w:tc>
        <w:tc>
          <w:tcPr>
            <w:tcW w:w="9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50"/>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(109,324)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(351,396)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(285,179)</w:t>
            </w:r>
          </w:p>
        </w:tc>
      </w:tr>
      <w:tr>
        <w:trPr>
          <w:trHeight w:val="256"/>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9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(265,020)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(120,948)</w:t>
            </w:r>
          </w:p>
        </w:tc>
      </w:tr>
      <w:tr>
        <w:trPr>
          <w:trHeight w:val="227"/>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47"/>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6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127,180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r>
      <w:tr>
        <w:trPr>
          <w:trHeight w:val="250"/>
        </w:trPr>
        <w:tc>
          <w:tcPr>
            <w:tcW w:w="4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(expenses)</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w:t>
            </w:r>
          </w:p>
        </w:tc>
      </w:tr>
      <w:tr>
        <w:trPr>
          <w:trHeight w:val="25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103,457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34,031</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33,667</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(349,529)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(87,281)</w:t>
            </w:r>
          </w:p>
        </w:tc>
      </w:tr>
      <w:tr>
        <w:trPr>
          <w:trHeight w:val="25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income tax benefit (expense)</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50"/>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7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9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available for common stockholders</w:t>
            </w:r>
          </w:p>
        </w:tc>
        <w:tc>
          <w:tcPr>
            <w:tcW w:w="94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100" w:type="dxa"/>
            <w:vAlign w:val="bottom"/>
          </w:tcPr>
          <w:p>
            <w:pPr>
              <w:spacing w:after="0"/>
              <w:rPr>
                <w:sz w:val="22"/>
                <w:szCs w:val="22"/>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September 30, 2026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8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September 30, 2026 was $26.7 million compared to $71.7 million for the three months ended September 30, 2025.</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Bitcoin mining revenue was $20.8 million, a decrease of $50.9 million, and was generated from bitcoin mining operations at the Odessa Facility. The decrease was primarily driven by a decrease in bitcoin mined following the cessation of mining operations at the Black Pearl Facility in February 2026 in connection with its conversion into an HPC data center</w:t>
      </w:r>
    </w:p>
    <w:p>
      <w:pPr>
        <w:spacing w:after="0" w:line="14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HPC leasing revenue was $5.9 million following commencement of the initial phase of the Black Pearl Facility Lease in August 2026. HPC leasing revenue consisted primarily of $5.2 million of fixed lease payments recognized on a straight-line basis. There was no HPC leasing revenue in the prior year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bitcoin mining</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Bitcoin mining cost of revenue for the three months ended September 30, 2026 was $14.6 million, compared with $26.7 million for the three months ended September 30, 2025, and consisted primarily of power costs at our Odessa data center, which has a fixed power cost. The decrease was primarily due to lower power costs following the cessation of mining at the Black Pearl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HPC Leasing</w:t>
      </w:r>
    </w:p>
    <w:p>
      <w:pPr>
        <w:spacing w:after="0" w:line="20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HPC leasing cost of revenue for the three months ended September 30, 2026 was $0.7 million. Included in HPC leasing cost of revenue are costs passed on to our tenants, which are recognized as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three months ended September 30, 2026 was $38.6 million, compared to $14.4 million for the three months ended September 30, 2025. The increase is primarily due to stock-based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$18.2 million to $26.4 million during the three months ended September 30, 2026 from $8.2 million for the three months ended September 30, 2025. The increase was primarily driven by increased charitable contributions, and legal fees in the current quarter related to strategic initiatives, as well as insurance related to construction.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September 30, 2026 was $18.8 million, a decrease of $40.7 million compared to Depreciation and amortization of $59.5 million for the three months ended September 30, 2025. The decrease was primarily due to asset write-downs related to our mining business, and fewer assets in service in the current year due to sales of mining rigs.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power purchase agreement</w:t>
      </w:r>
    </w:p>
    <w:p>
      <w:pPr>
        <w:spacing w:after="0" w:line="18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Change in fair value of power purchase agreement was a $13.9 million loss for the three months ended September 30, 2026 and was driven by the fair value of the Luminant Power Agreement. The estimated fair value of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loss was driven by a decrease in the forward curve for power prices as well as less time remaining on the contract.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At the Odessa Facility we sold excess electricity that was available under the Luminant Power Agreement back to the ERCOT market through Luminant. We sold power for proceeds of $4.3 million and $2.3 million for the three months ended September 30, 2026, and 2025, respectively. Power sales fluctuate each period based on power and bitcoin prices which are both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Equity in losses of equity investees for the three months ended September 30, 2026 compared to $1.5 million for the three months ended September 30, 2025. Equity in losses of equity investees consisted of our 49% share in the losses generated by our three partially-owned mining sites prior to selling our interests in February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gains on fair value of bitcoin</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$12.4 million for the three months ended September 30, 2026, compared to $0.1 million for the three months ended September 30, 2025. Unrealized gains on fair value of bitcoin is driven by the cost of bitcoin mined compared to the price of bitcoin at the end of the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(losses) on sale of bitcoin</w:t>
      </w:r>
    </w:p>
    <w:p>
      <w:pPr>
        <w:spacing w:after="0" w:line="18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$0.5 million for the three months ended September 30, 2026 compared to $7.5 million for the three months ended September 30, 2025. Realized gains on sale of bitcoin is a result of selling bitcoin at prices different from the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(losses) income</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operating losses were $2.7 million for the three months ended September 30, 2026, compared to other operating income of $0.1 million for the three months ended September 30, 2025. The current period primarily consisted of costs incurred at the Barber Lake Facility prior to lease commencement.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income totaled $103.5 million for the three months ended September 30, 2026, compared to Other income of $34.0 million for three months ended September 30, 2025.The increase was primarily driven by a $127.2 million gain on the change in fair value of our warrant liability, compared to a gain of $31.9 million in the prior year period, and interest income of $32.7 million earned on cash and restricted cash raised from our debt financings. These were partially offset by interest expense of $59.0 million, net of capitalized interest, on our senior secured notes and convertible notes, compared to $1.3 million in the prior year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we recorded a benefit for income taxes of $0.1 million. For the three months ended September 30, 2025, we recorded a benefit for income taxes of $0.3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Nine Months Ended September 30, 2026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Total revenue for the nine months ended September 30, 2026 was $86.4 million, compared to $164.2 million for the nine months ended September 30, 2025.</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Bitcoin mining revenue was $80.5 million, a decrease of $83.7 million, and was generated from bitcoin mining operations at the Odessa Facility and, through February 2026, the Black Pearl Facility. The decrease was primarily driven by fewer bitcoin mined following the cessation of mining at the Black Pearl Facility.</w:t>
      </w:r>
    </w:p>
    <w:p>
      <w:pPr>
        <w:spacing w:after="0" w:line="14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HPC leasing revenue was $5.9 million following commencement of the initial phase of the Black Pearl Facility Lease in August 2026. HPC leasing revenue consisted primarily of $5.2 million of fixed lease payments recognized on a straight-line basis. There was no HPC leasing revenue in the prior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bitcoin mining</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nine months ended September 30, 2026 was $46.5 million, compared with $57.0 million for the nine months ended September 30, 2025, and consisted primarily of power costs at our data centers. The decrease is primarily due to decreased power costs as the Black Pearl Facility was being retrofit for HPC.</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HPC Leasing</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HPC leasing cost of revenue for the nine months ended September 30, 2026 was $1.6 million. Included in HPC leasing cost of revenue are costs passed on to our tenants, which are recognized as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nine months ended September 30, 2026 was $115.9 million, an increase from $44.4 million for the nine months ended September 30, 2025, driven by an increase in headcount, and higher valuation on performance based stock compensation in the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2026 was $54.6 million, an increase of $28.4 million compared to $26.2 million for the nine months ended September 30, 2025. The increase was primarily driven by an increase in charitable contributions, and consulting and legal fees related to strategic initiatives, including our lease negotiations and other transactions, as well as insurance related to construction.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nine months ended September 30, 2026 was $57.2 million, a decrease of $89.9 million compared to Depreciation and amortization of $147.1 million for the nine months ended September 30, 2025. The decrease was primarily due to asset write-downs and sales related to our mining business resulting in fewer assets in service in the current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power purchase agreement</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power purchase agreement was a $48.0 million decrease for the nine months ended September 30, 2026 and was driven by the fair value of the Luminant Power Agreement. The estimated fair value of our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loss was driven by a decrease in the forward curve for power prices as well as less time remaining on the contract.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is available under the Luminant Power Agreement, but not needed in our mining operations, back to the ERCOT market through Luminant. We sold power for proceeds of $8.7 million and $4.7 million for the nine months ended September 30, 2026, and 2025, respectively. Power sales fluctuate each period based on power and bitcoin prices, which are volatile.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Equity in losses of equity investees totaled $1.6 million for the nine months ended September 30, 2026 compared to $8.5 million for the nine months ended September 30, 2025. Equity in losses of equity investees consists of our 49% share in the losses generated by our three partially-owned bitcoin mining sites, and the accretion of the basis differences in our investments in the equity investees. These interests were sold in February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20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$33.1 million for the nine months ended September 30, 2026, compared to immaterial unrealized losses on fair value of bitcoin for the nine months ended September 30, 2025.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and losses on sale of bitcoin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Realized losses on sale of bitcoin totaled $47.3 million for the nine months ended September 30, 2026 compared to gains of $16.1 million in the prior year period. In both periods, this is driven by selling bitcoin at prices differing from our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(losses) income</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operating losses were $20.4 million for the nine months ended September 30, 2026, compared to $2.7 million for the nine months ended September 30, 2025. The increase was primarily driven by a $10.4 million loss on disposal of assets and a $7.4 million loss on miners reclassified as held for sale, both related to our bitcoin mining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totaled $84.5 million for the nine months ended September 30, 2026, compared to other income of $33.7 million for the nine months ended September 30, 2025. The change was primarily driven by interest expense of $184.9 million, net of capitalized interest, on our senior secured notes and convertible notes, compared to $3.2 million in the prior year period, and a $21.2 million unrealized loss on our investment in Canaan common stock. These were partially offset by interest income of $100.1 million on cash and restricted cash balances and a $20.3 million gain on the change in fair value of our warrant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0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we recorded a provision for income taxes of $0.7 million as a result of projected taxable income for the current year in the jurisdictions which we operate. For the nine months ended September 30, 2025, we recorded a provision for income taxes of $0.8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operations was $283.2 million for the nine months ended September 30, 2026. As of September 30, 2026, we had cash and cash equivalents of $656.0 million, total stockholders’ equity of $600.3 million and an accumulated deficit of $1,353.9 million. We fund operations primarily through a combination of at-the-market stock issuances, short-term and long-term financing arrangements, and bitcoin sales.</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(as amended and restated, the “Amended and Restated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nine months ended September 30, 2026, we received net proceeds on sales of 5.5 million shares of common stock under the Amended and Restated Sales Agreement of approximately $129.2 million (net of commissions and expenses) at an average net selling price of $23.50 per share. For more information on our at-the-market sales agreement and our at-the-market offerings,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March 23, 2026, we entered into a $200.0 million Revolving Credit Facility with Morgan Stanley Senior Funding, Inc. as administrative agent and collateral agent, and a syndicate of lenders, which matures on March 23, 2030 (subject to a potential Springing Maturity Date tied to the 2030 Convertible Notes). The Revolving Credit Facility also provides for additional accordion option of up to $50.0 million. During the Pre-Completion Availability Period, the period prior to the earlier of the completion of the Barber Lake Facility or the Black Pearl Facility, aggregate borrowings under the Revolving Credit Facility are limited to $50.0 million. The Revolving Credit Facility includes a $50.0 million letter of credit sublimit. Borrowings bear interest at Term SOFR plus an initial applicable margin of 1.75% (or ABR plus 0.75%), with the margin adjustable thereafter based on our Consolidated Total Debt to Market Capitalization Ratio. We are also required to pay a commitment fee of 0.50% per annum on unfunded commitments. The Revolving Credit Facility is secured on a first-priority basis by substantially all of the assets of the Borrower and the guarantors. The Revolving Credit Facility contains a financial maintenance covenant requiring us to maintain minimum Liquidity of $100.0 million, increasing to $150.0 million after the first, and $200.0 million after both, of the Barber Lake Facility and the Black Pearl Facility commence operations. As of September 30, 2026, we had no outstanding borrowings under the Revolving Credit Facility and were in compliance with all covenants. For more information on the Revolving Credit Facility, see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a master loan agreement with Coinbase Credit, Inc., as lender, and Coinbase, Inc., as lending service provider. Pursuant to the master loan agreement, we currently have a secured line with capacity to be determined,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“Coinbase Overnight Credit Facility”), subject to credit review.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September 30, 2026, we had nothing drawn on the Coinbase Overnight Credit Facility.</w:t>
      </w:r>
    </w:p>
    <w:p>
      <w:pPr>
        <w:spacing w:after="0" w:line="14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May 22, 2025, we issued $172.5 million principal amount of the 2030 Convertible Notes. The 2030 Convertible Notes are senior, unsecured obligations with interest due semiannually on May 15 and November 15 each year beginning on November 15, 2025.</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we issued an aggregate principal amount of $1,300.0 million of 0.00% Convertible Senior Notes due 2031 (the “2031 Convertible Notes” and together with the 2030 Convertible Notes and the 2032 Convertible Notes, the “Convertible Notes”). With the net proceeds of the 2031 Convertible Notes, we funded capped call transactions which are generally expected to reduce the potential dilution of the Company’s common stock that will initially underlie the 2031 Convertible Notes, and expect to use the remaining proceeds to finance a portion of the construction at the Barber Lake Facility, continue to develop our sites, and for general corporate purposes.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on our Convertible Notes, and the Revolving Credit Facility see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5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CFF"/>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(283,194)</w:t>
            </w:r>
          </w:p>
        </w:tc>
        <w:tc>
          <w:tcPr>
            <w:tcW w:w="100" w:type="dxa"/>
            <w:vAlign w:val="bottom"/>
            <w:tcBorders>
              <w:bottom w:val="single" w:sz="8" w:color="CCECFF"/>
            </w:tcBorders>
            <w:shd w:val="clear" w:color="auto" w:fill="CCECFF"/>
          </w:tcPr>
          <w:p>
            <w:pPr>
              <w:spacing w:after="0"/>
              <w:rPr>
                <w:sz w:val="22"/>
                <w:szCs w:val="22"/>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(153,506)</w:t>
            </w:r>
          </w:p>
        </w:tc>
      </w:tr>
      <w:tr>
        <w:trPr>
          <w:trHeight w:val="25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(131,454)</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75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CFF"/>
            </w:tcBorders>
            <w:shd w:val="clear" w:color="auto" w:fill="CCECFF"/>
          </w:tcPr>
          <w:p>
            <w:pPr>
              <w:spacing w:after="0"/>
              <w:rPr>
                <w:sz w:val="24"/>
                <w:szCs w:val="24"/>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2,824,067</w:t>
            </w:r>
          </w:p>
        </w:tc>
        <w:tc>
          <w:tcPr>
            <w:tcW w:w="10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bottom w:val="single" w:sz="8" w:color="CCECFF"/>
            </w:tcBorders>
            <w:shd w:val="clear" w:color="auto" w:fill="CCECFF"/>
          </w:tcPr>
          <w:p>
            <w:pPr>
              <w:spacing w:after="0"/>
              <w:rPr>
                <w:sz w:val="24"/>
                <w:szCs w:val="24"/>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1,486,202</w:t>
            </w:r>
          </w:p>
        </w:tc>
      </w:tr>
      <w:tr>
        <w:trPr>
          <w:trHeight w:val="250"/>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187,963</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1,201,242</w:t>
            </w:r>
          </w:p>
        </w:tc>
      </w:tr>
      <w:tr>
        <w:trPr>
          <w:trHeight w:val="27"/>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$283.2 million for the nine months ended September 30, 2026 compared to net cash used in operating activities of $153.5 million for the nine months ended September 30, 2025. We incurred a net loss of $350.2 million for the nine months ended September 30, 2026, compared to a net loss of $88.0 million for the nine months ended September 30, 2025, representing an increase of $262.2 million. Cash flows from operating activities was impacted by a $132.5 million increase in non-cash items, primarily driven by the increase in amortization of debt discount and issuance costs of $184.9 million, change in fair value of derivative assets of $38.1 million, and change in fair value of warrant liability of $11.6 million, partially offset by a $36.0 million decrease in unrealized losses on fair value of bitcoin, a decrease of $89.9 million in depreciation. Additionally, changes in assets and liabilities resulted in an increase in cash used of $215.7 million between the nine months ended September 30, 2026 and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increased to $2,352.9 million for the nine months ended September 30, 2026 compared to $131.5 million for the nine months ended September 30, 2025. This change primarily related to an increase of $2,254.3 million in purchases of property and equipment related to building out various facilities, partially offset by an increase of $18.7 million in proceeds from the sale of bitcoin, partially offset by $52.8 million of proceeds from disposal of assets.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increased by $1,337.9 million to $2,824.1 million net cash provided by financing activities for the nine months ended September 30, 2026 from $1,486.2 million net cash provided by financing activities for the nine months ended September 30, 2025. This change was primarily driven by $1,329.0 million of proceeds from the issuance of notes, net of issuance costs, increase of $11.8 million of proceeds from issuance of common stock, net of offering costs, partially offset by a $61.5 million increase in cash used to repurchase common shares to pay employee withholding taxes during the nine months ended September 30,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leases for corporate office space with monthly rent payments of approximately $0.2 million. In April 2026, we entered into a lease for a new office in New York, with monthly rent payments of approximately $0.4 million starting in June 2027. In September 2026, we entered into an agreement to terminate our existing New York office at One Vanderbilt Avenue, effective January 30, 2027.</w:t>
      </w:r>
    </w:p>
    <w:p>
      <w:pPr>
        <w:spacing w:after="0" w:line="13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August 2026, one component of the Black Pearl Facility Lease commenced. For scheduled principal payments on our long-term borrowings, including the Black Pearl 2031 Senior Secured Notes, see Note 14. Debt.</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suppliers, primarily related to construction, and have commitments of approximately $1,610.1 million as of September 30, 2026. The majority of commitments relate to construction at sites with leases to HPC tenants.</w:t>
      </w:r>
    </w:p>
    <w:p>
      <w:pPr>
        <w:spacing w:after="0" w:line="135"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 xml:space="preserve">We also entered into a series of agreements with affiliates of Luminant ET Services Company LLC (“Luminant”), including the Lease Agreement dated June 29, 2021, as amended on July 9, 2021 and August 23, 2023 (as amended,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approximately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our condensed consolidated balance sheet.</w:t>
      </w:r>
    </w:p>
    <w:p>
      <w:pPr>
        <w:spacing w:after="0" w:line="1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EBITDA, that excludes the impact of (i) interest income, (ii) interest expense, (iii) income taxes, (iv) depreciation and amortization, (v) the non-cash change in fair value of derivative asset, (vi) share-based compensation expense, (vii) nonrecurring gains and losses, (viii) the non-cash change in fair value of warrant liability, (ix) non-cash losses related to miners reclassified as held for sale, (x) impairment of long-lived assets, and (xi) non-cash disposal of miners.</w:t>
      </w:r>
    </w:p>
    <w:p>
      <w:pPr>
        <w:spacing w:after="0" w:line="139"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Beginning with the three months ended March 31, 2026, we changed our primary non-GAAP performance measure from “Adjusted Earnings (Loss)”, to Adjusted EBITDA. Adjusted EBITDA differs from Adjusted Earnings (Loss) only in that, in addition to the adjustments previously made to compute Adjusted Earnings (Loss), Adjusted EBITDA also excludes interest expense, interest income, and current income tax expense. We believe Adjusted EBITDA is more representative of our core operating performance, more comparable to measures used by industry peers, and more useful to investors evaluating our underlying business. The reconciliation table below presents Adjusted EBITDA for both periods presented under our new methodology. We do not intend to report Adjusted Earnings (Loss) in future periods.</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These supplemental financial measures are not measurements of financial performance under GAAP accounting principles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51"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EBITDA to the most directly comparable GAAP measure for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300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46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4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57"/>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(350,249)</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(100,135)</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57"/>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184,888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5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147,102</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56,792</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62,078</w:t>
            </w:r>
          </w:p>
        </w:tc>
      </w:tr>
      <w:tr>
        <w:trPr>
          <w:trHeight w:val="25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r>
      <w:tr>
        <w:trPr>
          <w:trHeight w:val="25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(gains) losses - nonrecurring</w:t>
            </w:r>
          </w:p>
        </w:tc>
        <w:tc>
          <w:tcPr>
            <w:tcW w:w="24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w:t>
            </w:r>
          </w:p>
        </w:tc>
      </w:tr>
      <w:tr>
        <w:trPr>
          <w:trHeight w:val="25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miners held for sale</w:t>
            </w:r>
          </w:p>
        </w:tc>
        <w:tc>
          <w:tcPr>
            <w:tcW w:w="24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2"/>
        </w:trPr>
        <w:tc>
          <w:tcPr>
            <w:tcW w:w="4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(88,171)</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Policies and Estimates” of Part II, Item 7 “Management's Discussion and Analysis of Financial Condition and Results of Operations” in our 2025 Form 10-K. As of September 30, 2026, there were no significant changes in our critical accounting policies and estimates or the application or the results of the application of those policies to our unaudited condensed consolidated financial statements from those previously disclosed in our 2025 Form 10-K except for the addition of our HPC leasing described in Note 2 to our condensed consolidated financial statements located in “Part I - Financial Information, Item 1. Financial Statements” in this Quarterly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Information regarding recent accounting pronouncements applicable to us, adopted and not yet adopted as of the date of this report, is included in Note 2 to our condensed consolidated financial statements located in “Part I - Financial Information, Item 1. Financial Statements” in this Quarterly Report.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spacing w:after="0" w:line="13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September 30, 2026, we had 310 bitcoin in inventory. A 10% decrease in the price of bitcoin would result in an estimated $2.6 million increase in Net loss for the nine months ended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September 30, 2026,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with the SEC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Based upon this evaluation, our Chief Executive Officer and Chief Financial Officer concluded that, our disclosure controls and procedures were effective at the reasonable assurance level as of September 30, 2026.</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course of preparing our financial statements for the quarterly period ended September 30, 2026, management implemented enhanced internal controls over financial reporting related to our HPC leasing segment including design and operation of controls over revenue recognition related to leasing arrangements, and the completeness and accuracy of costs and related liabilities associated with capital projects.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evaluate the effectiveness of these measures and are committed to taking further action and implementing additional improvements as necessary.</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(as defined in Rules 13a-15(f) and 15d-15(f) under the Exchange Act)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60" w:name="page61"/>
    <w:bookmarkEnd w:id="60"/>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2025 Form 10-K, which is incorporated herein by reference. Other than the additional and updated risk factors set forth below, there have been no material changes to the risk factors previously disclosed in our 2025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Framework</w:t>
      </w:r>
    </w:p>
    <w:p>
      <w:pPr>
        <w:spacing w:after="0" w:line="25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electricity market risks relating to changes in laws, regulations and requirements of market operators, network operators and/or regulatory bodies, including with respect to interconnection of facilities of large electrical loads to the ERCOT grid (including ERCOT’s batch study process for large load interconnection requests and related governmental reviews), grid stability, voltage ride-through, frequency ride-through and curtailment obligations.</w:t>
      </w:r>
    </w:p>
    <w:p>
      <w:pPr>
        <w:spacing w:after="0" w:line="14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Certain governments and regulators are increasingly focused on the energy and environmental impact of HPC services and bitcoin mining. This has led, and could lead, to new governmental measures regulating, restricting or prohibiting the use of electricity for data center operators in the HPC industry, or could result in increased power costs for these types of power consumers. See “- Operating HPC data centers is energy-intensive, which may have a negative environmental impact. Changing environmental regulation and public energy policy may expose our business to new risks.” For example, in 2025, the Texas legislature enacted legislation SB 6 to support ERCOT’s grid reliability by proposing minimum transmission rates on certain large loads and removing phantom loads from its interconnection queue to enhance accuracy of actual future load growth. SB 6 requires the PUCT and ERCOT to create new processes and impose new requirements for the interconnection of facilities with large electrical loads of at least 75 MWs to the ERCOT system. SB 6 also requires security type payments as part of the initial interconnection request, and creates a new approval that is required for co-location of generation with large loads.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2026, the PUCT adopted rules implementing SB 6’s large-load interconnection standards, including requirements relating to financial security, disclosures, interconnection agreements and funding of direct interconnection costs. These requirements became effective on October 8, 2026. SB 6 also requires the PUCT to amend its wholesale transmission cost-allocation rules by December 31, 2026, and the PUCT is considering measures that could require large loads to bear a greater share of transmission system upgrade costs, to pay minimum demand charges based on contracted peak demand and to move from the current four coincident peak (“4CP”) cost-allocation methodology to a twelve coincident peak (“12CP”) methodology, any of which could increase our or our tenants’ transmission-related costs. SB 6 further directs the PUCT and ERCOT to establish curtailment and demand-management obligations for large loads, including protocols to curtail large loads interconnected at transmission voltage after December 31, 2025 during firm load-shed events.</w:t>
      </w:r>
    </w:p>
    <w:p>
      <w:pPr>
        <w:spacing w:after="0" w:line="16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ERCOT has amended and continues to evaluate its processes for interconnection of large electrical loads to the ERCOT grid. In December 2025, ERCOT announced amendments to the approval process for large load interconnection requests and has since implemented a batch study process under which large load interconnection requests are grouped and evaluated collectively in periodic study cycles rather than on a first-come, first-served basis. The initial study under this process, known as “Batch Zero,” was established through revisions to ERCOT’s Planning Guide and Nodal Protocols that the PUCT approved on June 18, 2026, with an effective date of July 11, 2026. Under Batch Zero, large loads are classified as base load, studied load, or load that has not met the criteria for inclusion and will require study in a future process. The approval of any individual request may depend on the aggregate load requested in the same batch, the results of system-wide reliability studies and the scope and cost of required network upgrades, and our requests could be delayed to a later study cycle, conditioned on our funding network upgrades or posting financial security, or approved at less than the requested load. These developments, along with requirements relating to grid stability, voltage ride-through and frequency ride-through that ERCOT has adopted for large computational loads, and curtailment obligations, could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t>increase costs, delay project timelines, or impose additional operational constraints. On August 3, 2026, the Governor of Texas directed the PUCT and ERCOT to conduct a comprehensive verification and audit of all data centers advancing through ERCOT’s interconnection process before additional data centers are approved to move forward, including the collection of project-level information regarding public financial incentives, reliance on the ERCOT grid versus on-site generation, water use and community impacts. ERCOT has indicated that its process to verify large loads included in Batch Zero is expected to take several months, and on August 20, 2026, the PUCT granted ERCOT’s request for additional time to develop and implement that process. We have completed submissions in connection with ERCOT’s initial Batch Zero eligibility verification and state and community impact review processes. ERCOT currently expects to issue the related reports by December 10, 2026. In the meantime, ERCOT has temporarily paused certain energization approvals for large data center loads pending completion of that process. We cannot predict the scope, duration or outcome of these reviews or any requirements or legislation that may result, and they could delay or prevent the interconnection or energization of our data centers. In 2024, the PUCT also required operators of large virtual currency mining operations connected to register their facilities with the PUCT. See “Business- Government Regulation” in our Annual Report on Form 10-K.</w:t>
      </w:r>
    </w:p>
    <w:p>
      <w:pPr>
        <w:spacing w:after="0" w:line="3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including applicable zoning, building-code and energy-efficiency standards and worker health and safety laws and regulations, and these laws and regulations and any changes to them may materially adversely affect our brand, reputation, business, results of operations and financial position.</w:t>
      </w:r>
    </w:p>
    <w:p>
      <w:pPr>
        <w:spacing w:after="0" w:line="13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and our operations and properties are subject to laws and regulations governing health and safety, the discharge of pollutants into the environment or otherwise relating to health, safety and environmental protection requirements in the jurisdictions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 related health and safety risks; imposition of certain zoning, building code and energy-efficiency standards for the sites at which we operate; and imposition of significant liabilities for pollution, including investigation, remedial and clean-up costs, which can be joint and several. Failure to comply with these requirements may expose us to fines, penalties and/or interruptions in our operations, among other sanctions, that could have a material adverse effect on our financial position, results of operations and cash flows. Failure to obtain, secure renewal of, or maintain, permits or tightening of restrictions within our permits, or the failure to meet the zoning, building code, health and safety and energy-efficiency standards imposed by regulations applicable to our sites, could have a material adverse effect on our business, including our ability to recruit and retain personnel, or cause us to incur material expenses. Moreover, it is not uncommon for neighboring landowners, community groups, activists and other third parties to file claims for personal injury, property damage and nuisance allegedly caused by noise or the release of hazardous substances into the environment.</w:t>
      </w:r>
    </w:p>
    <w:p>
      <w:pPr>
        <w:spacing w:after="0" w:line="17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example, on September 21, 2026, the Governor of Texas directed the Texas Commission on Environmental Quality (“TCEQ”) to halt all permits sought by data centers in Texas until completion of ERCOT’s audit of data centers in its interconnection queues. Although we do not expect the permitting pause to have a material impact on our near-term development timeline, the pause could delay future projects, expansions or modifications requiring additional or amended TCEQ authorizations. On-site gas-fired generation at our facilities could require air quality permits under the Clean Air Act and analogous Texas laws, including New Source Review requirements, and changes in federal or state emissions standards or permitting requirements could delay or prevent such generation or increase our costs.</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a number of governments or governmental bodies have introduced or are contemplating environmental and energy legislative and regulatory changes in response to the increasing focus on power consumption required to operate industrial-scale data centers. A changing legislative environment could create economic and regulatory uncertainty for our business because the industries in which we operate, with their high energy demand, could become targets for future environmental and energy regulations.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we cannot predict with precision or quantify how or when challenges may arise and ultimately impact our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2" w:name="page63"/>
    <w:bookmarkEnd w:id="62"/>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jurisdictions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1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our total consolidated indebtedness amounted to $6,016 million. In May 2025 and September 2025, we completed offerings of our 2030 Convertible Notes, 2031 Convertible Notes, from which we incurred $172.5 million and $1,300.0 million of additional indebtedness, respectively. In October 2026, we exchanged approximately $165.9 million of principal amount of the 2030 Convertible Notes for approximately 40.7 million shares of our common stock. Following this exchange, approximately $6.6 million aggregate principal amount of the 2030 Convertible Notes remains outstanding.</w:t>
      </w:r>
    </w:p>
    <w:p>
      <w:pPr>
        <w:spacing w:after="0" w:line="1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in November 2025, Cipher Compute LLC, our wholly owned indirect subsidiary, incurred $1,733.0 million of indebtedness from offerings of $1,400.0 million and $333.0 million of our senior secured notes due 2030. In February 2026, Black Pearl Compute LLC, our wholly owned indirect subsidiary, incurred $2.0 billion of 6.125% senior secured notes due 2031. In March 2026, we entered into a $200.0 million revolving credit facility (the “Revolving Credit Facility”), under which, as of September 30, 2026, we had nothing drawn on revolving borrowings and $40.6 million of letters of credit outstanding. In June 2026, Stingray Compute LLC, our wholly owned indirect subsidiary, incurred $810.0 million of 6.000% senior secured notes due 2031. In October 2026, we completed an offering of our 2032 Convertible Notes, from which we incurred $850.0 million of additional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5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such as in the event of adverse changes to our credit ratings;</w:t>
      </w:r>
    </w:p>
    <w:p>
      <w:pPr>
        <w:spacing w:after="0" w:line="19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Convertible Notes;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3" w:name="page64"/>
    <w:bookmarkEnd w:id="63"/>
    <w:p>
      <w:pPr>
        <w:ind w:right="80"/>
        <w:spacing w:after="0" w:line="266" w:lineRule="auto"/>
        <w:rPr>
          <w:sz w:val="20"/>
          <w:szCs w:val="20"/>
          <w:color w:val="auto"/>
        </w:rPr>
      </w:pPr>
      <w:r>
        <w:rPr>
          <w:rFonts w:ascii="Times New Roman" w:cs="Times New Roman" w:eastAsia="Times New Roman" w:hAnsi="Times New Roman"/>
          <w:sz w:val="18"/>
          <w:szCs w:val="18"/>
          <w:color w:val="auto"/>
        </w:rPr>
        <w:t>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3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Convertible Notes for cash following a fundamental change or on a specified optional repurchase date or to pay any cash amounts due upon maturity or conversion of the Convertible Notes, and our other indebtedness may limit our ability to repurchase the Convertible Notes or to pay any cash amounts due upon their maturity or conversion.</w:t>
      </w:r>
    </w:p>
    <w:p>
      <w:pPr>
        <w:spacing w:after="0" w:line="1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Holders of the Convertible Notes may, subject to limited exceptions, require us to repurchase their Convertible Notes on May 15, 2028 (for the 2030 Convertible Notes), October 1, 2029 (for the 2031 Convertible Notes) and November 1, 2030 (for the 2032 Convertible Notes), and following a fundamental change, at a cash repurchase price generally equal to the principal amount of the Convertible Notes to be repurchased, plus accrued and unpaid special interest and additional interest, if any. Upon maturity of the Convertible Notes, we must pay their principal amount and accrued and unpaid special interest and additional interest, if any, in cash, unless they have been previously repurchased, redeemed or converted.</w:t>
      </w:r>
    </w:p>
    <w:p>
      <w:pPr>
        <w:spacing w:after="0" w:line="1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addition, upon conversion, we will satisfy part or all of our conversion obligation in cash unless we elect to settle conversions solely in shares of our common stock.</w:t>
      </w:r>
    </w:p>
    <w:p>
      <w:pPr>
        <w:spacing w:after="0" w:line="12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may not have enough available cash or be able to obtain financing at the time we are required to repurchase the Convertible Notes or pay any cash amounts due upon their maturity or conversion. In addition, applicable law, regulatory authorities and the agreements that we may have in the future governing our other indebtedness may restrict our ability to repurchase the Convertible Notes or to pay any cash amounts due upon their maturity or conversion. Our failure to repurchase Convertible Notes or to pay any cash amounts due upon their maturity or conversion when required will constitute a default under the applicable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Notes.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20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of such notes will be entitled to convert the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w:t>
      </w:r>
    </w:p>
    <w:p>
      <w:pPr>
        <w:spacing w:after="0" w:line="14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issuance costs for the Convertible Notes are treated as a debt discount for accounting purposes and will be amortized into interest expense over the term of the Convertible Notes. As a result of this amortization, the interest expense that we expect to recognize for the Convertible Notes for accounting purposes will be greater than the cash special interest or additional interest payments, if any, we may be required to pay on the Convertible Notes, which will result in lower reported income.</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shares underlying the Convertible Notes are reflected in our diluted earnings per share using the “if converted” method. Under that method, diluted earnings per share is generally calculated assuming that all the Convertible Notes were converted solely into shares of our common stock at the beginning of the reporting period, unless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4" w:name="page65"/>
    <w:bookmarkEnd w:id="64"/>
    <w:p>
      <w:pPr>
        <w:ind w:right="140"/>
        <w:spacing w:after="0" w:line="282" w:lineRule="auto"/>
        <w:rPr>
          <w:sz w:val="20"/>
          <w:szCs w:val="20"/>
          <w:color w:val="auto"/>
        </w:rPr>
      </w:pPr>
      <w:r>
        <w:rPr>
          <w:rFonts w:ascii="Times New Roman" w:cs="Times New Roman" w:eastAsia="Times New Roman" w:hAnsi="Times New Roman"/>
          <w:sz w:val="18"/>
          <w:szCs w:val="18"/>
          <w:color w:val="auto"/>
        </w:rPr>
        <w:t>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investors convert their Convertible Notes and could materially reduce our reported working capital.</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2031 Convertible Notes and the 2032 Convertible Notes and the market price of our common stock.</w:t>
      </w:r>
    </w:p>
    <w:p>
      <w:pPr>
        <w:spacing w:after="0" w:line="1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2031 Convertible Notes and the 2032 Convertible Notes, we entered into privately negotiated capped call transactions with certain financial institutions (collectively, the “option counterparties”). The capped call transactions are generally expected to reduce the potential dilution to our common stock upon any conversion of the 2031 Convertible Notes or the 2032 Convertible Notes and/or offset any potential cash payments we are required to make in excess of the principal amount of converted 2031 Convertible Notes or 2032 Convertible Notes, as the case may be, with such reduction and/or offset subject to a cap. In connection with establishing their initial hedges of the capped call transactions, the option counterparties entered into various derivative transactions, which may be exited in the future. The option counterparties or their respective affiliates may modify their hedge positions by entering into or unwinding various derivatives with respect to our common stock and/or purchasing or selling shares of our common stock or other securities of ours in secondary market transactions prior to the maturity of the applicable Convertible Notes (and are likely to do so during the 30 trading day period beginning on the 31st scheduled trading day prior to the maturity date of the applicable Convertible Notes and following any early conversion, repurchase or redemption of such notes, if we exercise the relevant election to terminate the corresponding portion of the capped call transactions). This activity could cause or avoid an increase or a decrease in the market price of our common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 and these capped call transactions may not operate as planned.</w:t>
      </w:r>
    </w:p>
    <w:p>
      <w:pPr>
        <w:spacing w:after="0" w:line="202"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the effect of which would not be compensated for, than we currently anticipate with respect to our common stock. We can provide no assurance as to the financial stability or viability of the option counterparties.</w:t>
      </w:r>
    </w:p>
    <w:p>
      <w:pPr>
        <w:spacing w:after="0" w:line="13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terms of the capped call transactions are complex, and they may not operate as planned. For example, the terms of these transactions may be subject to adjustment, modification or, in some cases, renegotiation in the event of certain corporate and other transactions. Accordingly,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 The capped call transactions are separate transactions (in each case entered into between us and the option counterparties), are not part of the terms of the 2031 Convertible Notes or the 2032 Convertible Notes and will not change the holders’ rights under the 2031 Convertible Notes or the 2032 Convertible Notes.</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upon conversion of the Convertible Notes and in exchange transactions will dilute the ownership interests of our stockholders and could depress the trading price of our common stock.</w:t>
      </w:r>
    </w:p>
    <w:p>
      <w:pPr>
        <w:spacing w:after="0" w:line="11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Upon conversion of the Convertible Notes, we will satisfy part or all of our conversion obligations in shares of our common stock. The issuance of shares of our common stock upon conversion of the Convertible Notes will dilute the ownership interests of our stockholders, which could depress the trading price of our common stock. In addition,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5" w:name="page66"/>
    <w:bookmarkEnd w:id="65"/>
    <w:p>
      <w:pPr>
        <w:spacing w:after="0" w:line="256" w:lineRule="auto"/>
        <w:rPr>
          <w:sz w:val="20"/>
          <w:szCs w:val="20"/>
          <w:color w:val="auto"/>
        </w:rPr>
      </w:pPr>
      <w:r>
        <w:rPr>
          <w:rFonts w:ascii="Times New Roman" w:cs="Times New Roman" w:eastAsia="Times New Roman" w:hAnsi="Times New Roman"/>
          <w:sz w:val="18"/>
          <w:szCs w:val="18"/>
          <w:color w:val="auto"/>
        </w:rPr>
        <w:t>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 In addition, in October 2026, we issued 40.7 million shares of our common stock in exchange transactions with certain holders of the 2030 Convertible Notes, and we may engage in additional exchanges of, or repurchases of, Convertible Notes. Holders that participate in any such exchanges may purchase or sell shares of our common stock or enter into or unwind derivative transactions in connection with hedge positions, which could adversely affect the market price of our common stock, and any issuance of shares in such exchanges will dilute our existing stockholders.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1300" w:right="2120" w:hanging="644"/>
        <w:spacing w:after="0" w:line="461" w:lineRule="auto"/>
        <w:tabs>
          <w:tab w:leader="none" w:pos="8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No directors or “officers” (as defined in Section 16a-1(f) of the Exchange Act) adopted, terminated, or modified a “Rule 10b5-1 trading arrangement” or a “non-Rule 10b5-1 trading arrangement,” as each term is defined in Item 408(a) of Regulation S-K, during the three months ended September 30,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6" w:name="page67"/>
    <w:bookmarkEnd w:id="66"/>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r>
      <w:tr>
        <w:trPr>
          <w:trHeight w:val="37"/>
        </w:trPr>
        <w:tc>
          <w:tcPr>
            <w:tcW w:w="1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80" w:type="dxa"/>
            <w:vAlign w:val="bottom"/>
            <w:gridSpan w:val="23"/>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45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11"/>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6"/>
          </w:tcPr>
          <w:p>
            <w:pPr>
              <w:spacing w:after="0" w:line="183"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Cipher Mining Technologies Inc.</w:t>
              </w:r>
            </w:hyperlink>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Amended and Restated Certificate of Incorporation of Cipher Digital</w:t>
              </w:r>
            </w:hyperlink>
          </w:p>
        </w:tc>
        <w:tc>
          <w:tcPr>
            <w:tcW w:w="260" w:type="dxa"/>
            <w:vAlign w:val="bottom"/>
            <w:gridSpan w:val="8"/>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6"/>
          </w:tcPr>
          <w:p>
            <w:pPr>
              <w:spacing w:after="0" w:line="183"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6"/>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Bylaws of Cipher Digital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Indenture, dated as of October 16, 2026, between Cipher Digital Inc.</w:t>
              </w:r>
            </w:hyperlink>
          </w:p>
        </w:tc>
        <w:tc>
          <w:tcPr>
            <w:tcW w:w="280" w:type="dxa"/>
            <w:vAlign w:val="bottom"/>
            <w:gridSpan w:val="9"/>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and U.S. Bank Trust Company, National Association, as trustee.</w:t>
              </w:r>
            </w:hyperlink>
          </w:p>
        </w:tc>
        <w:tc>
          <w:tcPr>
            <w:tcW w:w="580" w:type="dxa"/>
            <w:vAlign w:val="bottom"/>
            <w:gridSpan w:val="1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6"/>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Form of certificate representing the 0.00% Convertible Senior Notes</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due 2032 (included as Exhibit A to Exhibit 4.1).</w:t>
              </w:r>
            </w:hyperlink>
          </w:p>
        </w:tc>
        <w:tc>
          <w:tcPr>
            <w:tcW w:w="30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6"/>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Supplemental Indenture, dated as of August 3, 2026, among Stingray</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8/4/26</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6"/>
          </w:tcPr>
          <w:p>
            <w:pPr>
              <w:spacing w:after="0" w:line="183"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Compute LLC, Cipher Stingray LLC, Cipher Stingray Holdings LLC,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and Wilmington Trust, National Association, as trustee, relating to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6.</w:t>
              </w:r>
              <w:r>
                <w:rPr>
                  <w:rFonts w:ascii="Times New Roman" w:cs="Times New Roman" w:eastAsia="Times New Roman" w:hAnsi="Times New Roman"/>
                  <w:sz w:val="16"/>
                  <w:szCs w:val="16"/>
                  <w:u w:val="single" w:color="auto"/>
                  <w:color w:val="0000FF"/>
                </w:rPr>
                <w:t>000%</w:t>
              </w:r>
              <w:r>
                <w:rPr>
                  <w:rFonts w:ascii="Times New Roman" w:cs="Times New Roman" w:eastAsia="Times New Roman" w:hAnsi="Times New Roman"/>
                  <w:sz w:val="16"/>
                  <w:szCs w:val="16"/>
                  <w:color w:val="0000FF"/>
                </w:rPr>
                <w:t xml:space="preserve"> senior secured notes.</w:t>
              </w:r>
            </w:hyperlink>
          </w:p>
        </w:tc>
        <w:tc>
          <w:tcPr>
            <w:tcW w:w="266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Amended and Restated Employment Agreement, dated as of August 4,</w:t>
              </w:r>
            </w:hyperlink>
          </w:p>
        </w:tc>
        <w:tc>
          <w:tcPr>
            <w:tcW w:w="140" w:type="dxa"/>
            <w:vAlign w:val="bottom"/>
            <w:gridSpan w:val="3"/>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1"/>
                <w:szCs w:val="21"/>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2026, by and between Tyler Page and Cipher Digital Inc.</w:t>
              </w:r>
            </w:hyperlink>
          </w:p>
        </w:tc>
        <w:tc>
          <w:tcPr>
            <w:tcW w:w="1040" w:type="dxa"/>
            <w:vAlign w:val="bottom"/>
            <w:gridSpan w:val="16"/>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Amended and Restated Employment Agreement, dated as of August 4,</w:t>
              </w:r>
            </w:hyperlink>
          </w:p>
        </w:tc>
        <w:tc>
          <w:tcPr>
            <w:tcW w:w="140" w:type="dxa"/>
            <w:vAlign w:val="bottom"/>
            <w:gridSpan w:val="3"/>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2026, by and between Gregory Mumford and Cipher Digital Inc.</w:t>
              </w:r>
            </w:hyperlink>
          </w:p>
        </w:tc>
        <w:tc>
          <w:tcPr>
            <w:tcW w:w="54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Amended and Restated Employment Agreement, dated as of August 4,</w:t>
              </w:r>
            </w:hyperlink>
          </w:p>
        </w:tc>
        <w:tc>
          <w:tcPr>
            <w:tcW w:w="140" w:type="dxa"/>
            <w:vAlign w:val="bottom"/>
            <w:gridSpan w:val="3"/>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6"/>
          </w:tcPr>
          <w:p>
            <w:pPr>
              <w:spacing w:after="0" w:line="183"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2026, by and between William Iwaschuk and Cipher Digital 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Amended and Restated Employment Agreement, dated as of August 4,</w:t>
              </w:r>
            </w:hyperlink>
          </w:p>
        </w:tc>
        <w:tc>
          <w:tcPr>
            <w:tcW w:w="140" w:type="dxa"/>
            <w:vAlign w:val="bottom"/>
            <w:gridSpan w:val="3"/>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8/4/26</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2026, by and between Patrick Kelly and Cipher Digital Inc.</w:t>
              </w:r>
            </w:hyperlink>
          </w:p>
        </w:tc>
        <w:tc>
          <w:tcPr>
            <w:tcW w:w="880" w:type="dxa"/>
            <w:vAlign w:val="bottom"/>
            <w:gridSpan w:val="15"/>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confirmation for the Capped Call Transactions.</w:t>
              </w:r>
            </w:hyperlink>
          </w:p>
        </w:tc>
        <w:tc>
          <w:tcPr>
            <w:tcW w:w="1120" w:type="dxa"/>
            <w:vAlign w:val="bottom"/>
            <w:gridSpan w:val="18"/>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10/16/26</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7"/>
          </w:tcPr>
          <w:p>
            <w:pPr>
              <w:spacing w:after="0"/>
              <w:rPr>
                <w:sz w:val="15"/>
                <w:szCs w:val="15"/>
                <w:color w:val="auto"/>
              </w:rPr>
            </w:pPr>
          </w:p>
        </w:tc>
        <w:tc>
          <w:tcPr>
            <w:tcW w:w="820" w:type="dxa"/>
            <w:vAlign w:val="bottom"/>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6"/>
          </w:tcPr>
          <w:p>
            <w:pPr>
              <w:spacing w:after="0"/>
              <w:rPr>
                <w:sz w:val="15"/>
                <w:szCs w:val="15"/>
                <w:color w:val="auto"/>
              </w:rPr>
            </w:pPr>
          </w:p>
        </w:tc>
        <w:tc>
          <w:tcPr>
            <w:tcW w:w="86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60" w:type="dxa"/>
            <w:vAlign w:val="bottom"/>
            <w:gridSpan w:val="4"/>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160" w:type="dxa"/>
            <w:vAlign w:val="bottom"/>
            <w:gridSpan w:val="1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7"/>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380" w:type="dxa"/>
            <w:vAlign w:val="bottom"/>
            <w:gridSpan w:val="2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2"/>
                <w:szCs w:val="22"/>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474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46" w:lineRule="exact"/>
        <w:rPr>
          <w:sz w:val="20"/>
          <w:szCs w:val="20"/>
          <w:color w:val="auto"/>
        </w:rPr>
      </w:pPr>
    </w:p>
    <w:p>
      <w:pPr>
        <w:ind w:left="1120" w:right="4720" w:hanging="1094"/>
        <w:spacing w:after="0" w:line="298" w:lineRule="auto"/>
        <w:tabs>
          <w:tab w:leader="none" w:pos="11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20"/>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-2540</wp:posOffset>
            </wp:positionV>
            <wp:extent cx="7200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324" w:lineRule="exact"/>
        <w:rPr>
          <w:sz w:val="20"/>
          <w:szCs w:val="20"/>
          <w:color w:val="auto"/>
        </w:rPr>
      </w:pPr>
    </w:p>
    <w:p>
      <w:pPr>
        <w:sectPr>
          <w:pgSz w:w="11900" w:h="16838" w:orient="portrait"/>
          <w:cols w:equalWidth="0" w:num="2">
            <w:col w:w="10020" w:space="340"/>
            <w:col w:w="840"/>
          </w:cols>
          <w:pgMar w:left="320" w:top="1440"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jc w:val="both"/>
        <w:ind w:left="180" w:hanging="172"/>
        <w:spacing w:after="0" w:line="239" w:lineRule="auto"/>
        <w:tabs>
          <w:tab w:leader="none" w:pos="192"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pursuant to Item 601(b)(10)(iv) of Regulation S-K because such information is (i) non-material, (ii) is of the type that the registrant customarily and actually treats as private or confidential and (iii) would be competitively harmful if publicly disclosed.</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243"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6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6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80"/>
          </w:cols>
          <w:pgMar w:left="320" w:top="1292" w:right="3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70" w:name="page71"/>
    <w:bookmarkEnd w:id="70"/>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215"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Mumford, certify that:</w:t>
      </w:r>
    </w:p>
    <w:p>
      <w:pPr>
        <w:spacing w:after="0" w:line="225" w:lineRule="exact"/>
        <w:rPr>
          <w:sz w:val="20"/>
          <w:szCs w:val="20"/>
          <w:color w:val="auto"/>
        </w:rPr>
      </w:pPr>
    </w:p>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72" w:name="page73"/>
    <w:bookmarkEnd w:id="72"/>
    <w:p>
      <w:pPr>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215"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Digital Inc. (the “Company”) for the period ended September 30, 2026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Digital Inc. (the “Company”) for the period ended September 30, 2026 as filed with the Securities and Exchange Commission on the date hereof (the “Report”), I, Gregory Mumford, principal financial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3"/>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23" Type="http://schemas.openxmlformats.org/officeDocument/2006/relationships/hyperlink" Target="https://www.sec.gov/Archives/edgar/data/0001819989/000121390021013594/ea136931ex2-1_goodworks.htm" TargetMode="External"/><Relationship Id="rId124" Type="http://schemas.openxmlformats.org/officeDocument/2006/relationships/hyperlink" Target="https://www.sec.gov/Archives/edgar/data/1819989/000181998926000007/exh31cipher-arcertificateo.htm" TargetMode="External"/><Relationship Id="rId125" Type="http://schemas.openxmlformats.org/officeDocument/2006/relationships/hyperlink" Target="https://www.sec.gov/Archives/edgar/data/1819989/000181998926000007/exh32cipher-arbylawsvf22026.htm" TargetMode="External"/><Relationship Id="rId126" Type="http://schemas.openxmlformats.org/officeDocument/2006/relationships/hyperlink" Target="https://www.sec.gov/Archives/edgar/data/1819989/000119312526424297/d313847dex41.htm" TargetMode="External"/><Relationship Id="rId127" Type="http://schemas.openxmlformats.org/officeDocument/2006/relationships/hyperlink" Target="https://www.sec.gov/Archives/edgar/data/1819989/000119312526424297/d313847dex42.htm" TargetMode="External"/><Relationship Id="rId128" Type="http://schemas.openxmlformats.org/officeDocument/2006/relationships/hyperlink" Target="https://www.sec.gov/Archives/edgar/data/1819989/000181998926000041/exh43cipherstingray-supple.htm" TargetMode="External"/><Relationship Id="rId129" Type="http://schemas.openxmlformats.org/officeDocument/2006/relationships/hyperlink" Target="https://www.sec.gov/Archives/edgar/data/1819989/000181998926000041/exh101cipher-executiveempl.htm" TargetMode="External"/><Relationship Id="rId130" Type="http://schemas.openxmlformats.org/officeDocument/2006/relationships/hyperlink" Target="https://www.sec.gov/Archives/edgar/data/1819989/000181998926000041/exh102cipher-executiveempl.htm" TargetMode="External"/><Relationship Id="rId131" Type="http://schemas.openxmlformats.org/officeDocument/2006/relationships/hyperlink" Target="https://www.sec.gov/Archives/edgar/data/1819989/000181998926000041/exh103cipher-executiveempl.htm" TargetMode="External"/><Relationship Id="rId132" Type="http://schemas.openxmlformats.org/officeDocument/2006/relationships/hyperlink" Target="https://www.sec.gov/Archives/edgar/data/1819989/000181998926000041/exh104cipher-executiveempl.htm" TargetMode="External"/><Relationship Id="rId133" Type="http://schemas.openxmlformats.org/officeDocument/2006/relationships/hyperlink" Target="https://www.sec.gov/Archives/edgar/data/1819989/000119312526424297/d3138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2026-11-02T08:17:12Z</dcterms:created>
  <dcterms:modified xsi:type="dcterms:W3CDTF">2026-11-02T08:17:12Z</dcterms:modified>
</cp:coreProperties>
</file>